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226ED9">
      <w:pPr>
        <w:pStyle w:val="2"/>
        <w:spacing w:line="244" w:lineRule="auto"/>
      </w:pPr>
    </w:p>
    <w:p w14:paraId="0177076A">
      <w:pPr>
        <w:pStyle w:val="2"/>
        <w:spacing w:line="244" w:lineRule="auto"/>
      </w:pPr>
    </w:p>
    <w:p w14:paraId="15C24743">
      <w:pPr>
        <w:pStyle w:val="2"/>
        <w:spacing w:line="244" w:lineRule="auto"/>
      </w:pPr>
    </w:p>
    <w:p w14:paraId="195D665C">
      <w:pPr>
        <w:pStyle w:val="2"/>
        <w:spacing w:line="244" w:lineRule="auto"/>
      </w:pPr>
    </w:p>
    <w:p w14:paraId="793B7FB8">
      <w:pPr>
        <w:pStyle w:val="2"/>
        <w:spacing w:line="244" w:lineRule="auto"/>
      </w:pPr>
    </w:p>
    <w:p w14:paraId="447CD079">
      <w:pPr>
        <w:pStyle w:val="2"/>
        <w:spacing w:line="244" w:lineRule="auto"/>
      </w:pPr>
    </w:p>
    <w:p w14:paraId="64085FD1">
      <w:pPr>
        <w:pStyle w:val="2"/>
        <w:spacing w:line="245" w:lineRule="auto"/>
      </w:pPr>
    </w:p>
    <w:p w14:paraId="2AE9BA47">
      <w:pPr>
        <w:pStyle w:val="2"/>
        <w:spacing w:line="245" w:lineRule="auto"/>
      </w:pPr>
    </w:p>
    <w:p w14:paraId="431319D5">
      <w:pPr>
        <w:pStyle w:val="2"/>
        <w:spacing w:line="245" w:lineRule="auto"/>
      </w:pPr>
    </w:p>
    <w:p w14:paraId="4D1744E8">
      <w:pPr>
        <w:spacing w:before="231" w:line="220" w:lineRule="auto"/>
        <w:ind w:left="962"/>
        <w:outlineLvl w:val="0"/>
        <w:rPr>
          <w:rFonts w:ascii="宋体" w:hAnsi="宋体" w:eastAsia="宋体" w:cs="宋体"/>
          <w:sz w:val="71"/>
          <w:szCs w:val="71"/>
        </w:rPr>
      </w:pPr>
      <w:r>
        <w:rPr>
          <w:rFonts w:ascii="宋体" w:hAnsi="宋体" w:eastAsia="宋体" w:cs="宋体"/>
          <w:spacing w:val="6"/>
          <w:sz w:val="71"/>
          <w:szCs w:val="71"/>
        </w:rPr>
        <w:t>建设项目环境影响报告表</w:t>
      </w:r>
    </w:p>
    <w:p w14:paraId="514E49F8">
      <w:pPr>
        <w:pStyle w:val="2"/>
        <w:spacing w:line="304" w:lineRule="auto"/>
      </w:pPr>
    </w:p>
    <w:p w14:paraId="4A0E3C53">
      <w:pPr>
        <w:pStyle w:val="2"/>
        <w:spacing w:line="304" w:lineRule="auto"/>
      </w:pPr>
    </w:p>
    <w:p w14:paraId="205A20BA">
      <w:pPr>
        <w:spacing w:before="152" w:line="227" w:lineRule="auto"/>
        <w:ind w:left="3021"/>
        <w:rPr>
          <w:rFonts w:ascii="楷体" w:hAnsi="楷体" w:eastAsia="楷体" w:cs="楷体"/>
          <w:sz w:val="47"/>
          <w:szCs w:val="47"/>
        </w:rPr>
      </w:pPr>
      <w:r>
        <w:rPr>
          <w:rFonts w:ascii="楷体" w:hAnsi="楷体" w:eastAsia="楷体" w:cs="楷体"/>
          <w:sz w:val="47"/>
          <w:szCs w:val="47"/>
        </w:rPr>
        <w:t>（污染影响类）</w:t>
      </w:r>
    </w:p>
    <w:p w14:paraId="1058873C">
      <w:pPr>
        <w:pStyle w:val="2"/>
        <w:spacing w:line="251" w:lineRule="auto"/>
      </w:pPr>
    </w:p>
    <w:p w14:paraId="06F1E6AA">
      <w:pPr>
        <w:pStyle w:val="2"/>
        <w:spacing w:line="251" w:lineRule="auto"/>
      </w:pPr>
    </w:p>
    <w:p w14:paraId="7C6FF326">
      <w:pPr>
        <w:pStyle w:val="2"/>
        <w:spacing w:line="251" w:lineRule="auto"/>
      </w:pPr>
    </w:p>
    <w:p w14:paraId="1E2851B9">
      <w:pPr>
        <w:pStyle w:val="2"/>
        <w:spacing w:line="251" w:lineRule="auto"/>
      </w:pPr>
    </w:p>
    <w:p w14:paraId="72D9A96F">
      <w:pPr>
        <w:pStyle w:val="2"/>
        <w:spacing w:line="251" w:lineRule="auto"/>
      </w:pPr>
    </w:p>
    <w:p w14:paraId="7FDE4E4F">
      <w:pPr>
        <w:pStyle w:val="2"/>
        <w:spacing w:line="251" w:lineRule="auto"/>
      </w:pPr>
    </w:p>
    <w:p w14:paraId="6A8BE832">
      <w:pPr>
        <w:pStyle w:val="2"/>
        <w:spacing w:line="251" w:lineRule="auto"/>
      </w:pPr>
    </w:p>
    <w:p w14:paraId="48D739C9">
      <w:pPr>
        <w:pStyle w:val="2"/>
        <w:spacing w:line="251" w:lineRule="auto"/>
      </w:pPr>
    </w:p>
    <w:p w14:paraId="04BD4F48">
      <w:pPr>
        <w:pStyle w:val="2"/>
        <w:spacing w:line="251" w:lineRule="auto"/>
      </w:pPr>
    </w:p>
    <w:p w14:paraId="5C8545DF">
      <w:pPr>
        <w:pStyle w:val="2"/>
        <w:spacing w:line="251" w:lineRule="auto"/>
      </w:pPr>
    </w:p>
    <w:p w14:paraId="492D61F5">
      <w:pPr>
        <w:pStyle w:val="2"/>
        <w:spacing w:line="251" w:lineRule="auto"/>
      </w:pPr>
    </w:p>
    <w:p w14:paraId="1EF6E0C6">
      <w:pPr>
        <w:pStyle w:val="2"/>
        <w:spacing w:line="251" w:lineRule="auto"/>
      </w:pPr>
    </w:p>
    <w:p w14:paraId="255A4F5A">
      <w:pPr>
        <w:pStyle w:val="2"/>
        <w:spacing w:line="251" w:lineRule="auto"/>
      </w:pPr>
    </w:p>
    <w:p w14:paraId="51EFD181">
      <w:pPr>
        <w:pStyle w:val="2"/>
        <w:spacing w:line="251" w:lineRule="auto"/>
      </w:pPr>
    </w:p>
    <w:p w14:paraId="30418BF1">
      <w:pPr>
        <w:tabs>
          <w:tab w:val="left" w:pos="9014"/>
          <w:tab w:val="left" w:pos="9040"/>
        </w:tabs>
        <w:spacing w:before="114" w:line="358" w:lineRule="auto"/>
        <w:ind w:left="37" w:firstLine="1"/>
        <w:jc w:val="both"/>
        <w:rPr>
          <w:rFonts w:ascii="宋体" w:hAnsi="宋体" w:eastAsia="宋体" w:cs="宋体"/>
          <w:sz w:val="31"/>
          <w:szCs w:val="31"/>
        </w:rPr>
      </w:pPr>
      <w:r>
        <w:rPr>
          <w:rFonts w:ascii="仿宋" w:hAnsi="仿宋" w:eastAsia="仿宋" w:cs="仿宋"/>
          <w:spacing w:val="9"/>
          <w:sz w:val="35"/>
          <w:szCs w:val="35"/>
        </w:rPr>
        <w:t>项目名称：</w:t>
      </w:r>
      <w:r>
        <w:rPr>
          <w:rFonts w:hint="eastAsia" w:ascii="宋体" w:hAnsi="宋体" w:eastAsia="宋体" w:cs="宋体"/>
          <w:spacing w:val="9"/>
          <w:sz w:val="31"/>
          <w:szCs w:val="31"/>
          <w:u w:val="single" w:color="auto"/>
          <w:lang w:eastAsia="zh-CN"/>
        </w:rPr>
        <w:t>桦川县鸿宇报废农机拆解有限公司</w:t>
      </w:r>
      <w:r>
        <w:rPr>
          <w:rFonts w:ascii="宋体" w:hAnsi="宋体" w:eastAsia="宋体" w:cs="宋体"/>
          <w:spacing w:val="9"/>
          <w:sz w:val="31"/>
          <w:szCs w:val="31"/>
          <w:u w:val="single" w:color="auto"/>
        </w:rPr>
        <w:t>农机具拆解项目</w:t>
      </w:r>
      <w:r>
        <w:rPr>
          <w:rFonts w:ascii="宋体" w:hAnsi="宋体" w:eastAsia="宋体" w:cs="宋体"/>
          <w:sz w:val="31"/>
          <w:szCs w:val="31"/>
          <w:u w:val="single" w:color="auto"/>
        </w:rPr>
        <w:tab/>
      </w:r>
      <w:r>
        <w:rPr>
          <w:rFonts w:ascii="宋体" w:hAnsi="宋体" w:eastAsia="宋体" w:cs="宋体"/>
          <w:sz w:val="31"/>
          <w:szCs w:val="31"/>
          <w:u w:val="single" w:color="auto"/>
        </w:rPr>
        <w:tab/>
      </w:r>
      <w:r>
        <w:rPr>
          <w:rFonts w:ascii="宋体" w:hAnsi="宋体" w:eastAsia="宋体" w:cs="宋体"/>
          <w:sz w:val="31"/>
          <w:szCs w:val="31"/>
        </w:rPr>
        <w:t xml:space="preserve"> </w:t>
      </w:r>
      <w:r>
        <w:rPr>
          <w:rFonts w:ascii="仿宋" w:hAnsi="仿宋" w:eastAsia="仿宋" w:cs="仿宋"/>
          <w:spacing w:val="8"/>
          <w:sz w:val="35"/>
          <w:szCs w:val="35"/>
        </w:rPr>
        <w:t>建设单位（盖章</w:t>
      </w:r>
      <w:r>
        <w:rPr>
          <w:rFonts w:ascii="仿宋" w:hAnsi="仿宋" w:eastAsia="仿宋" w:cs="仿宋"/>
          <w:spacing w:val="19"/>
          <w:sz w:val="35"/>
          <w:szCs w:val="35"/>
        </w:rPr>
        <w:t>）：</w:t>
      </w:r>
      <w:r>
        <w:rPr>
          <w:rFonts w:hint="eastAsia" w:ascii="宋体" w:hAnsi="宋体" w:eastAsia="宋体" w:cs="宋体"/>
          <w:spacing w:val="8"/>
          <w:sz w:val="31"/>
          <w:szCs w:val="31"/>
          <w:u w:val="single" w:color="auto"/>
          <w:lang w:eastAsia="zh-CN"/>
        </w:rPr>
        <w:t>桦川县鸿宇报废农机拆解有限公司</w:t>
      </w:r>
      <w:r>
        <w:rPr>
          <w:rFonts w:ascii="宋体" w:hAnsi="宋体" w:eastAsia="宋体" w:cs="宋体"/>
          <w:sz w:val="31"/>
          <w:szCs w:val="31"/>
          <w:u w:val="single" w:color="auto"/>
        </w:rPr>
        <w:tab/>
      </w:r>
      <w:r>
        <w:rPr>
          <w:rFonts w:ascii="宋体" w:hAnsi="宋体" w:eastAsia="宋体" w:cs="宋体"/>
          <w:sz w:val="31"/>
          <w:szCs w:val="31"/>
        </w:rPr>
        <w:t xml:space="preserve"> </w:t>
      </w:r>
      <w:r>
        <w:rPr>
          <w:rFonts w:ascii="仿宋" w:hAnsi="仿宋" w:eastAsia="仿宋" w:cs="仿宋"/>
          <w:spacing w:val="-6"/>
          <w:sz w:val="35"/>
          <w:szCs w:val="35"/>
        </w:rPr>
        <w:t>编</w:t>
      </w:r>
      <w:r>
        <w:rPr>
          <w:rFonts w:ascii="仿宋" w:hAnsi="仿宋" w:eastAsia="仿宋" w:cs="仿宋"/>
          <w:spacing w:val="18"/>
          <w:sz w:val="35"/>
          <w:szCs w:val="35"/>
        </w:rPr>
        <w:t xml:space="preserve">  </w:t>
      </w:r>
      <w:r>
        <w:rPr>
          <w:rFonts w:ascii="仿宋" w:hAnsi="仿宋" w:eastAsia="仿宋" w:cs="仿宋"/>
          <w:spacing w:val="-6"/>
          <w:sz w:val="35"/>
          <w:szCs w:val="35"/>
        </w:rPr>
        <w:t>制</w:t>
      </w:r>
      <w:r>
        <w:rPr>
          <w:rFonts w:ascii="仿宋" w:hAnsi="仿宋" w:eastAsia="仿宋" w:cs="仿宋"/>
          <w:spacing w:val="54"/>
          <w:sz w:val="35"/>
          <w:szCs w:val="35"/>
        </w:rPr>
        <w:t xml:space="preserve">  </w:t>
      </w:r>
      <w:r>
        <w:rPr>
          <w:rFonts w:ascii="仿宋" w:hAnsi="仿宋" w:eastAsia="仿宋" w:cs="仿宋"/>
          <w:spacing w:val="-6"/>
          <w:sz w:val="35"/>
          <w:szCs w:val="35"/>
        </w:rPr>
        <w:t>日</w:t>
      </w:r>
      <w:r>
        <w:rPr>
          <w:rFonts w:ascii="仿宋" w:hAnsi="仿宋" w:eastAsia="仿宋" w:cs="仿宋"/>
          <w:spacing w:val="17"/>
          <w:sz w:val="35"/>
          <w:szCs w:val="35"/>
        </w:rPr>
        <w:t xml:space="preserve">  </w:t>
      </w:r>
      <w:r>
        <w:rPr>
          <w:rFonts w:ascii="仿宋" w:hAnsi="仿宋" w:eastAsia="仿宋" w:cs="仿宋"/>
          <w:spacing w:val="-6"/>
          <w:sz w:val="35"/>
          <w:szCs w:val="35"/>
        </w:rPr>
        <w:t>期：</w:t>
      </w:r>
      <w:r>
        <w:rPr>
          <w:rFonts w:ascii="Calibri" w:hAnsi="Calibri" w:eastAsia="Calibri" w:cs="Calibri"/>
          <w:spacing w:val="-6"/>
          <w:sz w:val="31"/>
          <w:szCs w:val="31"/>
          <w:u w:val="single" w:color="auto"/>
        </w:rPr>
        <w:t xml:space="preserve">                             </w:t>
      </w:r>
      <w:r>
        <w:rPr>
          <w:rFonts w:hint="eastAsia" w:ascii="Calibri" w:hAnsi="Calibri" w:eastAsia="宋体" w:cs="Calibri"/>
          <w:spacing w:val="-6"/>
          <w:sz w:val="31"/>
          <w:szCs w:val="31"/>
          <w:u w:val="single" w:color="auto"/>
          <w:lang w:eastAsia="zh-CN"/>
        </w:rPr>
        <w:t>2025年1月</w:t>
      </w:r>
      <w:r>
        <w:rPr>
          <w:rFonts w:ascii="宋体" w:hAnsi="宋体" w:eastAsia="宋体" w:cs="宋体"/>
          <w:sz w:val="31"/>
          <w:szCs w:val="31"/>
          <w:u w:val="single" w:color="auto"/>
        </w:rPr>
        <w:t xml:space="preserve">  </w:t>
      </w:r>
      <w:r>
        <w:rPr>
          <w:rFonts w:hint="eastAsia" w:ascii="宋体" w:hAnsi="宋体" w:eastAsia="宋体" w:cs="宋体"/>
          <w:sz w:val="31"/>
          <w:szCs w:val="31"/>
          <w:u w:val="single" w:color="auto"/>
          <w:lang w:val="en-US" w:eastAsia="zh-CN"/>
        </w:rPr>
        <w:t xml:space="preserve">     </w:t>
      </w:r>
      <w:r>
        <w:rPr>
          <w:rFonts w:ascii="宋体" w:hAnsi="宋体" w:eastAsia="宋体" w:cs="宋体"/>
          <w:sz w:val="31"/>
          <w:szCs w:val="31"/>
          <w:u w:val="single" w:color="auto"/>
        </w:rPr>
        <w:t xml:space="preserve">           </w:t>
      </w:r>
    </w:p>
    <w:p w14:paraId="1D11677A">
      <w:pPr>
        <w:pStyle w:val="2"/>
        <w:spacing w:line="269" w:lineRule="auto"/>
      </w:pPr>
    </w:p>
    <w:p w14:paraId="1E47A619">
      <w:pPr>
        <w:pStyle w:val="2"/>
        <w:spacing w:line="269" w:lineRule="auto"/>
      </w:pPr>
    </w:p>
    <w:p w14:paraId="028926D6">
      <w:pPr>
        <w:pStyle w:val="2"/>
        <w:spacing w:line="269" w:lineRule="auto"/>
      </w:pPr>
    </w:p>
    <w:p w14:paraId="324CCE8F">
      <w:pPr>
        <w:pStyle w:val="2"/>
        <w:spacing w:line="270" w:lineRule="auto"/>
      </w:pPr>
    </w:p>
    <w:p w14:paraId="436DA5C9">
      <w:pPr>
        <w:pStyle w:val="2"/>
        <w:spacing w:line="270" w:lineRule="auto"/>
      </w:pPr>
    </w:p>
    <w:p w14:paraId="6D2E98F3">
      <w:pPr>
        <w:pStyle w:val="2"/>
        <w:spacing w:line="270" w:lineRule="auto"/>
      </w:pPr>
    </w:p>
    <w:p w14:paraId="0FE6BE5D">
      <w:pPr>
        <w:spacing w:before="114" w:line="230" w:lineRule="auto"/>
        <w:ind w:left="2242"/>
        <w:rPr>
          <w:rFonts w:ascii="楷体" w:hAnsi="楷体" w:eastAsia="楷体" w:cs="楷体"/>
          <w:sz w:val="35"/>
          <w:szCs w:val="35"/>
        </w:rPr>
      </w:pPr>
      <w:r>
        <w:rPr>
          <w:rFonts w:ascii="楷体" w:hAnsi="楷体" w:eastAsia="楷体" w:cs="楷体"/>
          <w:spacing w:val="5"/>
          <w:sz w:val="35"/>
          <w:szCs w:val="35"/>
        </w:rPr>
        <w:t>中华人民共和国生态环境部制</w:t>
      </w:r>
    </w:p>
    <w:p w14:paraId="0E444BE4">
      <w:pPr>
        <w:spacing w:line="230" w:lineRule="auto"/>
        <w:rPr>
          <w:rFonts w:ascii="楷体" w:hAnsi="楷体" w:eastAsia="楷体" w:cs="楷体"/>
          <w:sz w:val="35"/>
          <w:szCs w:val="35"/>
        </w:rPr>
        <w:sectPr>
          <w:pgSz w:w="11906" w:h="16839"/>
          <w:pgMar w:top="1431" w:right="1080" w:bottom="0" w:left="1785" w:header="0" w:footer="0" w:gutter="0"/>
          <w:cols w:space="720" w:num="1"/>
        </w:sectPr>
      </w:pPr>
    </w:p>
    <w:p w14:paraId="4A5AF6B5">
      <w:pPr>
        <w:pStyle w:val="2"/>
        <w:spacing w:line="270" w:lineRule="auto"/>
      </w:pPr>
      <w:bookmarkStart w:id="0" w:name="_GoBack"/>
      <w:bookmarkEnd w:id="0"/>
    </w:p>
    <w:p w14:paraId="024DFF83">
      <w:pPr>
        <w:pStyle w:val="2"/>
        <w:spacing w:line="270" w:lineRule="auto"/>
      </w:pPr>
    </w:p>
    <w:p w14:paraId="3E5E89E2">
      <w:pPr>
        <w:spacing w:before="91" w:line="219" w:lineRule="auto"/>
        <w:ind w:left="3084"/>
        <w:outlineLvl w:val="0"/>
        <w:rPr>
          <w:rFonts w:ascii="宋体" w:hAnsi="宋体" w:eastAsia="宋体" w:cs="宋体"/>
          <w:sz w:val="28"/>
          <w:szCs w:val="28"/>
        </w:rPr>
      </w:pPr>
      <w:r>
        <w:rPr>
          <w:rFonts w:ascii="宋体" w:hAnsi="宋体" w:eastAsia="宋体" w:cs="宋体"/>
          <w:b/>
          <w:bCs/>
          <w:spacing w:val="-4"/>
          <w:sz w:val="28"/>
          <w:szCs w:val="28"/>
        </w:rPr>
        <w:t>一、建设项目基本情况</w:t>
      </w:r>
    </w:p>
    <w:p w14:paraId="2E1B2B29">
      <w:pPr>
        <w:spacing w:line="119" w:lineRule="exact"/>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56"/>
        <w:gridCol w:w="1017"/>
        <w:gridCol w:w="764"/>
        <w:gridCol w:w="1873"/>
        <w:gridCol w:w="601"/>
        <w:gridCol w:w="2511"/>
      </w:tblGrid>
      <w:tr w14:paraId="1AA501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9" w:hRule="atLeast"/>
        </w:trPr>
        <w:tc>
          <w:tcPr>
            <w:tcW w:w="2156" w:type="dxa"/>
            <w:tcBorders>
              <w:top w:val="single" w:color="000000" w:sz="10" w:space="0"/>
              <w:left w:val="single" w:color="000000" w:sz="10" w:space="0"/>
            </w:tcBorders>
            <w:vAlign w:val="top"/>
          </w:tcPr>
          <w:p w14:paraId="74B14B5A">
            <w:pPr>
              <w:pStyle w:val="6"/>
              <w:spacing w:before="165" w:line="220" w:lineRule="auto"/>
              <w:ind w:left="356"/>
            </w:pPr>
            <w:r>
              <w:rPr>
                <w:spacing w:val="-3"/>
              </w:rPr>
              <w:t>建设项目名称</w:t>
            </w:r>
          </w:p>
        </w:tc>
        <w:tc>
          <w:tcPr>
            <w:tcW w:w="6766" w:type="dxa"/>
            <w:gridSpan w:val="5"/>
            <w:tcBorders>
              <w:top w:val="single" w:color="000000" w:sz="10" w:space="0"/>
              <w:right w:val="single" w:color="000000" w:sz="10" w:space="0"/>
            </w:tcBorders>
            <w:vAlign w:val="top"/>
          </w:tcPr>
          <w:p w14:paraId="388430DD">
            <w:pPr>
              <w:pStyle w:val="6"/>
              <w:spacing w:before="164" w:line="219" w:lineRule="auto"/>
              <w:ind w:left="745"/>
            </w:pPr>
            <w:r>
              <w:rPr>
                <w:rFonts w:hint="eastAsia"/>
                <w:spacing w:val="-1"/>
                <w:lang w:eastAsia="zh-CN"/>
              </w:rPr>
              <w:t>桦川县鸿宇报废农机拆解有限公司</w:t>
            </w:r>
            <w:r>
              <w:rPr>
                <w:spacing w:val="-1"/>
              </w:rPr>
              <w:t>农机具拆解项目</w:t>
            </w:r>
          </w:p>
        </w:tc>
      </w:tr>
      <w:tr w14:paraId="65F55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2156" w:type="dxa"/>
            <w:tcBorders>
              <w:left w:val="single" w:color="000000" w:sz="10" w:space="0"/>
            </w:tcBorders>
            <w:vAlign w:val="top"/>
          </w:tcPr>
          <w:p w14:paraId="64CA7267">
            <w:pPr>
              <w:pStyle w:val="6"/>
              <w:spacing w:before="163" w:line="219" w:lineRule="auto"/>
              <w:ind w:left="597"/>
            </w:pPr>
            <w:r>
              <w:rPr>
                <w:spacing w:val="-4"/>
              </w:rPr>
              <w:t>项目代码</w:t>
            </w:r>
          </w:p>
        </w:tc>
        <w:tc>
          <w:tcPr>
            <w:tcW w:w="6766" w:type="dxa"/>
            <w:gridSpan w:val="5"/>
            <w:tcBorders>
              <w:right w:val="single" w:color="000000" w:sz="10" w:space="0"/>
            </w:tcBorders>
            <w:vAlign w:val="top"/>
          </w:tcPr>
          <w:p w14:paraId="4C65B894">
            <w:pPr>
              <w:spacing w:before="204" w:line="188" w:lineRule="auto"/>
              <w:ind w:left="2300"/>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240623-04-05-277981</w:t>
            </w:r>
          </w:p>
        </w:tc>
      </w:tr>
      <w:tr w14:paraId="2DBFC1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2156" w:type="dxa"/>
            <w:tcBorders>
              <w:left w:val="single" w:color="000000" w:sz="10" w:space="0"/>
            </w:tcBorders>
            <w:vAlign w:val="top"/>
          </w:tcPr>
          <w:p w14:paraId="10EC2086">
            <w:pPr>
              <w:pStyle w:val="6"/>
              <w:spacing w:before="162" w:line="220" w:lineRule="auto"/>
              <w:ind w:left="236"/>
            </w:pPr>
            <w:r>
              <w:rPr>
                <w:spacing w:val="-2"/>
              </w:rPr>
              <w:t>建设单位联系人</w:t>
            </w:r>
          </w:p>
        </w:tc>
        <w:tc>
          <w:tcPr>
            <w:tcW w:w="1781" w:type="dxa"/>
            <w:gridSpan w:val="2"/>
            <w:vAlign w:val="top"/>
          </w:tcPr>
          <w:p w14:paraId="08873185">
            <w:pPr>
              <w:pStyle w:val="6"/>
              <w:spacing w:before="163" w:line="219" w:lineRule="auto"/>
              <w:ind w:left="682"/>
            </w:pPr>
            <w:r>
              <w:rPr>
                <w:spacing w:val="-20"/>
              </w:rPr>
              <w:t>田伟</w:t>
            </w:r>
          </w:p>
        </w:tc>
        <w:tc>
          <w:tcPr>
            <w:tcW w:w="1873" w:type="dxa"/>
            <w:vAlign w:val="top"/>
          </w:tcPr>
          <w:p w14:paraId="2DA5B292">
            <w:pPr>
              <w:pStyle w:val="6"/>
              <w:spacing w:before="162" w:line="221" w:lineRule="auto"/>
              <w:ind w:left="464"/>
            </w:pPr>
            <w:r>
              <w:rPr>
                <w:spacing w:val="-3"/>
              </w:rPr>
              <w:t>联系方式</w:t>
            </w:r>
          </w:p>
        </w:tc>
        <w:tc>
          <w:tcPr>
            <w:tcW w:w="3112" w:type="dxa"/>
            <w:gridSpan w:val="2"/>
            <w:tcBorders>
              <w:right w:val="single" w:color="000000" w:sz="10" w:space="0"/>
            </w:tcBorders>
            <w:vAlign w:val="top"/>
          </w:tcPr>
          <w:p w14:paraId="4CC3C844">
            <w:pPr>
              <w:rPr>
                <w:rFonts w:ascii="Arial"/>
                <w:sz w:val="21"/>
              </w:rPr>
            </w:pPr>
          </w:p>
        </w:tc>
      </w:tr>
      <w:tr w14:paraId="575D3E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2156" w:type="dxa"/>
            <w:tcBorders>
              <w:left w:val="single" w:color="000000" w:sz="10" w:space="0"/>
            </w:tcBorders>
            <w:vAlign w:val="top"/>
          </w:tcPr>
          <w:p w14:paraId="2368DE53">
            <w:pPr>
              <w:pStyle w:val="6"/>
              <w:spacing w:before="163" w:line="221" w:lineRule="auto"/>
              <w:ind w:left="596"/>
            </w:pPr>
            <w:r>
              <w:rPr>
                <w:spacing w:val="-4"/>
              </w:rPr>
              <w:t>建设地点</w:t>
            </w:r>
          </w:p>
        </w:tc>
        <w:tc>
          <w:tcPr>
            <w:tcW w:w="6766" w:type="dxa"/>
            <w:gridSpan w:val="5"/>
            <w:tcBorders>
              <w:right w:val="single" w:color="000000" w:sz="10" w:space="0"/>
            </w:tcBorders>
            <w:vAlign w:val="top"/>
          </w:tcPr>
          <w:p w14:paraId="41898E28">
            <w:pPr>
              <w:pStyle w:val="6"/>
              <w:spacing w:before="163" w:line="219" w:lineRule="auto"/>
              <w:ind w:left="1471"/>
              <w:rPr>
                <w:rFonts w:hint="eastAsia" w:eastAsia="宋体"/>
                <w:lang w:eastAsia="zh-CN"/>
              </w:rPr>
            </w:pPr>
            <w:r>
              <w:rPr>
                <w:rFonts w:hint="eastAsia"/>
                <w:spacing w:val="-1"/>
                <w:lang w:eastAsia="zh-CN"/>
              </w:rPr>
              <w:t>黑龙江省佳木斯市桦川县新城镇新古街道</w:t>
            </w:r>
          </w:p>
        </w:tc>
      </w:tr>
      <w:tr w14:paraId="67A6BD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2156" w:type="dxa"/>
            <w:tcBorders>
              <w:left w:val="single" w:color="000000" w:sz="10" w:space="0"/>
            </w:tcBorders>
            <w:vAlign w:val="top"/>
          </w:tcPr>
          <w:p w14:paraId="792D66B7">
            <w:pPr>
              <w:pStyle w:val="6"/>
              <w:spacing w:before="165" w:line="220" w:lineRule="auto"/>
              <w:ind w:left="593"/>
            </w:pPr>
            <w:r>
              <w:rPr>
                <w:spacing w:val="-3"/>
              </w:rPr>
              <w:t>地理坐标</w:t>
            </w:r>
          </w:p>
        </w:tc>
        <w:tc>
          <w:tcPr>
            <w:tcW w:w="6766" w:type="dxa"/>
            <w:gridSpan w:val="5"/>
            <w:tcBorders>
              <w:right w:val="single" w:color="000000" w:sz="10" w:space="0"/>
            </w:tcBorders>
            <w:vAlign w:val="top"/>
          </w:tcPr>
          <w:p w14:paraId="7392D528">
            <w:pPr>
              <w:pStyle w:val="6"/>
              <w:spacing w:before="165" w:line="219" w:lineRule="auto"/>
              <w:ind w:left="736"/>
            </w:pPr>
            <w:r>
              <w:rPr>
                <w:spacing w:val="-8"/>
              </w:rPr>
              <w:t>（东经</w:t>
            </w:r>
            <w:r>
              <w:rPr>
                <w:spacing w:val="-20"/>
              </w:rPr>
              <w:t xml:space="preserve"> </w:t>
            </w:r>
            <w:r>
              <w:rPr>
                <w:rFonts w:ascii="Times New Roman" w:hAnsi="Times New Roman" w:eastAsia="Times New Roman" w:cs="Times New Roman"/>
                <w:spacing w:val="-8"/>
              </w:rPr>
              <w:t>124</w:t>
            </w:r>
            <w:r>
              <w:rPr>
                <w:rFonts w:ascii="Calibri" w:hAnsi="Calibri" w:eastAsia="Calibri" w:cs="Calibri"/>
                <w:spacing w:val="-8"/>
              </w:rPr>
              <w:t>°</w:t>
            </w:r>
            <w:r>
              <w:rPr>
                <w:rFonts w:ascii="Times New Roman" w:hAnsi="Times New Roman" w:eastAsia="Times New Roman" w:cs="Times New Roman"/>
                <w:spacing w:val="-8"/>
              </w:rPr>
              <w:t>49</w:t>
            </w:r>
            <w:r>
              <w:rPr>
                <w:rFonts w:ascii="Times New Roman" w:hAnsi="Times New Roman" w:eastAsia="Times New Roman" w:cs="Times New Roman"/>
                <w:spacing w:val="-17"/>
              </w:rPr>
              <w:t xml:space="preserve"> </w:t>
            </w:r>
            <w:r>
              <w:rPr>
                <w:spacing w:val="-8"/>
              </w:rPr>
              <w:t>′</w:t>
            </w:r>
            <w:r>
              <w:rPr>
                <w:rFonts w:ascii="Times New Roman" w:hAnsi="Times New Roman" w:eastAsia="Times New Roman" w:cs="Times New Roman"/>
                <w:spacing w:val="-8"/>
              </w:rPr>
              <w:t>43.209</w:t>
            </w:r>
            <w:r>
              <w:rPr>
                <w:rFonts w:ascii="Times New Roman" w:hAnsi="Times New Roman" w:eastAsia="Times New Roman" w:cs="Times New Roman"/>
                <w:spacing w:val="-15"/>
              </w:rPr>
              <w:t xml:space="preserve"> </w:t>
            </w:r>
            <w:r>
              <w:rPr>
                <w:spacing w:val="-8"/>
              </w:rPr>
              <w:t>″</w:t>
            </w:r>
            <w:r>
              <w:rPr>
                <w:spacing w:val="-91"/>
              </w:rPr>
              <w:t xml:space="preserve"> </w:t>
            </w:r>
            <w:r>
              <w:rPr>
                <w:spacing w:val="-8"/>
              </w:rPr>
              <w:t>，北纬</w:t>
            </w:r>
            <w:r>
              <w:rPr>
                <w:spacing w:val="-57"/>
              </w:rPr>
              <w:t xml:space="preserve"> </w:t>
            </w:r>
            <w:r>
              <w:rPr>
                <w:rFonts w:ascii="Times New Roman" w:hAnsi="Times New Roman" w:eastAsia="Times New Roman" w:cs="Times New Roman"/>
                <w:spacing w:val="-8"/>
              </w:rPr>
              <w:t>47</w:t>
            </w:r>
            <w:r>
              <w:rPr>
                <w:rFonts w:ascii="Calibri" w:hAnsi="Calibri" w:eastAsia="Calibri" w:cs="Calibri"/>
                <w:spacing w:val="-8"/>
              </w:rPr>
              <w:t>°</w:t>
            </w:r>
            <w:r>
              <w:rPr>
                <w:rFonts w:ascii="Times New Roman" w:hAnsi="Times New Roman" w:eastAsia="Times New Roman" w:cs="Times New Roman"/>
                <w:spacing w:val="-8"/>
              </w:rPr>
              <w:t>09</w:t>
            </w:r>
            <w:r>
              <w:rPr>
                <w:rFonts w:ascii="Times New Roman" w:hAnsi="Times New Roman" w:eastAsia="Times New Roman" w:cs="Times New Roman"/>
                <w:spacing w:val="-16"/>
              </w:rPr>
              <w:t xml:space="preserve"> </w:t>
            </w:r>
            <w:r>
              <w:rPr>
                <w:spacing w:val="-8"/>
              </w:rPr>
              <w:t>′</w:t>
            </w:r>
            <w:r>
              <w:rPr>
                <w:rFonts w:ascii="Times New Roman" w:hAnsi="Times New Roman" w:eastAsia="Times New Roman" w:cs="Times New Roman"/>
                <w:spacing w:val="-8"/>
              </w:rPr>
              <w:t>33.166</w:t>
            </w:r>
            <w:r>
              <w:rPr>
                <w:rFonts w:ascii="Times New Roman" w:hAnsi="Times New Roman" w:eastAsia="Times New Roman" w:cs="Times New Roman"/>
                <w:spacing w:val="-16"/>
              </w:rPr>
              <w:t xml:space="preserve"> </w:t>
            </w:r>
            <w:r>
              <w:rPr>
                <w:spacing w:val="-8"/>
              </w:rPr>
              <w:t>″）</w:t>
            </w:r>
          </w:p>
        </w:tc>
      </w:tr>
      <w:tr w14:paraId="4406F9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7" w:hRule="atLeast"/>
        </w:trPr>
        <w:tc>
          <w:tcPr>
            <w:tcW w:w="2156" w:type="dxa"/>
            <w:tcBorders>
              <w:left w:val="single" w:color="000000" w:sz="10" w:space="0"/>
            </w:tcBorders>
            <w:vAlign w:val="top"/>
          </w:tcPr>
          <w:p w14:paraId="743E753B">
            <w:pPr>
              <w:pStyle w:val="6"/>
              <w:spacing w:before="256" w:line="323" w:lineRule="auto"/>
              <w:ind w:left="597" w:right="596" w:firstLine="19"/>
            </w:pPr>
            <w:r>
              <w:rPr>
                <w:spacing w:val="-9"/>
              </w:rPr>
              <w:t>国民经济</w:t>
            </w:r>
            <w:r>
              <w:rPr>
                <w:spacing w:val="2"/>
              </w:rPr>
              <w:t xml:space="preserve"> </w:t>
            </w:r>
            <w:r>
              <w:rPr>
                <w:spacing w:val="-4"/>
              </w:rPr>
              <w:t>行业类别</w:t>
            </w:r>
          </w:p>
        </w:tc>
        <w:tc>
          <w:tcPr>
            <w:tcW w:w="1781" w:type="dxa"/>
            <w:gridSpan w:val="2"/>
            <w:vAlign w:val="top"/>
          </w:tcPr>
          <w:p w14:paraId="5DD06D99">
            <w:pPr>
              <w:pStyle w:val="6"/>
              <w:spacing w:before="166" w:line="220" w:lineRule="auto"/>
              <w:ind w:left="182"/>
            </w:pPr>
            <w:r>
              <w:rPr>
                <w:rFonts w:ascii="Times New Roman" w:hAnsi="Times New Roman" w:eastAsia="Times New Roman" w:cs="Times New Roman"/>
                <w:spacing w:val="-1"/>
              </w:rPr>
              <w:t xml:space="preserve">C4210 </w:t>
            </w:r>
            <w:r>
              <w:rPr>
                <w:spacing w:val="-1"/>
              </w:rPr>
              <w:t>金属废</w:t>
            </w:r>
          </w:p>
          <w:p w14:paraId="762213BC">
            <w:pPr>
              <w:pStyle w:val="6"/>
              <w:spacing w:before="26" w:line="219" w:lineRule="auto"/>
              <w:ind w:left="173"/>
            </w:pPr>
            <w:r>
              <w:rPr>
                <w:spacing w:val="-2"/>
              </w:rPr>
              <w:t>料和碎屑加工</w:t>
            </w:r>
          </w:p>
          <w:p w14:paraId="62AA69DA">
            <w:pPr>
              <w:pStyle w:val="6"/>
              <w:spacing w:before="24" w:line="224" w:lineRule="auto"/>
              <w:ind w:left="658"/>
            </w:pPr>
            <w:r>
              <w:rPr>
                <w:spacing w:val="-8"/>
              </w:rPr>
              <w:t>处理</w:t>
            </w:r>
          </w:p>
        </w:tc>
        <w:tc>
          <w:tcPr>
            <w:tcW w:w="1873" w:type="dxa"/>
            <w:vAlign w:val="top"/>
          </w:tcPr>
          <w:p w14:paraId="6A97994E">
            <w:pPr>
              <w:pStyle w:val="6"/>
              <w:spacing w:before="256" w:line="323" w:lineRule="auto"/>
              <w:ind w:left="466" w:right="453"/>
            </w:pPr>
            <w:r>
              <w:rPr>
                <w:spacing w:val="-4"/>
              </w:rPr>
              <w:t>建设项目</w:t>
            </w:r>
            <w:r>
              <w:rPr>
                <w:spacing w:val="2"/>
              </w:rPr>
              <w:t xml:space="preserve"> </w:t>
            </w:r>
            <w:r>
              <w:rPr>
                <w:spacing w:val="-4"/>
              </w:rPr>
              <w:t>行业类别</w:t>
            </w:r>
          </w:p>
        </w:tc>
        <w:tc>
          <w:tcPr>
            <w:tcW w:w="3112" w:type="dxa"/>
            <w:gridSpan w:val="2"/>
            <w:tcBorders>
              <w:right w:val="single" w:color="000000" w:sz="10" w:space="0"/>
            </w:tcBorders>
            <w:vAlign w:val="top"/>
          </w:tcPr>
          <w:p w14:paraId="34882D3C">
            <w:pPr>
              <w:pStyle w:val="6"/>
              <w:spacing w:before="166" w:line="219" w:lineRule="auto"/>
              <w:ind w:left="124"/>
            </w:pPr>
            <w:r>
              <w:rPr>
                <w:spacing w:val="-1"/>
              </w:rPr>
              <w:t>三十九、废弃资源综合利用</w:t>
            </w:r>
          </w:p>
          <w:p w14:paraId="5D0B4E9C">
            <w:pPr>
              <w:pStyle w:val="6"/>
              <w:spacing w:before="27" w:line="219" w:lineRule="auto"/>
              <w:ind w:left="183"/>
            </w:pPr>
            <w:r>
              <w:rPr>
                <w:spacing w:val="-1"/>
              </w:rPr>
              <w:t>业</w:t>
            </w:r>
            <w:r>
              <w:rPr>
                <w:spacing w:val="-56"/>
              </w:rPr>
              <w:t xml:space="preserve"> </w:t>
            </w:r>
            <w:r>
              <w:rPr>
                <w:rFonts w:ascii="Times New Roman" w:hAnsi="Times New Roman" w:eastAsia="Times New Roman" w:cs="Times New Roman"/>
                <w:spacing w:val="-1"/>
              </w:rPr>
              <w:t xml:space="preserve">42—85 </w:t>
            </w:r>
            <w:r>
              <w:rPr>
                <w:spacing w:val="-1"/>
              </w:rPr>
              <w:t>金属废料和碎屑</w:t>
            </w:r>
          </w:p>
          <w:p w14:paraId="6D752D1E">
            <w:pPr>
              <w:pStyle w:val="6"/>
              <w:spacing w:before="24" w:line="223" w:lineRule="auto"/>
              <w:ind w:left="872"/>
              <w:rPr>
                <w:rFonts w:ascii="Times New Roman" w:hAnsi="Times New Roman" w:eastAsia="Times New Roman" w:cs="Times New Roman"/>
              </w:rPr>
            </w:pPr>
            <w:r>
              <w:rPr>
                <w:spacing w:val="-2"/>
              </w:rPr>
              <w:t>加工处理</w:t>
            </w:r>
            <w:r>
              <w:rPr>
                <w:spacing w:val="-57"/>
              </w:rPr>
              <w:t xml:space="preserve"> </w:t>
            </w:r>
            <w:r>
              <w:rPr>
                <w:rFonts w:ascii="Times New Roman" w:hAnsi="Times New Roman" w:eastAsia="Times New Roman" w:cs="Times New Roman"/>
                <w:spacing w:val="-2"/>
              </w:rPr>
              <w:t>421</w:t>
            </w:r>
          </w:p>
        </w:tc>
      </w:tr>
      <w:tr w14:paraId="706EE6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1" w:hRule="atLeast"/>
        </w:trPr>
        <w:tc>
          <w:tcPr>
            <w:tcW w:w="2156" w:type="dxa"/>
            <w:tcBorders>
              <w:left w:val="single" w:color="000000" w:sz="10" w:space="0"/>
            </w:tcBorders>
            <w:vAlign w:val="top"/>
          </w:tcPr>
          <w:p w14:paraId="60F066B4">
            <w:pPr>
              <w:spacing w:line="246" w:lineRule="auto"/>
              <w:rPr>
                <w:rFonts w:ascii="Arial"/>
                <w:sz w:val="21"/>
              </w:rPr>
            </w:pPr>
          </w:p>
          <w:p w14:paraId="386C9F2D">
            <w:pPr>
              <w:spacing w:line="246" w:lineRule="auto"/>
              <w:rPr>
                <w:rFonts w:ascii="Arial"/>
                <w:sz w:val="21"/>
              </w:rPr>
            </w:pPr>
          </w:p>
          <w:p w14:paraId="4309AF64">
            <w:pPr>
              <w:spacing w:line="247" w:lineRule="auto"/>
              <w:rPr>
                <w:rFonts w:ascii="Arial"/>
                <w:sz w:val="21"/>
              </w:rPr>
            </w:pPr>
          </w:p>
          <w:p w14:paraId="64952261">
            <w:pPr>
              <w:pStyle w:val="6"/>
              <w:spacing w:before="78" w:line="220" w:lineRule="auto"/>
              <w:ind w:left="596"/>
            </w:pPr>
            <w:r>
              <w:rPr>
                <w:spacing w:val="-4"/>
              </w:rPr>
              <w:t>建设性质</w:t>
            </w:r>
          </w:p>
        </w:tc>
        <w:tc>
          <w:tcPr>
            <w:tcW w:w="1781" w:type="dxa"/>
            <w:gridSpan w:val="2"/>
            <w:vAlign w:val="top"/>
          </w:tcPr>
          <w:p w14:paraId="73025A4A">
            <w:pPr>
              <w:pStyle w:val="6"/>
              <w:spacing w:before="169" w:line="321" w:lineRule="auto"/>
              <w:ind w:left="132" w:right="17" w:hanging="15"/>
            </w:pPr>
            <w:r>
              <w:rPr>
                <w:rFonts w:ascii="MS Gothic" w:hAnsi="MS Gothic" w:eastAsia="MS Gothic" w:cs="MS Gothic"/>
                <w:spacing w:val="-6"/>
              </w:rPr>
              <w:t>☑</w:t>
            </w:r>
            <w:r>
              <w:rPr>
                <w:spacing w:val="-6"/>
              </w:rPr>
              <w:t>新建（迁建）</w:t>
            </w:r>
            <w:r>
              <w:rPr>
                <w:spacing w:val="1"/>
              </w:rPr>
              <w:t xml:space="preserve"> </w:t>
            </w:r>
            <w:r>
              <w:rPr>
                <w:spacing w:val="-12"/>
              </w:rPr>
              <w:t>□改建</w:t>
            </w:r>
          </w:p>
          <w:p w14:paraId="4356577F">
            <w:pPr>
              <w:pStyle w:val="6"/>
              <w:spacing w:before="37" w:line="220" w:lineRule="auto"/>
              <w:ind w:left="133"/>
            </w:pPr>
            <w:r>
              <w:rPr>
                <w:spacing w:val="-12"/>
              </w:rPr>
              <w:t>□扩建</w:t>
            </w:r>
          </w:p>
          <w:p w14:paraId="44B1EC51">
            <w:pPr>
              <w:pStyle w:val="6"/>
              <w:spacing w:before="151" w:line="219" w:lineRule="auto"/>
              <w:ind w:left="133"/>
            </w:pPr>
            <w:r>
              <w:rPr>
                <w:spacing w:val="-7"/>
              </w:rPr>
              <w:t>□技术改造</w:t>
            </w:r>
          </w:p>
        </w:tc>
        <w:tc>
          <w:tcPr>
            <w:tcW w:w="1873" w:type="dxa"/>
            <w:vAlign w:val="top"/>
          </w:tcPr>
          <w:p w14:paraId="3B867848">
            <w:pPr>
              <w:spacing w:line="261" w:lineRule="auto"/>
              <w:rPr>
                <w:rFonts w:ascii="Arial"/>
                <w:sz w:val="21"/>
              </w:rPr>
            </w:pPr>
          </w:p>
          <w:p w14:paraId="2B534ECD">
            <w:pPr>
              <w:spacing w:line="261" w:lineRule="auto"/>
              <w:rPr>
                <w:rFonts w:ascii="Arial"/>
                <w:sz w:val="21"/>
              </w:rPr>
            </w:pPr>
          </w:p>
          <w:p w14:paraId="5130C74C">
            <w:pPr>
              <w:pStyle w:val="6"/>
              <w:spacing w:before="78" w:line="323" w:lineRule="auto"/>
              <w:ind w:left="494" w:right="453" w:hanging="28"/>
            </w:pPr>
            <w:r>
              <w:rPr>
                <w:spacing w:val="-4"/>
              </w:rPr>
              <w:t>建设项目</w:t>
            </w:r>
            <w:r>
              <w:rPr>
                <w:spacing w:val="2"/>
              </w:rPr>
              <w:t xml:space="preserve"> </w:t>
            </w:r>
            <w:r>
              <w:rPr>
                <w:spacing w:val="-11"/>
              </w:rPr>
              <w:t>申报情形</w:t>
            </w:r>
          </w:p>
        </w:tc>
        <w:tc>
          <w:tcPr>
            <w:tcW w:w="3112" w:type="dxa"/>
            <w:gridSpan w:val="2"/>
            <w:tcBorders>
              <w:right w:val="single" w:color="000000" w:sz="10" w:space="0"/>
            </w:tcBorders>
            <w:vAlign w:val="top"/>
          </w:tcPr>
          <w:p w14:paraId="36EAC407">
            <w:pPr>
              <w:pStyle w:val="6"/>
              <w:spacing w:before="170" w:line="219" w:lineRule="auto"/>
              <w:ind w:left="128"/>
            </w:pPr>
            <w:r>
              <w:rPr>
                <w:rFonts w:ascii="MS Gothic" w:hAnsi="MS Gothic" w:eastAsia="MS Gothic" w:cs="MS Gothic"/>
                <w:spacing w:val="-3"/>
              </w:rPr>
              <w:t>☑</w:t>
            </w:r>
            <w:r>
              <w:rPr>
                <w:spacing w:val="-3"/>
              </w:rPr>
              <w:t>首次申报项目</w:t>
            </w:r>
          </w:p>
          <w:p w14:paraId="103DE1CD">
            <w:pPr>
              <w:pStyle w:val="6"/>
              <w:spacing w:before="149" w:line="219" w:lineRule="auto"/>
              <w:ind w:left="143"/>
            </w:pPr>
            <w:r>
              <w:rPr>
                <w:spacing w:val="-3"/>
              </w:rPr>
              <w:t>□不予批准后再次申报项目</w:t>
            </w:r>
          </w:p>
          <w:p w14:paraId="62A40385">
            <w:pPr>
              <w:pStyle w:val="6"/>
              <w:spacing w:before="152" w:line="219" w:lineRule="auto"/>
              <w:ind w:left="143"/>
            </w:pPr>
            <w:r>
              <w:rPr>
                <w:spacing w:val="-4"/>
              </w:rPr>
              <w:t>□超五年重新审核项目</w:t>
            </w:r>
          </w:p>
          <w:p w14:paraId="6EDC8F22">
            <w:pPr>
              <w:pStyle w:val="6"/>
              <w:spacing w:before="152" w:line="219" w:lineRule="auto"/>
              <w:ind w:left="143"/>
            </w:pPr>
            <w:r>
              <w:rPr>
                <w:spacing w:val="-4"/>
              </w:rPr>
              <w:t>□重大变动重新报批项目</w:t>
            </w:r>
          </w:p>
        </w:tc>
      </w:tr>
      <w:tr w14:paraId="568322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7" w:hRule="atLeast"/>
        </w:trPr>
        <w:tc>
          <w:tcPr>
            <w:tcW w:w="2156" w:type="dxa"/>
            <w:tcBorders>
              <w:left w:val="single" w:color="000000" w:sz="10" w:space="0"/>
            </w:tcBorders>
            <w:vAlign w:val="top"/>
          </w:tcPr>
          <w:p w14:paraId="127D37E5">
            <w:pPr>
              <w:spacing w:line="248" w:lineRule="auto"/>
              <w:rPr>
                <w:rFonts w:ascii="Arial"/>
                <w:sz w:val="21"/>
              </w:rPr>
            </w:pPr>
          </w:p>
          <w:p w14:paraId="524E570B">
            <w:pPr>
              <w:pStyle w:val="6"/>
              <w:spacing w:before="78" w:line="229" w:lineRule="auto"/>
              <w:ind w:left="109" w:right="12" w:firstLine="92"/>
            </w:pPr>
            <w:r>
              <w:rPr>
                <w:spacing w:val="-2"/>
              </w:rPr>
              <w:t>项目审批（核准</w:t>
            </w:r>
            <w:r>
              <w:rPr>
                <w:rFonts w:ascii="Times New Roman" w:hAnsi="Times New Roman" w:eastAsia="Times New Roman" w:cs="Times New Roman"/>
                <w:spacing w:val="-2"/>
              </w:rPr>
              <w:t>/</w:t>
            </w:r>
            <w:r>
              <w:rPr>
                <w:rFonts w:ascii="Times New Roman" w:hAnsi="Times New Roman" w:eastAsia="Times New Roman" w:cs="Times New Roman"/>
              </w:rPr>
              <w:t xml:space="preserve">    </w:t>
            </w:r>
            <w:r>
              <w:rPr>
                <w:spacing w:val="-16"/>
              </w:rPr>
              <w:t>备案）部门（选填）</w:t>
            </w:r>
          </w:p>
        </w:tc>
        <w:tc>
          <w:tcPr>
            <w:tcW w:w="1781" w:type="dxa"/>
            <w:gridSpan w:val="2"/>
            <w:vAlign w:val="top"/>
          </w:tcPr>
          <w:p w14:paraId="679363C4">
            <w:pPr>
              <w:spacing w:line="295" w:lineRule="auto"/>
              <w:rPr>
                <w:rFonts w:ascii="Arial"/>
                <w:sz w:val="21"/>
              </w:rPr>
            </w:pPr>
          </w:p>
          <w:p w14:paraId="01F378D6">
            <w:pPr>
              <w:pStyle w:val="6"/>
              <w:spacing w:before="65" w:line="239" w:lineRule="auto"/>
              <w:ind w:left="683" w:right="157" w:hanging="525"/>
              <w:rPr>
                <w:sz w:val="20"/>
                <w:szCs w:val="20"/>
              </w:rPr>
            </w:pPr>
            <w:r>
              <w:rPr>
                <w:spacing w:val="8"/>
                <w:sz w:val="20"/>
                <w:szCs w:val="20"/>
              </w:rPr>
              <w:t>林甸县发展和改</w:t>
            </w:r>
            <w:r>
              <w:rPr>
                <w:spacing w:val="2"/>
                <w:sz w:val="20"/>
                <w:szCs w:val="20"/>
              </w:rPr>
              <w:t xml:space="preserve"> </w:t>
            </w:r>
            <w:r>
              <w:rPr>
                <w:spacing w:val="4"/>
                <w:sz w:val="20"/>
                <w:szCs w:val="20"/>
              </w:rPr>
              <w:t>革局</w:t>
            </w:r>
          </w:p>
        </w:tc>
        <w:tc>
          <w:tcPr>
            <w:tcW w:w="1873" w:type="dxa"/>
            <w:vAlign w:val="top"/>
          </w:tcPr>
          <w:p w14:paraId="133E4B76">
            <w:pPr>
              <w:pStyle w:val="6"/>
              <w:spacing w:before="172" w:line="220" w:lineRule="auto"/>
              <w:ind w:left="116"/>
            </w:pPr>
            <w:r>
              <w:rPr>
                <w:spacing w:val="-5"/>
              </w:rPr>
              <w:t>项目审批（核准</w:t>
            </w:r>
          </w:p>
          <w:p w14:paraId="352590ED">
            <w:pPr>
              <w:pStyle w:val="6"/>
              <w:spacing w:before="26" w:line="229" w:lineRule="auto"/>
              <w:ind w:left="705" w:right="101" w:hanging="601"/>
            </w:pPr>
            <w:r>
              <w:rPr>
                <w:rFonts w:ascii="Times New Roman" w:hAnsi="Times New Roman" w:eastAsia="Times New Roman" w:cs="Times New Roman"/>
                <w:spacing w:val="-11"/>
              </w:rPr>
              <w:t>/</w:t>
            </w:r>
            <w:r>
              <w:rPr>
                <w:spacing w:val="-11"/>
              </w:rPr>
              <w:t>备案）文号（选</w:t>
            </w:r>
            <w:r>
              <w:rPr>
                <w:spacing w:val="3"/>
              </w:rPr>
              <w:t xml:space="preserve"> </w:t>
            </w:r>
            <w:r>
              <w:rPr>
                <w:spacing w:val="-6"/>
              </w:rPr>
              <w:t>填）</w:t>
            </w:r>
          </w:p>
        </w:tc>
        <w:tc>
          <w:tcPr>
            <w:tcW w:w="3112" w:type="dxa"/>
            <w:gridSpan w:val="2"/>
            <w:tcBorders>
              <w:right w:val="single" w:color="000000" w:sz="10" w:space="0"/>
            </w:tcBorders>
            <w:vAlign w:val="top"/>
          </w:tcPr>
          <w:p w14:paraId="1B44DC4D">
            <w:pPr>
              <w:spacing w:line="452" w:lineRule="auto"/>
              <w:rPr>
                <w:rFonts w:ascii="Arial"/>
                <w:sz w:val="21"/>
              </w:rPr>
            </w:pPr>
          </w:p>
          <w:p w14:paraId="42D037AF">
            <w:pPr>
              <w:spacing w:before="69" w:line="188" w:lineRule="auto"/>
              <w:ind w:left="479"/>
              <w:rPr>
                <w:rFonts w:ascii="Times New Roman" w:hAnsi="Times New Roman" w:eastAsia="Times New Roman" w:cs="Times New Roman"/>
                <w:sz w:val="24"/>
                <w:szCs w:val="24"/>
              </w:rPr>
            </w:pPr>
            <w:r>
              <w:rPr>
                <w:rFonts w:ascii="Times New Roman" w:hAnsi="Times New Roman" w:eastAsia="Times New Roman" w:cs="Times New Roman"/>
                <w:spacing w:val="-1"/>
                <w:sz w:val="24"/>
                <w:szCs w:val="24"/>
              </w:rPr>
              <w:t>240623-04-05-277981</w:t>
            </w:r>
          </w:p>
        </w:tc>
      </w:tr>
      <w:tr w14:paraId="6ECCC2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5" w:hRule="atLeast"/>
        </w:trPr>
        <w:tc>
          <w:tcPr>
            <w:tcW w:w="2156" w:type="dxa"/>
            <w:tcBorders>
              <w:left w:val="single" w:color="000000" w:sz="10" w:space="0"/>
            </w:tcBorders>
            <w:vAlign w:val="top"/>
          </w:tcPr>
          <w:p w14:paraId="5A40CFFB">
            <w:pPr>
              <w:spacing w:line="250" w:lineRule="auto"/>
              <w:rPr>
                <w:rFonts w:ascii="Arial"/>
                <w:sz w:val="21"/>
              </w:rPr>
            </w:pPr>
          </w:p>
          <w:p w14:paraId="16F8C7BE">
            <w:pPr>
              <w:pStyle w:val="6"/>
              <w:spacing w:before="78" w:line="220" w:lineRule="auto"/>
              <w:ind w:left="240"/>
            </w:pPr>
            <w:r>
              <w:rPr>
                <w:spacing w:val="-3"/>
              </w:rPr>
              <w:t>总投资（万元）</w:t>
            </w:r>
          </w:p>
        </w:tc>
        <w:tc>
          <w:tcPr>
            <w:tcW w:w="1781" w:type="dxa"/>
            <w:gridSpan w:val="2"/>
            <w:vAlign w:val="top"/>
          </w:tcPr>
          <w:p w14:paraId="330076A0">
            <w:pPr>
              <w:spacing w:line="300" w:lineRule="auto"/>
              <w:rPr>
                <w:rFonts w:ascii="Arial"/>
                <w:sz w:val="21"/>
              </w:rPr>
            </w:pPr>
          </w:p>
          <w:p w14:paraId="2A43C431">
            <w:pPr>
              <w:spacing w:before="69" w:line="188" w:lineRule="auto"/>
              <w:ind w:left="713"/>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350</w:t>
            </w:r>
          </w:p>
        </w:tc>
        <w:tc>
          <w:tcPr>
            <w:tcW w:w="1873" w:type="dxa"/>
            <w:vAlign w:val="top"/>
          </w:tcPr>
          <w:p w14:paraId="4E7080A1">
            <w:pPr>
              <w:pStyle w:val="6"/>
              <w:spacing w:before="173" w:line="230" w:lineRule="auto"/>
              <w:ind w:left="704" w:right="213" w:hanging="481"/>
            </w:pPr>
            <w:r>
              <w:rPr>
                <w:spacing w:val="-2"/>
              </w:rPr>
              <w:t>环保投资（万</w:t>
            </w:r>
            <w:r>
              <w:rPr>
                <w:spacing w:val="1"/>
              </w:rPr>
              <w:t xml:space="preserve"> </w:t>
            </w:r>
            <w:r>
              <w:rPr>
                <w:spacing w:val="-6"/>
              </w:rPr>
              <w:t>元）</w:t>
            </w:r>
          </w:p>
        </w:tc>
        <w:tc>
          <w:tcPr>
            <w:tcW w:w="3112" w:type="dxa"/>
            <w:gridSpan w:val="2"/>
            <w:tcBorders>
              <w:right w:val="single" w:color="000000" w:sz="10" w:space="0"/>
            </w:tcBorders>
            <w:vAlign w:val="top"/>
          </w:tcPr>
          <w:p w14:paraId="519E2396">
            <w:pPr>
              <w:spacing w:line="300" w:lineRule="auto"/>
              <w:rPr>
                <w:rFonts w:ascii="Arial"/>
                <w:sz w:val="21"/>
              </w:rPr>
            </w:pPr>
          </w:p>
          <w:p w14:paraId="0A4FB11D">
            <w:pPr>
              <w:spacing w:before="69" w:line="188" w:lineRule="auto"/>
              <w:ind w:left="1462"/>
              <w:rPr>
                <w:rFonts w:ascii="Times New Roman" w:hAnsi="Times New Roman" w:eastAsia="Times New Roman" w:cs="Times New Roman"/>
                <w:sz w:val="24"/>
                <w:szCs w:val="24"/>
              </w:rPr>
            </w:pPr>
            <w:r>
              <w:rPr>
                <w:rFonts w:ascii="Times New Roman" w:hAnsi="Times New Roman" w:eastAsia="Times New Roman" w:cs="Times New Roman"/>
                <w:spacing w:val="-15"/>
                <w:sz w:val="24"/>
                <w:szCs w:val="24"/>
              </w:rPr>
              <w:t>19</w:t>
            </w:r>
          </w:p>
        </w:tc>
      </w:tr>
      <w:tr w14:paraId="6A89E4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6" w:hRule="atLeast"/>
        </w:trPr>
        <w:tc>
          <w:tcPr>
            <w:tcW w:w="2156" w:type="dxa"/>
            <w:tcBorders>
              <w:left w:val="single" w:color="000000" w:sz="10" w:space="0"/>
            </w:tcBorders>
            <w:vAlign w:val="top"/>
          </w:tcPr>
          <w:p w14:paraId="5D3000DC">
            <w:pPr>
              <w:spacing w:line="253" w:lineRule="auto"/>
              <w:rPr>
                <w:rFonts w:ascii="Arial"/>
                <w:sz w:val="21"/>
              </w:rPr>
            </w:pPr>
          </w:p>
          <w:p w14:paraId="10128095">
            <w:pPr>
              <w:pStyle w:val="6"/>
              <w:spacing w:before="78" w:line="220" w:lineRule="auto"/>
              <w:jc w:val="right"/>
            </w:pPr>
            <w:r>
              <w:rPr>
                <w:spacing w:val="-11"/>
              </w:rPr>
              <w:t>环保投资占比（</w:t>
            </w:r>
            <w:r>
              <w:rPr>
                <w:rFonts w:ascii="Times New Roman" w:hAnsi="Times New Roman" w:eastAsia="Times New Roman" w:cs="Times New Roman"/>
                <w:spacing w:val="-11"/>
              </w:rPr>
              <w:t>%</w:t>
            </w:r>
            <w:r>
              <w:rPr>
                <w:spacing w:val="-11"/>
              </w:rPr>
              <w:t>）</w:t>
            </w:r>
          </w:p>
        </w:tc>
        <w:tc>
          <w:tcPr>
            <w:tcW w:w="1781" w:type="dxa"/>
            <w:gridSpan w:val="2"/>
            <w:vAlign w:val="top"/>
          </w:tcPr>
          <w:p w14:paraId="5BA4FF0C">
            <w:pPr>
              <w:spacing w:line="303" w:lineRule="auto"/>
              <w:rPr>
                <w:rFonts w:ascii="Arial"/>
                <w:sz w:val="21"/>
              </w:rPr>
            </w:pPr>
          </w:p>
          <w:p w14:paraId="59CD2BDE">
            <w:pPr>
              <w:spacing w:before="69" w:line="188" w:lineRule="auto"/>
              <w:ind w:left="746"/>
              <w:rPr>
                <w:rFonts w:ascii="Times New Roman" w:hAnsi="Times New Roman" w:eastAsia="Times New Roman" w:cs="Times New Roman"/>
                <w:sz w:val="24"/>
                <w:szCs w:val="24"/>
              </w:rPr>
            </w:pPr>
            <w:r>
              <w:rPr>
                <w:rFonts w:ascii="Times New Roman" w:hAnsi="Times New Roman" w:eastAsia="Times New Roman" w:cs="Times New Roman"/>
                <w:spacing w:val="-4"/>
                <w:sz w:val="24"/>
                <w:szCs w:val="24"/>
              </w:rPr>
              <w:t>5.4</w:t>
            </w:r>
          </w:p>
        </w:tc>
        <w:tc>
          <w:tcPr>
            <w:tcW w:w="1873" w:type="dxa"/>
            <w:vAlign w:val="top"/>
          </w:tcPr>
          <w:p w14:paraId="74964C51">
            <w:pPr>
              <w:spacing w:line="253" w:lineRule="auto"/>
              <w:rPr>
                <w:rFonts w:ascii="Arial"/>
                <w:sz w:val="21"/>
              </w:rPr>
            </w:pPr>
          </w:p>
          <w:p w14:paraId="146BB615">
            <w:pPr>
              <w:pStyle w:val="6"/>
              <w:spacing w:before="78" w:line="220" w:lineRule="auto"/>
              <w:ind w:left="462"/>
            </w:pPr>
            <w:r>
              <w:rPr>
                <w:spacing w:val="-3"/>
              </w:rPr>
              <w:t>施工工期</w:t>
            </w:r>
          </w:p>
        </w:tc>
        <w:tc>
          <w:tcPr>
            <w:tcW w:w="3112" w:type="dxa"/>
            <w:gridSpan w:val="2"/>
            <w:tcBorders>
              <w:right w:val="single" w:color="000000" w:sz="10" w:space="0"/>
            </w:tcBorders>
            <w:vAlign w:val="top"/>
          </w:tcPr>
          <w:p w14:paraId="7C09A35A">
            <w:pPr>
              <w:pStyle w:val="6"/>
              <w:spacing w:before="175" w:line="230" w:lineRule="auto"/>
              <w:ind w:left="1084" w:right="159" w:hanging="905"/>
            </w:pPr>
            <w:r>
              <w:rPr>
                <w:rFonts w:ascii="Times New Roman" w:hAnsi="Times New Roman" w:eastAsia="Times New Roman" w:cs="Times New Roman"/>
                <w:spacing w:val="-4"/>
              </w:rPr>
              <w:t xml:space="preserve">3 </w:t>
            </w:r>
            <w:r>
              <w:rPr>
                <w:spacing w:val="-4"/>
              </w:rPr>
              <w:t>个月（</w:t>
            </w:r>
            <w:r>
              <w:rPr>
                <w:rFonts w:ascii="Times New Roman" w:hAnsi="Times New Roman" w:eastAsia="Times New Roman" w:cs="Times New Roman"/>
                <w:spacing w:val="-4"/>
              </w:rPr>
              <w:t xml:space="preserve">2025 </w:t>
            </w:r>
            <w:r>
              <w:rPr>
                <w:spacing w:val="-4"/>
              </w:rPr>
              <w:t>年</w:t>
            </w:r>
            <w:r>
              <w:rPr>
                <w:spacing w:val="-17"/>
              </w:rPr>
              <w:t xml:space="preserve"> </w:t>
            </w:r>
            <w:r>
              <w:rPr>
                <w:rFonts w:ascii="Times New Roman" w:hAnsi="Times New Roman" w:eastAsia="Times New Roman" w:cs="Times New Roman"/>
                <w:spacing w:val="-4"/>
              </w:rPr>
              <w:t>1</w:t>
            </w:r>
            <w:r>
              <w:rPr>
                <w:rFonts w:ascii="Times New Roman" w:hAnsi="Times New Roman" w:eastAsia="Times New Roman" w:cs="Times New Roman"/>
                <w:spacing w:val="15"/>
              </w:rPr>
              <w:t xml:space="preserve"> </w:t>
            </w:r>
            <w:r>
              <w:rPr>
                <w:spacing w:val="-4"/>
              </w:rPr>
              <w:t>月</w:t>
            </w:r>
            <w:r>
              <w:rPr>
                <w:rFonts w:ascii="Times New Roman" w:hAnsi="Times New Roman" w:eastAsia="Times New Roman" w:cs="Times New Roman"/>
                <w:spacing w:val="-4"/>
              </w:rPr>
              <w:t>~2025</w:t>
            </w:r>
            <w:r>
              <w:rPr>
                <w:rFonts w:ascii="Times New Roman" w:hAnsi="Times New Roman" w:eastAsia="Times New Roman" w:cs="Times New Roman"/>
              </w:rPr>
              <w:t xml:space="preserve"> </w:t>
            </w:r>
            <w:r>
              <w:rPr>
                <w:spacing w:val="-9"/>
              </w:rPr>
              <w:t>年</w:t>
            </w:r>
            <w:r>
              <w:rPr>
                <w:spacing w:val="-51"/>
              </w:rPr>
              <w:t xml:space="preserve"> </w:t>
            </w:r>
            <w:r>
              <w:rPr>
                <w:rFonts w:ascii="Times New Roman" w:hAnsi="Times New Roman" w:eastAsia="Times New Roman" w:cs="Times New Roman"/>
                <w:spacing w:val="-9"/>
              </w:rPr>
              <w:t>3</w:t>
            </w:r>
            <w:r>
              <w:rPr>
                <w:rFonts w:ascii="Times New Roman" w:hAnsi="Times New Roman" w:eastAsia="Times New Roman" w:cs="Times New Roman"/>
                <w:spacing w:val="15"/>
                <w:w w:val="101"/>
              </w:rPr>
              <w:t xml:space="preserve"> </w:t>
            </w:r>
            <w:r>
              <w:rPr>
                <w:spacing w:val="-9"/>
              </w:rPr>
              <w:t>月）</w:t>
            </w:r>
          </w:p>
        </w:tc>
      </w:tr>
      <w:tr w14:paraId="6FF12D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00" w:hRule="atLeast"/>
        </w:trPr>
        <w:tc>
          <w:tcPr>
            <w:tcW w:w="2156" w:type="dxa"/>
            <w:tcBorders>
              <w:left w:val="single" w:color="000000" w:sz="10" w:space="0"/>
            </w:tcBorders>
            <w:vAlign w:val="top"/>
          </w:tcPr>
          <w:p w14:paraId="2327AC3F">
            <w:pPr>
              <w:spacing w:line="315" w:lineRule="auto"/>
              <w:rPr>
                <w:rFonts w:ascii="Arial"/>
                <w:sz w:val="21"/>
              </w:rPr>
            </w:pPr>
          </w:p>
          <w:p w14:paraId="14695DC6">
            <w:pPr>
              <w:pStyle w:val="6"/>
              <w:spacing w:before="78" w:line="220" w:lineRule="auto"/>
              <w:ind w:left="357"/>
            </w:pPr>
            <w:r>
              <w:rPr>
                <w:spacing w:val="-3"/>
              </w:rPr>
              <w:t>是否开工建设</w:t>
            </w:r>
          </w:p>
        </w:tc>
        <w:tc>
          <w:tcPr>
            <w:tcW w:w="1781" w:type="dxa"/>
            <w:gridSpan w:val="2"/>
            <w:vAlign w:val="top"/>
          </w:tcPr>
          <w:p w14:paraId="543448F9">
            <w:pPr>
              <w:pStyle w:val="6"/>
              <w:spacing w:before="176" w:line="313" w:lineRule="auto"/>
              <w:ind w:left="132" w:right="1196" w:hanging="15"/>
            </w:pPr>
            <w:r>
              <w:rPr>
                <w:rFonts w:ascii="MS Gothic" w:hAnsi="MS Gothic" w:eastAsia="MS Gothic" w:cs="MS Gothic"/>
                <w:spacing w:val="-10"/>
              </w:rPr>
              <w:t>☑</w:t>
            </w:r>
            <w:r>
              <w:rPr>
                <w:spacing w:val="-10"/>
              </w:rPr>
              <w:t>否</w:t>
            </w:r>
            <w:r>
              <w:t xml:space="preserve"> </w:t>
            </w:r>
            <w:r>
              <w:rPr>
                <w:spacing w:val="-17"/>
              </w:rPr>
              <w:t>□是</w:t>
            </w:r>
          </w:p>
        </w:tc>
        <w:tc>
          <w:tcPr>
            <w:tcW w:w="1873" w:type="dxa"/>
            <w:vAlign w:val="top"/>
          </w:tcPr>
          <w:p w14:paraId="09A1C404">
            <w:pPr>
              <w:pStyle w:val="6"/>
              <w:spacing w:before="239" w:line="230" w:lineRule="auto"/>
              <w:ind w:left="451" w:right="101" w:hanging="336"/>
            </w:pPr>
            <w:r>
              <w:rPr>
                <w:spacing w:val="-5"/>
              </w:rPr>
              <w:t>用地（用海）面</w:t>
            </w:r>
            <w:r>
              <w:rPr>
                <w:spacing w:val="5"/>
              </w:rPr>
              <w:t xml:space="preserve"> </w:t>
            </w:r>
            <w:r>
              <w:rPr>
                <w:spacing w:val="-2"/>
              </w:rPr>
              <w:t>积（</w:t>
            </w:r>
            <w:r>
              <w:rPr>
                <w:rFonts w:ascii="Times New Roman" w:hAnsi="Times New Roman" w:eastAsia="Times New Roman" w:cs="Times New Roman"/>
                <w:spacing w:val="-2"/>
              </w:rPr>
              <w:t>m</w:t>
            </w:r>
            <w:r>
              <w:rPr>
                <w:rFonts w:ascii="Times New Roman" w:hAnsi="Times New Roman" w:eastAsia="Times New Roman" w:cs="Times New Roman"/>
                <w:spacing w:val="-2"/>
                <w:position w:val="7"/>
                <w:sz w:val="15"/>
                <w:szCs w:val="15"/>
              </w:rPr>
              <w:t>2</w:t>
            </w:r>
            <w:r>
              <w:rPr>
                <w:spacing w:val="-2"/>
              </w:rPr>
              <w:t>）</w:t>
            </w:r>
          </w:p>
        </w:tc>
        <w:tc>
          <w:tcPr>
            <w:tcW w:w="3112" w:type="dxa"/>
            <w:gridSpan w:val="2"/>
            <w:tcBorders>
              <w:right w:val="single" w:color="000000" w:sz="10" w:space="0"/>
            </w:tcBorders>
            <w:vAlign w:val="top"/>
          </w:tcPr>
          <w:p w14:paraId="74187B1B">
            <w:pPr>
              <w:spacing w:line="365" w:lineRule="auto"/>
              <w:rPr>
                <w:rFonts w:ascii="Arial"/>
                <w:sz w:val="21"/>
              </w:rPr>
            </w:pPr>
          </w:p>
          <w:p w14:paraId="323F39D3">
            <w:pPr>
              <w:spacing w:before="69" w:line="188" w:lineRule="auto"/>
              <w:ind w:left="1319"/>
              <w:rPr>
                <w:rFonts w:ascii="Times New Roman" w:hAnsi="Times New Roman" w:eastAsia="Times New Roman" w:cs="Times New Roman"/>
                <w:sz w:val="24"/>
                <w:szCs w:val="24"/>
              </w:rPr>
            </w:pPr>
            <w:r>
              <w:rPr>
                <w:rFonts w:ascii="Times New Roman" w:hAnsi="Times New Roman" w:eastAsia="Times New Roman" w:cs="Times New Roman"/>
                <w:spacing w:val="-2"/>
                <w:sz w:val="24"/>
                <w:szCs w:val="24"/>
              </w:rPr>
              <w:t>2500</w:t>
            </w:r>
          </w:p>
        </w:tc>
      </w:tr>
      <w:tr w14:paraId="18E014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7" w:hRule="atLeast"/>
        </w:trPr>
        <w:tc>
          <w:tcPr>
            <w:tcW w:w="2156" w:type="dxa"/>
            <w:vMerge w:val="restart"/>
            <w:tcBorders>
              <w:left w:val="single" w:color="000000" w:sz="10" w:space="0"/>
              <w:bottom w:val="nil"/>
            </w:tcBorders>
            <w:vAlign w:val="top"/>
          </w:tcPr>
          <w:p w14:paraId="55CF83CE">
            <w:pPr>
              <w:spacing w:line="252" w:lineRule="auto"/>
              <w:rPr>
                <w:rFonts w:ascii="Arial"/>
                <w:sz w:val="21"/>
              </w:rPr>
            </w:pPr>
          </w:p>
          <w:p w14:paraId="66198B3F">
            <w:pPr>
              <w:spacing w:line="252" w:lineRule="auto"/>
              <w:rPr>
                <w:rFonts w:ascii="Arial"/>
                <w:sz w:val="21"/>
              </w:rPr>
            </w:pPr>
          </w:p>
          <w:p w14:paraId="162D1DEB">
            <w:pPr>
              <w:spacing w:line="252" w:lineRule="auto"/>
              <w:rPr>
                <w:rFonts w:ascii="Arial"/>
                <w:sz w:val="21"/>
              </w:rPr>
            </w:pPr>
          </w:p>
          <w:p w14:paraId="59520EFE">
            <w:pPr>
              <w:spacing w:line="253" w:lineRule="auto"/>
              <w:rPr>
                <w:rFonts w:ascii="Arial"/>
                <w:sz w:val="21"/>
              </w:rPr>
            </w:pPr>
          </w:p>
          <w:p w14:paraId="42CCDF0C">
            <w:pPr>
              <w:spacing w:line="253" w:lineRule="auto"/>
              <w:rPr>
                <w:rFonts w:ascii="Arial"/>
                <w:sz w:val="21"/>
              </w:rPr>
            </w:pPr>
          </w:p>
          <w:p w14:paraId="1632D8FE">
            <w:pPr>
              <w:pStyle w:val="6"/>
              <w:spacing w:before="78" w:line="218" w:lineRule="auto"/>
              <w:ind w:left="114"/>
            </w:pPr>
            <w:r>
              <w:rPr>
                <w:spacing w:val="-2"/>
              </w:rPr>
              <w:t>专项评价设置情况</w:t>
            </w:r>
          </w:p>
        </w:tc>
        <w:tc>
          <w:tcPr>
            <w:tcW w:w="6766" w:type="dxa"/>
            <w:gridSpan w:val="5"/>
            <w:tcBorders>
              <w:bottom w:val="single" w:color="000000" w:sz="10" w:space="0"/>
              <w:right w:val="single" w:color="000000" w:sz="10" w:space="0"/>
            </w:tcBorders>
            <w:vAlign w:val="top"/>
          </w:tcPr>
          <w:p w14:paraId="57297391">
            <w:pPr>
              <w:pStyle w:val="6"/>
              <w:spacing w:before="181" w:line="233" w:lineRule="auto"/>
              <w:ind w:left="108" w:right="97" w:firstLine="480"/>
              <w:jc w:val="both"/>
            </w:pPr>
            <w:r>
              <w:rPr>
                <w:spacing w:val="2"/>
              </w:rPr>
              <w:t>根据《建设项目环境影响报告表编制技术指南（污染影响</w:t>
            </w:r>
            <w:r>
              <w:rPr>
                <w:spacing w:val="13"/>
              </w:rPr>
              <w:t xml:space="preserve"> </w:t>
            </w:r>
            <w:r>
              <w:rPr>
                <w:spacing w:val="3"/>
              </w:rPr>
              <w:t>类</w:t>
            </w:r>
            <w:r>
              <w:rPr>
                <w:spacing w:val="-6"/>
              </w:rPr>
              <w:t>）（</w:t>
            </w:r>
            <w:r>
              <w:rPr>
                <w:spacing w:val="3"/>
              </w:rPr>
              <w:t>试行）》中专项评价设置原则，本项目专项评价设置情</w:t>
            </w:r>
            <w:r>
              <w:t xml:space="preserve"> </w:t>
            </w:r>
            <w:r>
              <w:rPr>
                <w:spacing w:val="-3"/>
              </w:rPr>
              <w:t>况如下：</w:t>
            </w:r>
          </w:p>
          <w:p w14:paraId="5C34BCD2">
            <w:pPr>
              <w:pStyle w:val="6"/>
              <w:spacing w:before="148" w:line="199" w:lineRule="auto"/>
              <w:ind w:left="2176"/>
            </w:pPr>
            <w:r>
              <w:rPr>
                <w:spacing w:val="-4"/>
              </w:rPr>
              <w:t>表</w:t>
            </w:r>
            <w:r>
              <w:rPr>
                <w:spacing w:val="-31"/>
              </w:rPr>
              <w:t xml:space="preserve"> </w:t>
            </w:r>
            <w:r>
              <w:rPr>
                <w:rFonts w:ascii="Calibri" w:hAnsi="Calibri" w:eastAsia="Calibri" w:cs="Calibri"/>
                <w:spacing w:val="-4"/>
              </w:rPr>
              <w:t>1-1</w:t>
            </w:r>
            <w:r>
              <w:rPr>
                <w:rFonts w:ascii="Calibri" w:hAnsi="Calibri" w:eastAsia="Calibri" w:cs="Calibri"/>
                <w:spacing w:val="7"/>
              </w:rPr>
              <w:t xml:space="preserve">      </w:t>
            </w:r>
            <w:r>
              <w:rPr>
                <w:spacing w:val="-4"/>
              </w:rPr>
              <w:t>专项评价设置原则</w:t>
            </w:r>
          </w:p>
        </w:tc>
      </w:tr>
      <w:tr w14:paraId="15A16F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9" w:hRule="atLeast"/>
        </w:trPr>
        <w:tc>
          <w:tcPr>
            <w:tcW w:w="2156" w:type="dxa"/>
            <w:vMerge w:val="continue"/>
            <w:tcBorders>
              <w:top w:val="nil"/>
              <w:left w:val="single" w:color="000000" w:sz="10" w:space="0"/>
              <w:bottom w:val="nil"/>
            </w:tcBorders>
            <w:vAlign w:val="top"/>
          </w:tcPr>
          <w:p w14:paraId="4F0D1758">
            <w:pPr>
              <w:rPr>
                <w:rFonts w:ascii="Arial"/>
                <w:sz w:val="21"/>
              </w:rPr>
            </w:pPr>
          </w:p>
        </w:tc>
        <w:tc>
          <w:tcPr>
            <w:tcW w:w="1017" w:type="dxa"/>
            <w:tcBorders>
              <w:top w:val="single" w:color="000000" w:sz="10" w:space="0"/>
            </w:tcBorders>
            <w:vAlign w:val="top"/>
          </w:tcPr>
          <w:p w14:paraId="1239D8F8">
            <w:pPr>
              <w:pStyle w:val="6"/>
              <w:spacing w:before="43" w:line="224" w:lineRule="auto"/>
              <w:ind w:left="252" w:right="139"/>
              <w:rPr>
                <w:sz w:val="20"/>
                <w:szCs w:val="20"/>
              </w:rPr>
            </w:pPr>
            <w:r>
              <w:rPr>
                <w:spacing w:val="6"/>
                <w:sz w:val="20"/>
                <w:szCs w:val="20"/>
              </w:rPr>
              <w:t>专项评</w:t>
            </w:r>
            <w:r>
              <w:rPr>
                <w:sz w:val="20"/>
                <w:szCs w:val="20"/>
              </w:rPr>
              <w:t xml:space="preserve"> </w:t>
            </w:r>
            <w:r>
              <w:rPr>
                <w:spacing w:val="6"/>
                <w:sz w:val="20"/>
                <w:szCs w:val="20"/>
              </w:rPr>
              <w:t>价类别</w:t>
            </w:r>
          </w:p>
        </w:tc>
        <w:tc>
          <w:tcPr>
            <w:tcW w:w="3238" w:type="dxa"/>
            <w:gridSpan w:val="3"/>
            <w:tcBorders>
              <w:top w:val="single" w:color="000000" w:sz="10" w:space="0"/>
            </w:tcBorders>
            <w:vAlign w:val="top"/>
          </w:tcPr>
          <w:p w14:paraId="0AB8B22E">
            <w:pPr>
              <w:pStyle w:val="6"/>
              <w:spacing w:before="179" w:line="228" w:lineRule="auto"/>
              <w:ind w:left="1208"/>
              <w:rPr>
                <w:sz w:val="20"/>
                <w:szCs w:val="20"/>
              </w:rPr>
            </w:pPr>
            <w:r>
              <w:rPr>
                <w:spacing w:val="6"/>
                <w:sz w:val="20"/>
                <w:szCs w:val="20"/>
              </w:rPr>
              <w:t>设置原则</w:t>
            </w:r>
          </w:p>
        </w:tc>
        <w:tc>
          <w:tcPr>
            <w:tcW w:w="2511" w:type="dxa"/>
            <w:tcBorders>
              <w:top w:val="single" w:color="000000" w:sz="10" w:space="0"/>
              <w:right w:val="single" w:color="000000" w:sz="10" w:space="0"/>
            </w:tcBorders>
            <w:vAlign w:val="top"/>
          </w:tcPr>
          <w:p w14:paraId="158BAD31">
            <w:pPr>
              <w:pStyle w:val="6"/>
              <w:spacing w:before="178" w:line="227" w:lineRule="auto"/>
              <w:ind w:left="523"/>
              <w:rPr>
                <w:sz w:val="20"/>
                <w:szCs w:val="20"/>
              </w:rPr>
            </w:pPr>
            <w:r>
              <w:rPr>
                <w:spacing w:val="8"/>
                <w:sz w:val="20"/>
                <w:szCs w:val="20"/>
              </w:rPr>
              <w:t>本项目设置情况</w:t>
            </w:r>
          </w:p>
        </w:tc>
      </w:tr>
      <w:tr w14:paraId="7DC4C4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2" w:hRule="atLeast"/>
        </w:trPr>
        <w:tc>
          <w:tcPr>
            <w:tcW w:w="2156" w:type="dxa"/>
            <w:vMerge w:val="continue"/>
            <w:tcBorders>
              <w:top w:val="nil"/>
              <w:left w:val="single" w:color="000000" w:sz="10" w:space="0"/>
              <w:bottom w:val="single" w:color="000000" w:sz="10" w:space="0"/>
            </w:tcBorders>
            <w:vAlign w:val="top"/>
          </w:tcPr>
          <w:p w14:paraId="631FC87C">
            <w:pPr>
              <w:rPr>
                <w:rFonts w:ascii="Arial"/>
                <w:sz w:val="21"/>
              </w:rPr>
            </w:pPr>
          </w:p>
        </w:tc>
        <w:tc>
          <w:tcPr>
            <w:tcW w:w="1017" w:type="dxa"/>
            <w:tcBorders>
              <w:bottom w:val="single" w:color="000000" w:sz="10" w:space="0"/>
            </w:tcBorders>
            <w:vAlign w:val="top"/>
          </w:tcPr>
          <w:p w14:paraId="018DE3B8">
            <w:pPr>
              <w:spacing w:line="260" w:lineRule="auto"/>
              <w:rPr>
                <w:rFonts w:ascii="Arial"/>
                <w:sz w:val="21"/>
              </w:rPr>
            </w:pPr>
          </w:p>
          <w:p w14:paraId="726AEA32">
            <w:pPr>
              <w:pStyle w:val="6"/>
              <w:spacing w:before="65" w:line="228" w:lineRule="auto"/>
              <w:ind w:left="357"/>
              <w:rPr>
                <w:sz w:val="20"/>
                <w:szCs w:val="20"/>
              </w:rPr>
            </w:pPr>
            <w:r>
              <w:rPr>
                <w:spacing w:val="3"/>
                <w:sz w:val="20"/>
                <w:szCs w:val="20"/>
              </w:rPr>
              <w:t>大气</w:t>
            </w:r>
          </w:p>
        </w:tc>
        <w:tc>
          <w:tcPr>
            <w:tcW w:w="3238" w:type="dxa"/>
            <w:gridSpan w:val="3"/>
            <w:tcBorders>
              <w:bottom w:val="single" w:color="000000" w:sz="10" w:space="0"/>
            </w:tcBorders>
            <w:vAlign w:val="top"/>
          </w:tcPr>
          <w:p w14:paraId="7761CE55">
            <w:pPr>
              <w:pStyle w:val="6"/>
              <w:spacing w:before="55" w:line="239" w:lineRule="auto"/>
              <w:ind w:left="159" w:right="147" w:hanging="4"/>
              <w:jc w:val="both"/>
              <w:rPr>
                <w:sz w:val="20"/>
                <w:szCs w:val="20"/>
              </w:rPr>
            </w:pPr>
            <w:r>
              <w:rPr>
                <w:spacing w:val="9"/>
                <w:sz w:val="20"/>
                <w:szCs w:val="20"/>
              </w:rPr>
              <w:t>排放废气含有毒有害污染物、二</w:t>
            </w:r>
            <w:r>
              <w:rPr>
                <w:spacing w:val="2"/>
                <w:sz w:val="20"/>
                <w:szCs w:val="20"/>
              </w:rPr>
              <w:t xml:space="preserve"> </w:t>
            </w:r>
            <w:r>
              <w:rPr>
                <w:spacing w:val="8"/>
                <w:sz w:val="20"/>
                <w:szCs w:val="20"/>
              </w:rPr>
              <w:t>噁英、苯并芘、氰化物、氯气且</w:t>
            </w:r>
            <w:r>
              <w:rPr>
                <w:spacing w:val="12"/>
                <w:sz w:val="20"/>
                <w:szCs w:val="20"/>
              </w:rPr>
              <w:t xml:space="preserve"> </w:t>
            </w:r>
            <w:r>
              <w:rPr>
                <w:spacing w:val="7"/>
                <w:sz w:val="20"/>
                <w:szCs w:val="20"/>
              </w:rPr>
              <w:t>厂界外</w:t>
            </w:r>
            <w:r>
              <w:rPr>
                <w:spacing w:val="-34"/>
                <w:sz w:val="20"/>
                <w:szCs w:val="20"/>
              </w:rPr>
              <w:t xml:space="preserve"> </w:t>
            </w:r>
            <w:r>
              <w:rPr>
                <w:rFonts w:ascii="Calibri" w:hAnsi="Calibri" w:eastAsia="Calibri" w:cs="Calibri"/>
                <w:spacing w:val="7"/>
                <w:sz w:val="20"/>
                <w:szCs w:val="20"/>
              </w:rPr>
              <w:t>500m</w:t>
            </w:r>
            <w:r>
              <w:rPr>
                <w:rFonts w:ascii="Calibri" w:hAnsi="Calibri" w:eastAsia="Calibri" w:cs="Calibri"/>
                <w:spacing w:val="25"/>
                <w:sz w:val="20"/>
                <w:szCs w:val="20"/>
              </w:rPr>
              <w:t xml:space="preserve"> </w:t>
            </w:r>
            <w:r>
              <w:rPr>
                <w:spacing w:val="7"/>
                <w:sz w:val="20"/>
                <w:szCs w:val="20"/>
              </w:rPr>
              <w:t>范围内有环境空气</w:t>
            </w:r>
          </w:p>
        </w:tc>
        <w:tc>
          <w:tcPr>
            <w:tcW w:w="2511" w:type="dxa"/>
            <w:tcBorders>
              <w:bottom w:val="single" w:color="000000" w:sz="10" w:space="0"/>
              <w:right w:val="single" w:color="000000" w:sz="10" w:space="0"/>
            </w:tcBorders>
            <w:vAlign w:val="top"/>
          </w:tcPr>
          <w:p w14:paraId="5F288AC5">
            <w:pPr>
              <w:pStyle w:val="6"/>
              <w:spacing w:before="55" w:line="239" w:lineRule="auto"/>
              <w:ind w:left="120" w:right="106" w:firstLine="88"/>
              <w:jc w:val="both"/>
              <w:rPr>
                <w:sz w:val="20"/>
                <w:szCs w:val="20"/>
              </w:rPr>
            </w:pPr>
            <w:r>
              <w:rPr>
                <w:spacing w:val="9"/>
                <w:sz w:val="20"/>
                <w:szCs w:val="20"/>
              </w:rPr>
              <w:t>本项目排放废气中不含</w:t>
            </w:r>
            <w:r>
              <w:rPr>
                <w:sz w:val="20"/>
                <w:szCs w:val="20"/>
              </w:rPr>
              <w:t xml:space="preserve">  </w:t>
            </w:r>
            <w:r>
              <w:rPr>
                <w:spacing w:val="17"/>
                <w:sz w:val="20"/>
                <w:szCs w:val="20"/>
              </w:rPr>
              <w:t>有毒有害污染物、二噁</w:t>
            </w:r>
            <w:r>
              <w:rPr>
                <w:spacing w:val="3"/>
                <w:sz w:val="20"/>
                <w:szCs w:val="20"/>
              </w:rPr>
              <w:t xml:space="preserve">  </w:t>
            </w:r>
            <w:r>
              <w:rPr>
                <w:spacing w:val="6"/>
                <w:sz w:val="20"/>
                <w:szCs w:val="20"/>
              </w:rPr>
              <w:t>英、苯并芘、氰化物、氯</w:t>
            </w:r>
          </w:p>
        </w:tc>
      </w:tr>
    </w:tbl>
    <w:p w14:paraId="7CB95F95">
      <w:pPr>
        <w:pStyle w:val="2"/>
        <w:spacing w:line="198" w:lineRule="exact"/>
        <w:rPr>
          <w:sz w:val="17"/>
        </w:rPr>
      </w:pPr>
    </w:p>
    <w:p w14:paraId="6C6126D7">
      <w:pPr>
        <w:spacing w:line="198" w:lineRule="exact"/>
        <w:rPr>
          <w:sz w:val="17"/>
          <w:szCs w:val="17"/>
        </w:rPr>
        <w:sectPr>
          <w:footerReference r:id="rId5" w:type="default"/>
          <w:pgSz w:w="11906" w:h="16839"/>
          <w:pgMar w:top="1431" w:right="1479" w:bottom="1261"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1662"/>
        <w:gridCol w:w="1017"/>
        <w:gridCol w:w="3238"/>
        <w:gridCol w:w="2511"/>
      </w:tblGrid>
      <w:tr w14:paraId="59AD7F0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2156" w:type="dxa"/>
            <w:gridSpan w:val="2"/>
            <w:vMerge w:val="restart"/>
            <w:tcBorders>
              <w:top w:val="single" w:color="000000" w:sz="10" w:space="0"/>
              <w:left w:val="single" w:color="000000" w:sz="10" w:space="0"/>
              <w:bottom w:val="nil"/>
            </w:tcBorders>
            <w:vAlign w:val="top"/>
          </w:tcPr>
          <w:p w14:paraId="27655C97">
            <w:pPr>
              <w:rPr>
                <w:rFonts w:ascii="Arial"/>
                <w:sz w:val="21"/>
              </w:rPr>
            </w:pPr>
          </w:p>
        </w:tc>
        <w:tc>
          <w:tcPr>
            <w:tcW w:w="1017" w:type="dxa"/>
            <w:tcBorders>
              <w:top w:val="single" w:color="000000" w:sz="10" w:space="0"/>
            </w:tcBorders>
            <w:vAlign w:val="top"/>
          </w:tcPr>
          <w:p w14:paraId="425FE5A6">
            <w:pPr>
              <w:rPr>
                <w:rFonts w:ascii="Arial"/>
                <w:sz w:val="21"/>
              </w:rPr>
            </w:pPr>
          </w:p>
        </w:tc>
        <w:tc>
          <w:tcPr>
            <w:tcW w:w="3238" w:type="dxa"/>
            <w:tcBorders>
              <w:top w:val="single" w:color="000000" w:sz="10" w:space="0"/>
            </w:tcBorders>
            <w:vAlign w:val="top"/>
          </w:tcPr>
          <w:p w14:paraId="67E9C345">
            <w:pPr>
              <w:pStyle w:val="6"/>
              <w:spacing w:before="26" w:line="228" w:lineRule="auto"/>
              <w:ind w:left="682"/>
              <w:rPr>
                <w:sz w:val="20"/>
                <w:szCs w:val="20"/>
              </w:rPr>
            </w:pPr>
            <w:r>
              <w:rPr>
                <w:spacing w:val="8"/>
                <w:sz w:val="20"/>
                <w:szCs w:val="20"/>
              </w:rPr>
              <w:t>保护目标的建设项目</w:t>
            </w:r>
          </w:p>
        </w:tc>
        <w:tc>
          <w:tcPr>
            <w:tcW w:w="2511" w:type="dxa"/>
            <w:tcBorders>
              <w:top w:val="single" w:color="000000" w:sz="10" w:space="0"/>
              <w:right w:val="single" w:color="000000" w:sz="10" w:space="0"/>
            </w:tcBorders>
            <w:vAlign w:val="top"/>
          </w:tcPr>
          <w:p w14:paraId="6C9BACE1">
            <w:pPr>
              <w:pStyle w:val="6"/>
              <w:spacing w:before="26" w:line="228" w:lineRule="auto"/>
              <w:ind w:left="153"/>
              <w:rPr>
                <w:rFonts w:ascii="Times New Roman" w:hAnsi="Times New Roman" w:eastAsia="Times New Roman" w:cs="Times New Roman"/>
                <w:sz w:val="20"/>
                <w:szCs w:val="20"/>
              </w:rPr>
            </w:pPr>
            <w:r>
              <w:rPr>
                <w:spacing w:val="6"/>
                <w:sz w:val="20"/>
                <w:szCs w:val="20"/>
              </w:rPr>
              <w:t>气，且项目厂界外</w:t>
            </w:r>
            <w:r>
              <w:rPr>
                <w:spacing w:val="-28"/>
                <w:sz w:val="20"/>
                <w:szCs w:val="20"/>
              </w:rPr>
              <w:t xml:space="preserve"> </w:t>
            </w:r>
            <w:r>
              <w:rPr>
                <w:rFonts w:ascii="Times New Roman" w:hAnsi="Times New Roman" w:eastAsia="Times New Roman" w:cs="Times New Roman"/>
                <w:spacing w:val="6"/>
                <w:sz w:val="20"/>
                <w:szCs w:val="20"/>
              </w:rPr>
              <w:t>500m</w:t>
            </w:r>
          </w:p>
          <w:p w14:paraId="797A7537">
            <w:pPr>
              <w:pStyle w:val="6"/>
              <w:spacing w:before="23" w:line="228" w:lineRule="auto"/>
              <w:ind w:left="213"/>
              <w:rPr>
                <w:sz w:val="20"/>
                <w:szCs w:val="20"/>
              </w:rPr>
            </w:pPr>
            <w:r>
              <w:rPr>
                <w:spacing w:val="8"/>
                <w:sz w:val="20"/>
                <w:szCs w:val="20"/>
              </w:rPr>
              <w:t>范围内无环境空气保护</w:t>
            </w:r>
          </w:p>
          <w:p w14:paraId="1FDDE925">
            <w:pPr>
              <w:pStyle w:val="6"/>
              <w:spacing w:before="27" w:line="228" w:lineRule="auto"/>
              <w:ind w:left="159"/>
              <w:rPr>
                <w:sz w:val="20"/>
                <w:szCs w:val="20"/>
              </w:rPr>
            </w:pPr>
            <w:r>
              <w:rPr>
                <w:spacing w:val="2"/>
                <w:sz w:val="20"/>
                <w:szCs w:val="20"/>
              </w:rPr>
              <w:t>目标，无需设置大气环境</w:t>
            </w:r>
          </w:p>
          <w:p w14:paraId="1FEC0CDA">
            <w:pPr>
              <w:pStyle w:val="6"/>
              <w:spacing w:before="24" w:line="216" w:lineRule="auto"/>
              <w:ind w:left="840"/>
              <w:rPr>
                <w:sz w:val="20"/>
                <w:szCs w:val="20"/>
              </w:rPr>
            </w:pPr>
            <w:r>
              <w:rPr>
                <w:spacing w:val="7"/>
                <w:sz w:val="20"/>
                <w:szCs w:val="20"/>
              </w:rPr>
              <w:t>专项评价</w:t>
            </w:r>
          </w:p>
        </w:tc>
      </w:tr>
      <w:tr w14:paraId="41E053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2156" w:type="dxa"/>
            <w:gridSpan w:val="2"/>
            <w:vMerge w:val="continue"/>
            <w:tcBorders>
              <w:top w:val="nil"/>
              <w:left w:val="single" w:color="000000" w:sz="10" w:space="0"/>
              <w:bottom w:val="nil"/>
            </w:tcBorders>
            <w:vAlign w:val="top"/>
          </w:tcPr>
          <w:p w14:paraId="76C3F9E6">
            <w:pPr>
              <w:rPr>
                <w:rFonts w:ascii="Arial"/>
                <w:sz w:val="21"/>
              </w:rPr>
            </w:pPr>
          </w:p>
        </w:tc>
        <w:tc>
          <w:tcPr>
            <w:tcW w:w="1017" w:type="dxa"/>
            <w:vAlign w:val="top"/>
          </w:tcPr>
          <w:p w14:paraId="595729BB">
            <w:pPr>
              <w:spacing w:line="373" w:lineRule="auto"/>
              <w:rPr>
                <w:rFonts w:ascii="Arial"/>
                <w:sz w:val="21"/>
              </w:rPr>
            </w:pPr>
          </w:p>
          <w:p w14:paraId="07BB9266">
            <w:pPr>
              <w:pStyle w:val="6"/>
              <w:spacing w:before="65" w:line="228" w:lineRule="auto"/>
              <w:ind w:left="251"/>
              <w:rPr>
                <w:sz w:val="20"/>
                <w:szCs w:val="20"/>
              </w:rPr>
            </w:pPr>
            <w:r>
              <w:rPr>
                <w:spacing w:val="6"/>
                <w:sz w:val="20"/>
                <w:szCs w:val="20"/>
              </w:rPr>
              <w:t>地表水</w:t>
            </w:r>
          </w:p>
        </w:tc>
        <w:tc>
          <w:tcPr>
            <w:tcW w:w="3238" w:type="dxa"/>
            <w:vAlign w:val="top"/>
          </w:tcPr>
          <w:p w14:paraId="15625AE9">
            <w:pPr>
              <w:pStyle w:val="6"/>
              <w:spacing w:before="166" w:line="244" w:lineRule="auto"/>
              <w:ind w:left="156" w:right="147"/>
              <w:rPr>
                <w:sz w:val="20"/>
                <w:szCs w:val="20"/>
              </w:rPr>
            </w:pPr>
            <w:r>
              <w:rPr>
                <w:spacing w:val="9"/>
                <w:sz w:val="20"/>
                <w:szCs w:val="20"/>
              </w:rPr>
              <w:t>新增工业废水直排建设项目（槽</w:t>
            </w:r>
            <w:r>
              <w:rPr>
                <w:spacing w:val="1"/>
                <w:sz w:val="20"/>
                <w:szCs w:val="20"/>
              </w:rPr>
              <w:t xml:space="preserve"> </w:t>
            </w:r>
            <w:r>
              <w:rPr>
                <w:spacing w:val="9"/>
                <w:sz w:val="20"/>
                <w:szCs w:val="20"/>
              </w:rPr>
              <w:t>罐车外送污水处理厂的除外）；</w:t>
            </w:r>
            <w:r>
              <w:rPr>
                <w:spacing w:val="1"/>
                <w:sz w:val="20"/>
                <w:szCs w:val="20"/>
              </w:rPr>
              <w:t xml:space="preserve"> </w:t>
            </w:r>
            <w:r>
              <w:rPr>
                <w:spacing w:val="9"/>
                <w:sz w:val="20"/>
                <w:szCs w:val="20"/>
              </w:rPr>
              <w:t>新增废水直排的污水集中处理厂</w:t>
            </w:r>
          </w:p>
        </w:tc>
        <w:tc>
          <w:tcPr>
            <w:tcW w:w="2511" w:type="dxa"/>
            <w:tcBorders>
              <w:right w:val="single" w:color="000000" w:sz="10" w:space="0"/>
            </w:tcBorders>
            <w:vAlign w:val="top"/>
          </w:tcPr>
          <w:p w14:paraId="4D61C397">
            <w:pPr>
              <w:pStyle w:val="6"/>
              <w:spacing w:before="32" w:line="244" w:lineRule="auto"/>
              <w:ind w:left="120" w:right="106" w:firstLine="88"/>
              <w:jc w:val="both"/>
              <w:rPr>
                <w:sz w:val="20"/>
                <w:szCs w:val="20"/>
              </w:rPr>
            </w:pPr>
            <w:r>
              <w:rPr>
                <w:spacing w:val="9"/>
                <w:sz w:val="20"/>
                <w:szCs w:val="20"/>
              </w:rPr>
              <w:t>本项目为无生产废水产</w:t>
            </w:r>
            <w:r>
              <w:rPr>
                <w:sz w:val="20"/>
                <w:szCs w:val="20"/>
              </w:rPr>
              <w:t xml:space="preserve">  </w:t>
            </w:r>
            <w:r>
              <w:rPr>
                <w:spacing w:val="6"/>
                <w:sz w:val="20"/>
                <w:szCs w:val="20"/>
              </w:rPr>
              <w:t>生，生活污水排入防渗旱</w:t>
            </w:r>
            <w:r>
              <w:rPr>
                <w:spacing w:val="1"/>
                <w:sz w:val="20"/>
                <w:szCs w:val="20"/>
              </w:rPr>
              <w:t xml:space="preserve"> </w:t>
            </w:r>
            <w:r>
              <w:rPr>
                <w:spacing w:val="6"/>
                <w:sz w:val="20"/>
                <w:szCs w:val="20"/>
              </w:rPr>
              <w:t>厕，定期清掏，无需设置</w:t>
            </w:r>
          </w:p>
          <w:p w14:paraId="2CA13C8E">
            <w:pPr>
              <w:pStyle w:val="6"/>
              <w:spacing w:before="24" w:line="215" w:lineRule="auto"/>
              <w:ind w:left="419"/>
              <w:rPr>
                <w:sz w:val="20"/>
                <w:szCs w:val="20"/>
              </w:rPr>
            </w:pPr>
            <w:r>
              <w:rPr>
                <w:spacing w:val="7"/>
                <w:sz w:val="20"/>
                <w:szCs w:val="20"/>
              </w:rPr>
              <w:t>地表水专项评价。</w:t>
            </w:r>
          </w:p>
        </w:tc>
      </w:tr>
      <w:tr w14:paraId="0010DC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trPr>
        <w:tc>
          <w:tcPr>
            <w:tcW w:w="2156" w:type="dxa"/>
            <w:gridSpan w:val="2"/>
            <w:vMerge w:val="continue"/>
            <w:tcBorders>
              <w:top w:val="nil"/>
              <w:left w:val="single" w:color="000000" w:sz="10" w:space="0"/>
              <w:bottom w:val="nil"/>
            </w:tcBorders>
            <w:vAlign w:val="top"/>
          </w:tcPr>
          <w:p w14:paraId="5D6BA0FB">
            <w:pPr>
              <w:rPr>
                <w:rFonts w:ascii="Arial"/>
                <w:sz w:val="21"/>
              </w:rPr>
            </w:pPr>
          </w:p>
        </w:tc>
        <w:tc>
          <w:tcPr>
            <w:tcW w:w="1017" w:type="dxa"/>
            <w:vAlign w:val="top"/>
          </w:tcPr>
          <w:p w14:paraId="16B64B04">
            <w:pPr>
              <w:pStyle w:val="6"/>
              <w:spacing w:before="170"/>
              <w:ind w:left="354" w:right="247"/>
              <w:rPr>
                <w:sz w:val="20"/>
                <w:szCs w:val="20"/>
              </w:rPr>
            </w:pPr>
            <w:r>
              <w:rPr>
                <w:spacing w:val="4"/>
                <w:sz w:val="20"/>
                <w:szCs w:val="20"/>
              </w:rPr>
              <w:t>环境</w:t>
            </w:r>
            <w:r>
              <w:rPr>
                <w:sz w:val="20"/>
                <w:szCs w:val="20"/>
              </w:rPr>
              <w:t xml:space="preserve"> </w:t>
            </w:r>
            <w:r>
              <w:rPr>
                <w:spacing w:val="4"/>
                <w:sz w:val="20"/>
                <w:szCs w:val="20"/>
              </w:rPr>
              <w:t>风险</w:t>
            </w:r>
          </w:p>
        </w:tc>
        <w:tc>
          <w:tcPr>
            <w:tcW w:w="3238" w:type="dxa"/>
            <w:vAlign w:val="top"/>
          </w:tcPr>
          <w:p w14:paraId="5AF28036">
            <w:pPr>
              <w:pStyle w:val="6"/>
              <w:spacing w:before="169"/>
              <w:ind w:left="363" w:right="147" w:hanging="207"/>
              <w:rPr>
                <w:sz w:val="20"/>
                <w:szCs w:val="20"/>
              </w:rPr>
            </w:pPr>
            <w:r>
              <w:rPr>
                <w:spacing w:val="9"/>
                <w:sz w:val="20"/>
                <w:szCs w:val="20"/>
              </w:rPr>
              <w:t>有毒有害和易燃易爆危险物质存</w:t>
            </w:r>
            <w:r>
              <w:rPr>
                <w:spacing w:val="1"/>
                <w:sz w:val="20"/>
                <w:szCs w:val="20"/>
              </w:rPr>
              <w:t xml:space="preserve"> </w:t>
            </w:r>
            <w:r>
              <w:rPr>
                <w:spacing w:val="9"/>
                <w:sz w:val="20"/>
                <w:szCs w:val="20"/>
              </w:rPr>
              <w:t>储量超过临界量的建设项目</w:t>
            </w:r>
          </w:p>
        </w:tc>
        <w:tc>
          <w:tcPr>
            <w:tcW w:w="2511" w:type="dxa"/>
            <w:tcBorders>
              <w:right w:val="single" w:color="000000" w:sz="10" w:space="0"/>
            </w:tcBorders>
            <w:vAlign w:val="top"/>
          </w:tcPr>
          <w:p w14:paraId="0DC07857">
            <w:pPr>
              <w:pStyle w:val="6"/>
              <w:spacing w:before="33" w:line="239" w:lineRule="auto"/>
              <w:ind w:left="118" w:right="106" w:firstLine="89"/>
              <w:jc w:val="both"/>
              <w:rPr>
                <w:sz w:val="20"/>
                <w:szCs w:val="20"/>
              </w:rPr>
            </w:pPr>
            <w:r>
              <w:rPr>
                <w:spacing w:val="8"/>
                <w:sz w:val="20"/>
                <w:szCs w:val="20"/>
              </w:rPr>
              <w:t>运营期风险物质最大存</w:t>
            </w:r>
            <w:r>
              <w:rPr>
                <w:spacing w:val="4"/>
                <w:sz w:val="20"/>
                <w:szCs w:val="20"/>
              </w:rPr>
              <w:t xml:space="preserve">  </w:t>
            </w:r>
            <w:r>
              <w:rPr>
                <w:spacing w:val="6"/>
                <w:sz w:val="20"/>
                <w:szCs w:val="20"/>
              </w:rPr>
              <w:t>储量不超过临界量，无需</w:t>
            </w:r>
            <w:r>
              <w:rPr>
                <w:spacing w:val="3"/>
                <w:sz w:val="20"/>
                <w:szCs w:val="20"/>
              </w:rPr>
              <w:t xml:space="preserve"> </w:t>
            </w:r>
            <w:r>
              <w:rPr>
                <w:spacing w:val="6"/>
                <w:sz w:val="20"/>
                <w:szCs w:val="20"/>
              </w:rPr>
              <w:t>设置环境风险专项评价。</w:t>
            </w:r>
          </w:p>
        </w:tc>
      </w:tr>
      <w:tr w14:paraId="425E3F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2" w:hRule="atLeast"/>
        </w:trPr>
        <w:tc>
          <w:tcPr>
            <w:tcW w:w="2156" w:type="dxa"/>
            <w:gridSpan w:val="2"/>
            <w:vMerge w:val="continue"/>
            <w:tcBorders>
              <w:top w:val="nil"/>
              <w:left w:val="single" w:color="000000" w:sz="10" w:space="0"/>
              <w:bottom w:val="nil"/>
            </w:tcBorders>
            <w:vAlign w:val="top"/>
          </w:tcPr>
          <w:p w14:paraId="2F33D5FE">
            <w:pPr>
              <w:rPr>
                <w:rFonts w:ascii="Arial"/>
                <w:sz w:val="21"/>
              </w:rPr>
            </w:pPr>
          </w:p>
        </w:tc>
        <w:tc>
          <w:tcPr>
            <w:tcW w:w="1017" w:type="dxa"/>
            <w:vAlign w:val="top"/>
          </w:tcPr>
          <w:p w14:paraId="22892CB0">
            <w:pPr>
              <w:spacing w:line="375" w:lineRule="auto"/>
              <w:rPr>
                <w:rFonts w:ascii="Arial"/>
                <w:sz w:val="21"/>
              </w:rPr>
            </w:pPr>
          </w:p>
          <w:p w14:paraId="7288016D">
            <w:pPr>
              <w:pStyle w:val="6"/>
              <w:spacing w:before="65" w:line="233" w:lineRule="auto"/>
              <w:ind w:left="356"/>
              <w:rPr>
                <w:sz w:val="20"/>
                <w:szCs w:val="20"/>
              </w:rPr>
            </w:pPr>
            <w:r>
              <w:rPr>
                <w:spacing w:val="3"/>
                <w:sz w:val="20"/>
                <w:szCs w:val="20"/>
              </w:rPr>
              <w:t>生态</w:t>
            </w:r>
          </w:p>
        </w:tc>
        <w:tc>
          <w:tcPr>
            <w:tcW w:w="3238" w:type="dxa"/>
            <w:vAlign w:val="top"/>
          </w:tcPr>
          <w:p w14:paraId="003471B9">
            <w:pPr>
              <w:pStyle w:val="6"/>
              <w:spacing w:before="35" w:line="228" w:lineRule="auto"/>
              <w:ind w:left="156"/>
              <w:rPr>
                <w:sz w:val="20"/>
                <w:szCs w:val="20"/>
              </w:rPr>
            </w:pPr>
            <w:r>
              <w:rPr>
                <w:spacing w:val="6"/>
                <w:sz w:val="20"/>
                <w:szCs w:val="20"/>
              </w:rPr>
              <w:t>取水口下游</w:t>
            </w:r>
            <w:r>
              <w:rPr>
                <w:spacing w:val="-27"/>
                <w:sz w:val="20"/>
                <w:szCs w:val="20"/>
              </w:rPr>
              <w:t xml:space="preserve"> </w:t>
            </w:r>
            <w:r>
              <w:rPr>
                <w:rFonts w:ascii="Calibri" w:hAnsi="Calibri" w:eastAsia="Calibri" w:cs="Calibri"/>
                <w:spacing w:val="6"/>
                <w:sz w:val="20"/>
                <w:szCs w:val="20"/>
              </w:rPr>
              <w:t>500</w:t>
            </w:r>
            <w:r>
              <w:rPr>
                <w:rFonts w:ascii="Calibri" w:hAnsi="Calibri" w:eastAsia="Calibri" w:cs="Calibri"/>
                <w:spacing w:val="18"/>
                <w:w w:val="101"/>
                <w:sz w:val="20"/>
                <w:szCs w:val="20"/>
              </w:rPr>
              <w:t xml:space="preserve"> </w:t>
            </w:r>
            <w:r>
              <w:rPr>
                <w:spacing w:val="6"/>
                <w:sz w:val="20"/>
                <w:szCs w:val="20"/>
              </w:rPr>
              <w:t>米范围内有重要</w:t>
            </w:r>
          </w:p>
          <w:p w14:paraId="215411B9">
            <w:pPr>
              <w:pStyle w:val="6"/>
              <w:spacing w:before="26" w:line="228" w:lineRule="auto"/>
              <w:ind w:right="5"/>
              <w:jc w:val="right"/>
              <w:rPr>
                <w:sz w:val="20"/>
                <w:szCs w:val="20"/>
              </w:rPr>
            </w:pPr>
            <w:r>
              <w:rPr>
                <w:spacing w:val="7"/>
                <w:sz w:val="20"/>
                <w:szCs w:val="20"/>
              </w:rPr>
              <w:t>水生生物的自然产卵场、索饵场、</w:t>
            </w:r>
          </w:p>
          <w:p w14:paraId="60349667">
            <w:pPr>
              <w:pStyle w:val="6"/>
              <w:spacing w:before="24" w:line="228" w:lineRule="auto"/>
              <w:ind w:left="155"/>
              <w:rPr>
                <w:sz w:val="20"/>
                <w:szCs w:val="20"/>
              </w:rPr>
            </w:pPr>
            <w:r>
              <w:rPr>
                <w:spacing w:val="9"/>
                <w:sz w:val="20"/>
                <w:szCs w:val="20"/>
              </w:rPr>
              <w:t>越冬场和洄游通道的新增河道取</w:t>
            </w:r>
          </w:p>
          <w:p w14:paraId="0E1F53B3">
            <w:pPr>
              <w:pStyle w:val="6"/>
              <w:spacing w:before="25" w:line="211" w:lineRule="auto"/>
              <w:ind w:left="684"/>
              <w:rPr>
                <w:sz w:val="20"/>
                <w:szCs w:val="20"/>
              </w:rPr>
            </w:pPr>
            <w:r>
              <w:rPr>
                <w:spacing w:val="8"/>
                <w:sz w:val="20"/>
                <w:szCs w:val="20"/>
              </w:rPr>
              <w:t>水的污染类建设项目</w:t>
            </w:r>
          </w:p>
        </w:tc>
        <w:tc>
          <w:tcPr>
            <w:tcW w:w="2511" w:type="dxa"/>
            <w:tcBorders>
              <w:right w:val="single" w:color="000000" w:sz="10" w:space="0"/>
            </w:tcBorders>
            <w:vAlign w:val="top"/>
          </w:tcPr>
          <w:p w14:paraId="55C4B9EB">
            <w:pPr>
              <w:spacing w:line="243" w:lineRule="auto"/>
              <w:rPr>
                <w:rFonts w:ascii="Arial"/>
                <w:sz w:val="21"/>
              </w:rPr>
            </w:pPr>
          </w:p>
          <w:p w14:paraId="330C4B49">
            <w:pPr>
              <w:pStyle w:val="6"/>
              <w:spacing w:before="65" w:line="238" w:lineRule="auto"/>
              <w:ind w:left="120" w:right="110"/>
              <w:rPr>
                <w:sz w:val="20"/>
                <w:szCs w:val="20"/>
              </w:rPr>
            </w:pPr>
            <w:r>
              <w:rPr>
                <w:spacing w:val="5"/>
                <w:sz w:val="20"/>
                <w:szCs w:val="20"/>
              </w:rPr>
              <w:t>本项目不涉及河道取水，</w:t>
            </w:r>
            <w:r>
              <w:rPr>
                <w:spacing w:val="9"/>
                <w:sz w:val="20"/>
                <w:szCs w:val="20"/>
              </w:rPr>
              <w:t xml:space="preserve"> </w:t>
            </w:r>
            <w:r>
              <w:rPr>
                <w:spacing w:val="5"/>
                <w:sz w:val="20"/>
                <w:szCs w:val="20"/>
              </w:rPr>
              <w:t>无需设置生态专项评价。</w:t>
            </w:r>
          </w:p>
        </w:tc>
      </w:tr>
      <w:tr w14:paraId="603403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2156" w:type="dxa"/>
            <w:gridSpan w:val="2"/>
            <w:vMerge w:val="continue"/>
            <w:tcBorders>
              <w:top w:val="nil"/>
              <w:left w:val="single" w:color="000000" w:sz="10" w:space="0"/>
              <w:bottom w:val="nil"/>
            </w:tcBorders>
            <w:vAlign w:val="top"/>
          </w:tcPr>
          <w:p w14:paraId="7FA27F98">
            <w:pPr>
              <w:rPr>
                <w:rFonts w:ascii="Arial"/>
                <w:sz w:val="21"/>
              </w:rPr>
            </w:pPr>
          </w:p>
        </w:tc>
        <w:tc>
          <w:tcPr>
            <w:tcW w:w="1017" w:type="dxa"/>
            <w:tcBorders>
              <w:bottom w:val="single" w:color="000000" w:sz="10" w:space="0"/>
            </w:tcBorders>
            <w:vAlign w:val="top"/>
          </w:tcPr>
          <w:p w14:paraId="21B3D022">
            <w:pPr>
              <w:pStyle w:val="6"/>
              <w:spacing w:before="174" w:line="228" w:lineRule="auto"/>
              <w:ind w:left="353"/>
              <w:rPr>
                <w:sz w:val="20"/>
                <w:szCs w:val="20"/>
              </w:rPr>
            </w:pPr>
            <w:r>
              <w:rPr>
                <w:spacing w:val="5"/>
                <w:sz w:val="20"/>
                <w:szCs w:val="20"/>
              </w:rPr>
              <w:t>海洋</w:t>
            </w:r>
          </w:p>
        </w:tc>
        <w:tc>
          <w:tcPr>
            <w:tcW w:w="3238" w:type="dxa"/>
            <w:tcBorders>
              <w:bottom w:val="single" w:color="000000" w:sz="10" w:space="0"/>
            </w:tcBorders>
            <w:vAlign w:val="top"/>
          </w:tcPr>
          <w:p w14:paraId="1B51B244">
            <w:pPr>
              <w:pStyle w:val="6"/>
              <w:spacing w:before="39" w:line="235" w:lineRule="auto"/>
              <w:ind w:left="1206" w:right="147" w:hanging="1049"/>
              <w:rPr>
                <w:sz w:val="20"/>
                <w:szCs w:val="20"/>
              </w:rPr>
            </w:pPr>
            <w:r>
              <w:rPr>
                <w:spacing w:val="9"/>
                <w:sz w:val="20"/>
                <w:szCs w:val="20"/>
              </w:rPr>
              <w:t>直接向海排放污染物的海洋工程</w:t>
            </w:r>
            <w:r>
              <w:rPr>
                <w:sz w:val="20"/>
                <w:szCs w:val="20"/>
              </w:rPr>
              <w:t xml:space="preserve"> </w:t>
            </w:r>
            <w:r>
              <w:rPr>
                <w:spacing w:val="6"/>
                <w:sz w:val="20"/>
                <w:szCs w:val="20"/>
              </w:rPr>
              <w:t>建设项目</w:t>
            </w:r>
          </w:p>
        </w:tc>
        <w:tc>
          <w:tcPr>
            <w:tcW w:w="2511" w:type="dxa"/>
            <w:tcBorders>
              <w:bottom w:val="single" w:color="000000" w:sz="10" w:space="0"/>
              <w:right w:val="single" w:color="000000" w:sz="10" w:space="0"/>
            </w:tcBorders>
            <w:vAlign w:val="top"/>
          </w:tcPr>
          <w:p w14:paraId="7B6A4664">
            <w:pPr>
              <w:pStyle w:val="6"/>
              <w:spacing w:before="39" w:line="235" w:lineRule="auto"/>
              <w:ind w:left="325" w:right="106" w:hanging="205"/>
              <w:rPr>
                <w:sz w:val="20"/>
                <w:szCs w:val="20"/>
              </w:rPr>
            </w:pPr>
            <w:r>
              <w:rPr>
                <w:spacing w:val="6"/>
                <w:sz w:val="20"/>
                <w:szCs w:val="20"/>
              </w:rPr>
              <w:t>本项目不是海洋工程，无</w:t>
            </w:r>
            <w:r>
              <w:rPr>
                <w:spacing w:val="1"/>
                <w:sz w:val="20"/>
                <w:szCs w:val="20"/>
              </w:rPr>
              <w:t xml:space="preserve"> </w:t>
            </w:r>
            <w:r>
              <w:rPr>
                <w:spacing w:val="7"/>
                <w:sz w:val="20"/>
                <w:szCs w:val="20"/>
              </w:rPr>
              <w:t>需设置海洋专项评价</w:t>
            </w:r>
          </w:p>
        </w:tc>
      </w:tr>
      <w:tr w14:paraId="137DBB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5" w:hRule="atLeast"/>
        </w:trPr>
        <w:tc>
          <w:tcPr>
            <w:tcW w:w="2156" w:type="dxa"/>
            <w:gridSpan w:val="2"/>
            <w:vMerge w:val="continue"/>
            <w:tcBorders>
              <w:top w:val="nil"/>
              <w:left w:val="single" w:color="000000" w:sz="10" w:space="0"/>
            </w:tcBorders>
            <w:vAlign w:val="top"/>
          </w:tcPr>
          <w:p w14:paraId="55D75AFE">
            <w:pPr>
              <w:rPr>
                <w:rFonts w:ascii="Arial"/>
                <w:sz w:val="21"/>
              </w:rPr>
            </w:pPr>
          </w:p>
        </w:tc>
        <w:tc>
          <w:tcPr>
            <w:tcW w:w="6766" w:type="dxa"/>
            <w:gridSpan w:val="3"/>
            <w:tcBorders>
              <w:top w:val="single" w:color="000000" w:sz="10" w:space="0"/>
              <w:right w:val="single" w:color="000000" w:sz="10" w:space="0"/>
            </w:tcBorders>
            <w:vAlign w:val="top"/>
          </w:tcPr>
          <w:p w14:paraId="180A39FD">
            <w:pPr>
              <w:pStyle w:val="6"/>
              <w:spacing w:before="158" w:line="218" w:lineRule="auto"/>
              <w:ind w:left="617"/>
            </w:pPr>
            <w:r>
              <w:rPr>
                <w:spacing w:val="-3"/>
              </w:rPr>
              <w:t>由上表可知，本项目无需设置专项评价。</w:t>
            </w:r>
          </w:p>
        </w:tc>
      </w:tr>
      <w:tr w14:paraId="161191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5" w:hRule="atLeast"/>
        </w:trPr>
        <w:tc>
          <w:tcPr>
            <w:tcW w:w="2156" w:type="dxa"/>
            <w:gridSpan w:val="2"/>
            <w:tcBorders>
              <w:left w:val="single" w:color="000000" w:sz="10" w:space="0"/>
            </w:tcBorders>
            <w:vAlign w:val="top"/>
          </w:tcPr>
          <w:p w14:paraId="3E9A7C80">
            <w:pPr>
              <w:pStyle w:val="6"/>
              <w:spacing w:before="290" w:line="220" w:lineRule="auto"/>
              <w:ind w:left="594"/>
            </w:pPr>
            <w:r>
              <w:rPr>
                <w:spacing w:val="-3"/>
              </w:rPr>
              <w:t>规划情况</w:t>
            </w:r>
          </w:p>
        </w:tc>
        <w:tc>
          <w:tcPr>
            <w:tcW w:w="6766" w:type="dxa"/>
            <w:gridSpan w:val="3"/>
            <w:tcBorders>
              <w:right w:val="single" w:color="000000" w:sz="10" w:space="0"/>
            </w:tcBorders>
            <w:vAlign w:val="top"/>
          </w:tcPr>
          <w:p w14:paraId="73242248">
            <w:pPr>
              <w:pStyle w:val="6"/>
              <w:spacing w:before="290" w:line="220" w:lineRule="auto"/>
              <w:ind w:left="3266"/>
            </w:pPr>
            <w:r>
              <w:t>无</w:t>
            </w:r>
          </w:p>
        </w:tc>
      </w:tr>
      <w:tr w14:paraId="1FDD53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1" w:hRule="atLeast"/>
        </w:trPr>
        <w:tc>
          <w:tcPr>
            <w:tcW w:w="2156" w:type="dxa"/>
            <w:gridSpan w:val="2"/>
            <w:tcBorders>
              <w:left w:val="single" w:color="000000" w:sz="10" w:space="0"/>
            </w:tcBorders>
            <w:vAlign w:val="top"/>
          </w:tcPr>
          <w:p w14:paraId="4721639B">
            <w:pPr>
              <w:pStyle w:val="6"/>
              <w:spacing w:before="274" w:line="229" w:lineRule="auto"/>
              <w:ind w:left="834" w:right="116" w:hanging="720"/>
            </w:pPr>
            <w:r>
              <w:rPr>
                <w:spacing w:val="-2"/>
              </w:rPr>
              <w:t>规划环境影响评价</w:t>
            </w:r>
            <w:r>
              <w:rPr>
                <w:spacing w:val="4"/>
              </w:rPr>
              <w:t xml:space="preserve"> </w:t>
            </w:r>
            <w:r>
              <w:rPr>
                <w:spacing w:val="-6"/>
              </w:rPr>
              <w:t>情况</w:t>
            </w:r>
          </w:p>
        </w:tc>
        <w:tc>
          <w:tcPr>
            <w:tcW w:w="6766" w:type="dxa"/>
            <w:gridSpan w:val="3"/>
            <w:tcBorders>
              <w:right w:val="single" w:color="000000" w:sz="10" w:space="0"/>
            </w:tcBorders>
            <w:vAlign w:val="top"/>
          </w:tcPr>
          <w:p w14:paraId="196CE5CA">
            <w:pPr>
              <w:spacing w:line="350" w:lineRule="auto"/>
              <w:rPr>
                <w:rFonts w:ascii="Arial"/>
                <w:sz w:val="21"/>
              </w:rPr>
            </w:pPr>
          </w:p>
          <w:p w14:paraId="22CC85B3">
            <w:pPr>
              <w:pStyle w:val="6"/>
              <w:spacing w:before="78" w:line="220" w:lineRule="auto"/>
              <w:ind w:left="3266"/>
            </w:pPr>
            <w:r>
              <w:t>无</w:t>
            </w:r>
          </w:p>
        </w:tc>
      </w:tr>
      <w:tr w14:paraId="7FA35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6" w:hRule="atLeast"/>
        </w:trPr>
        <w:tc>
          <w:tcPr>
            <w:tcW w:w="2156" w:type="dxa"/>
            <w:gridSpan w:val="2"/>
            <w:tcBorders>
              <w:left w:val="single" w:color="000000" w:sz="10" w:space="0"/>
            </w:tcBorders>
            <w:vAlign w:val="top"/>
          </w:tcPr>
          <w:p w14:paraId="7B8BCF61">
            <w:pPr>
              <w:pStyle w:val="6"/>
              <w:spacing w:before="172" w:line="229" w:lineRule="auto"/>
              <w:ind w:left="125" w:right="116" w:hanging="11"/>
            </w:pPr>
            <w:r>
              <w:rPr>
                <w:spacing w:val="-2"/>
              </w:rPr>
              <w:t>规划及规划环境影</w:t>
            </w:r>
            <w:r>
              <w:rPr>
                <w:spacing w:val="4"/>
              </w:rPr>
              <w:t xml:space="preserve"> </w:t>
            </w:r>
            <w:r>
              <w:rPr>
                <w:spacing w:val="-3"/>
              </w:rPr>
              <w:t>响评价符合性分析</w:t>
            </w:r>
          </w:p>
        </w:tc>
        <w:tc>
          <w:tcPr>
            <w:tcW w:w="6766" w:type="dxa"/>
            <w:gridSpan w:val="3"/>
            <w:tcBorders>
              <w:right w:val="single" w:color="000000" w:sz="10" w:space="0"/>
            </w:tcBorders>
            <w:vAlign w:val="top"/>
          </w:tcPr>
          <w:p w14:paraId="4A0A32C8">
            <w:pPr>
              <w:spacing w:line="249" w:lineRule="auto"/>
              <w:rPr>
                <w:rFonts w:ascii="Arial"/>
                <w:sz w:val="21"/>
              </w:rPr>
            </w:pPr>
          </w:p>
          <w:p w14:paraId="7C7C2D12">
            <w:pPr>
              <w:pStyle w:val="6"/>
              <w:spacing w:before="78" w:line="220" w:lineRule="auto"/>
              <w:ind w:left="3266"/>
            </w:pPr>
            <w:r>
              <w:t>无</w:t>
            </w:r>
          </w:p>
        </w:tc>
      </w:tr>
      <w:tr w14:paraId="2DB69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15" w:hRule="atLeast"/>
        </w:trPr>
        <w:tc>
          <w:tcPr>
            <w:tcW w:w="494" w:type="dxa"/>
            <w:tcBorders>
              <w:left w:val="single" w:color="000000" w:sz="10" w:space="0"/>
              <w:bottom w:val="single" w:color="000000" w:sz="10" w:space="0"/>
            </w:tcBorders>
            <w:textDirection w:val="tbRlV"/>
            <w:vAlign w:val="top"/>
          </w:tcPr>
          <w:p w14:paraId="09EEE006">
            <w:pPr>
              <w:pStyle w:val="6"/>
              <w:spacing w:before="129" w:line="208" w:lineRule="auto"/>
              <w:ind w:left="1523"/>
            </w:pPr>
            <w:r>
              <w:rPr>
                <w:spacing w:val="-1"/>
              </w:rPr>
              <w:t>其</w:t>
            </w:r>
            <w:r>
              <w:rPr>
                <w:spacing w:val="112"/>
              </w:rPr>
              <w:t xml:space="preserve"> </w:t>
            </w:r>
            <w:r>
              <w:rPr>
                <w:spacing w:val="-1"/>
              </w:rPr>
              <w:t>他</w:t>
            </w:r>
            <w:r>
              <w:rPr>
                <w:spacing w:val="109"/>
              </w:rPr>
              <w:t xml:space="preserve"> </w:t>
            </w:r>
            <w:r>
              <w:rPr>
                <w:spacing w:val="-1"/>
              </w:rPr>
              <w:t>符</w:t>
            </w:r>
            <w:r>
              <w:rPr>
                <w:spacing w:val="108"/>
              </w:rPr>
              <w:t xml:space="preserve"> </w:t>
            </w:r>
            <w:r>
              <w:rPr>
                <w:spacing w:val="-1"/>
              </w:rPr>
              <w:t>合</w:t>
            </w:r>
            <w:r>
              <w:rPr>
                <w:spacing w:val="108"/>
              </w:rPr>
              <w:t xml:space="preserve"> </w:t>
            </w:r>
            <w:r>
              <w:rPr>
                <w:spacing w:val="-1"/>
              </w:rPr>
              <w:t>性</w:t>
            </w:r>
            <w:r>
              <w:rPr>
                <w:spacing w:val="108"/>
              </w:rPr>
              <w:t xml:space="preserve"> </w:t>
            </w:r>
            <w:r>
              <w:rPr>
                <w:spacing w:val="-1"/>
              </w:rPr>
              <w:t>分</w:t>
            </w:r>
            <w:r>
              <w:rPr>
                <w:spacing w:val="109"/>
              </w:rPr>
              <w:t xml:space="preserve"> </w:t>
            </w:r>
            <w:r>
              <w:rPr>
                <w:spacing w:val="-1"/>
              </w:rPr>
              <w:t>析</w:t>
            </w:r>
          </w:p>
        </w:tc>
        <w:tc>
          <w:tcPr>
            <w:tcW w:w="8428" w:type="dxa"/>
            <w:gridSpan w:val="4"/>
            <w:tcBorders>
              <w:bottom w:val="single" w:color="000000" w:sz="10" w:space="0"/>
              <w:right w:val="single" w:color="000000" w:sz="10" w:space="0"/>
            </w:tcBorders>
            <w:vAlign w:val="top"/>
          </w:tcPr>
          <w:p w14:paraId="43F2C2D1">
            <w:pPr>
              <w:pStyle w:val="6"/>
              <w:spacing w:before="50" w:line="219" w:lineRule="auto"/>
              <w:ind w:left="589"/>
            </w:pPr>
            <w:r>
              <w:rPr>
                <w:rFonts w:ascii="Times New Roman" w:hAnsi="Times New Roman" w:eastAsia="Times New Roman" w:cs="Times New Roman"/>
                <w:b/>
                <w:bCs/>
                <w:spacing w:val="-6"/>
              </w:rPr>
              <w:t>1</w:t>
            </w:r>
            <w:r>
              <w:rPr>
                <w:rFonts w:ascii="Times New Roman" w:hAnsi="Times New Roman" w:eastAsia="Times New Roman" w:cs="Times New Roman"/>
                <w:b/>
                <w:bCs/>
                <w:spacing w:val="-27"/>
              </w:rPr>
              <w:t xml:space="preserve"> </w:t>
            </w:r>
            <w:r>
              <w:rPr>
                <w:b/>
                <w:bCs/>
                <w:spacing w:val="-6"/>
              </w:rPr>
              <w:t>、产业政策符合性分析</w:t>
            </w:r>
          </w:p>
          <w:p w14:paraId="1C254502">
            <w:pPr>
              <w:pStyle w:val="6"/>
              <w:spacing w:before="180" w:line="350" w:lineRule="auto"/>
              <w:ind w:left="101" w:right="19" w:firstLine="480"/>
              <w:jc w:val="both"/>
            </w:pPr>
            <w:r>
              <w:rPr>
                <w:spacing w:val="-1"/>
              </w:rPr>
              <w:t>根据国家发改委《产业结构调整指导目录》（</w:t>
            </w:r>
            <w:r>
              <w:rPr>
                <w:rFonts w:ascii="Times New Roman" w:hAnsi="Times New Roman" w:eastAsia="Times New Roman" w:cs="Times New Roman"/>
                <w:spacing w:val="-1"/>
              </w:rPr>
              <w:t xml:space="preserve">2024 </w:t>
            </w:r>
            <w:r>
              <w:rPr>
                <w:spacing w:val="-1"/>
              </w:rPr>
              <w:t>年</w:t>
            </w:r>
            <w:r>
              <w:rPr>
                <w:spacing w:val="12"/>
              </w:rPr>
              <w:t>），</w:t>
            </w:r>
            <w:r>
              <w:rPr>
                <w:spacing w:val="-1"/>
              </w:rPr>
              <w:t>本项目为报废农</w:t>
            </w:r>
            <w:r>
              <w:rPr>
                <w:spacing w:val="1"/>
              </w:rPr>
              <w:t xml:space="preserve"> </w:t>
            </w:r>
            <w:r>
              <w:rPr>
                <w:spacing w:val="-3"/>
              </w:rPr>
              <w:t>机具回收拆解项目，属于鼓励类“</w:t>
            </w:r>
            <w:r>
              <w:rPr>
                <w:spacing w:val="-74"/>
              </w:rPr>
              <w:t xml:space="preserve"> </w:t>
            </w:r>
            <w:r>
              <w:rPr>
                <w:spacing w:val="-3"/>
              </w:rPr>
              <w:t>四十二、环境保护与资源节约综合利用中</w:t>
            </w:r>
            <w:r>
              <w:rPr>
                <w:spacing w:val="-51"/>
              </w:rPr>
              <w:t xml:space="preserve"> </w:t>
            </w:r>
            <w:r>
              <w:rPr>
                <w:rFonts w:ascii="Times New Roman" w:hAnsi="Times New Roman" w:eastAsia="Times New Roman" w:cs="Times New Roman"/>
                <w:spacing w:val="-3"/>
              </w:rPr>
              <w:t>9</w:t>
            </w:r>
            <w:r>
              <w:rPr>
                <w:spacing w:val="-3"/>
              </w:rPr>
              <w:t>、</w:t>
            </w:r>
            <w:r>
              <w:t xml:space="preserve"> </w:t>
            </w:r>
            <w:r>
              <w:rPr>
                <w:spacing w:val="-2"/>
              </w:rPr>
              <w:t>再制造</w:t>
            </w:r>
            <w:r>
              <w:rPr>
                <w:spacing w:val="-78"/>
              </w:rPr>
              <w:t xml:space="preserve"> </w:t>
            </w:r>
            <w:r>
              <w:rPr>
                <w:spacing w:val="-2"/>
              </w:rPr>
              <w:t>”，因此，本项目的建设符合国家现行的产业政策。</w:t>
            </w:r>
          </w:p>
          <w:p w14:paraId="6040D3C8">
            <w:pPr>
              <w:pStyle w:val="6"/>
              <w:spacing w:before="37" w:line="219" w:lineRule="auto"/>
              <w:ind w:left="578"/>
            </w:pPr>
            <w:r>
              <w:rPr>
                <w:rFonts w:ascii="Times New Roman" w:hAnsi="Times New Roman" w:eastAsia="Times New Roman" w:cs="Times New Roman"/>
                <w:b/>
                <w:bCs/>
                <w:spacing w:val="-8"/>
              </w:rPr>
              <w:t>2</w:t>
            </w:r>
            <w:r>
              <w:rPr>
                <w:rFonts w:ascii="Times New Roman" w:hAnsi="Times New Roman" w:eastAsia="Times New Roman" w:cs="Times New Roman"/>
                <w:b/>
                <w:bCs/>
                <w:spacing w:val="-29"/>
              </w:rPr>
              <w:t xml:space="preserve"> </w:t>
            </w:r>
            <w:r>
              <w:rPr>
                <w:b/>
                <w:bCs/>
                <w:spacing w:val="-8"/>
              </w:rPr>
              <w:t>、“三线一单</w:t>
            </w:r>
            <w:r>
              <w:rPr>
                <w:spacing w:val="-86"/>
              </w:rPr>
              <w:t xml:space="preserve"> </w:t>
            </w:r>
            <w:r>
              <w:rPr>
                <w:b/>
                <w:bCs/>
                <w:spacing w:val="-8"/>
              </w:rPr>
              <w:t>”符合性</w:t>
            </w:r>
          </w:p>
          <w:p w14:paraId="562D309B">
            <w:pPr>
              <w:pStyle w:val="6"/>
              <w:spacing w:before="179" w:line="356" w:lineRule="auto"/>
              <w:ind w:left="102" w:right="97" w:firstLine="479"/>
            </w:pPr>
            <w:r>
              <w:rPr>
                <w:spacing w:val="-2"/>
              </w:rPr>
              <w:t>根据《关于发布</w:t>
            </w:r>
            <w:r>
              <w:rPr>
                <w:spacing w:val="-54"/>
              </w:rPr>
              <w:t xml:space="preserve"> </w:t>
            </w:r>
            <w:r>
              <w:rPr>
                <w:rFonts w:ascii="Times New Roman" w:hAnsi="Times New Roman" w:eastAsia="Times New Roman" w:cs="Times New Roman"/>
                <w:spacing w:val="-2"/>
              </w:rPr>
              <w:t xml:space="preserve">2023 </w:t>
            </w:r>
            <w:r>
              <w:rPr>
                <w:spacing w:val="-2"/>
              </w:rPr>
              <w:t>年生态环境分区管控动态更新成果的通知》</w:t>
            </w:r>
            <w:r>
              <w:rPr>
                <w:spacing w:val="-3"/>
              </w:rPr>
              <w:t>（黑环发</w:t>
            </w:r>
            <w:r>
              <w:t xml:space="preserve"> </w:t>
            </w:r>
            <w:r>
              <w:rPr>
                <w:spacing w:val="1"/>
              </w:rPr>
              <w:t>〔</w:t>
            </w:r>
            <w:r>
              <w:rPr>
                <w:rFonts w:ascii="Times New Roman" w:hAnsi="Times New Roman" w:eastAsia="Times New Roman" w:cs="Times New Roman"/>
                <w:spacing w:val="1"/>
              </w:rPr>
              <w:t>2024</w:t>
            </w:r>
            <w:r>
              <w:rPr>
                <w:spacing w:val="1"/>
              </w:rPr>
              <w:t>〕</w:t>
            </w:r>
            <w:r>
              <w:rPr>
                <w:rFonts w:ascii="Times New Roman" w:hAnsi="Times New Roman" w:eastAsia="Times New Roman" w:cs="Times New Roman"/>
                <w:spacing w:val="1"/>
              </w:rPr>
              <w:t>1</w:t>
            </w:r>
            <w:r>
              <w:rPr>
                <w:rFonts w:ascii="Times New Roman" w:hAnsi="Times New Roman" w:eastAsia="Times New Roman" w:cs="Times New Roman"/>
                <w:spacing w:val="18"/>
              </w:rPr>
              <w:t xml:space="preserve"> </w:t>
            </w:r>
            <w:r>
              <w:rPr>
                <w:spacing w:val="1"/>
              </w:rPr>
              <w:t>号）及《大庆市生态环境准入清单》（</w:t>
            </w:r>
            <w:r>
              <w:rPr>
                <w:rFonts w:ascii="Times New Roman" w:hAnsi="Times New Roman" w:eastAsia="Times New Roman" w:cs="Times New Roman"/>
                <w:spacing w:val="1"/>
              </w:rPr>
              <w:t xml:space="preserve">2023 </w:t>
            </w:r>
            <w:r>
              <w:rPr>
                <w:spacing w:val="1"/>
              </w:rPr>
              <w:t>年版）要求</w:t>
            </w:r>
            <w:r>
              <w:t xml:space="preserve">，在黑龙江 </w:t>
            </w:r>
            <w:r>
              <w:rPr>
                <w:spacing w:val="1"/>
              </w:rPr>
              <w:t>省生态环境分区管控数据应用平台出具的《</w:t>
            </w:r>
            <w:r>
              <w:rPr>
                <w:rFonts w:hint="eastAsia"/>
                <w:spacing w:val="1"/>
                <w:lang w:eastAsia="zh-CN"/>
              </w:rPr>
              <w:t>桦川县鸿宇报废农机拆解有限公司</w:t>
            </w:r>
            <w:r>
              <w:rPr>
                <w:spacing w:val="17"/>
              </w:rPr>
              <w:t xml:space="preserve"> </w:t>
            </w:r>
            <w:r>
              <w:rPr>
                <w:spacing w:val="1"/>
              </w:rPr>
              <w:t>农机具拆解项目生态环境分区管控分析报告》，林甸县中伟农业机械服务有限</w:t>
            </w:r>
            <w:r>
              <w:rPr>
                <w:spacing w:val="17"/>
              </w:rPr>
              <w:t xml:space="preserve"> </w:t>
            </w:r>
            <w:r>
              <w:t>公司农机具拆解项目位置涉及大庆市林甸县；与生态保护红线、</w:t>
            </w:r>
            <w:r>
              <w:rPr>
                <w:spacing w:val="-69"/>
              </w:rPr>
              <w:t xml:space="preserve"> </w:t>
            </w:r>
            <w:r>
              <w:t>自然保护地整 合优化方案数据、</w:t>
            </w:r>
            <w:r>
              <w:rPr>
                <w:spacing w:val="-69"/>
              </w:rPr>
              <w:t xml:space="preserve"> </w:t>
            </w:r>
            <w:r>
              <w:t xml:space="preserve">自然保护地（现状管理数据）、饮用水水源保护区、国家级 </w:t>
            </w:r>
            <w:r>
              <w:rPr>
                <w:spacing w:val="1"/>
              </w:rPr>
              <w:t>水产种质资源保护区、环境管控单元优先保护单元均无交集。本项目所在区域</w:t>
            </w:r>
            <w:r>
              <w:rPr>
                <w:spacing w:val="17"/>
              </w:rPr>
              <w:t xml:space="preserve"> </w:t>
            </w:r>
            <w:r>
              <w:t>属于林甸县城镇空间，环境管控单元编码</w:t>
            </w:r>
            <w:r>
              <w:rPr>
                <w:spacing w:val="-55"/>
              </w:rPr>
              <w:t xml:space="preserve"> </w:t>
            </w:r>
            <w:r>
              <w:rPr>
                <w:rFonts w:ascii="Times New Roman" w:hAnsi="Times New Roman" w:eastAsia="Times New Roman" w:cs="Times New Roman"/>
              </w:rPr>
              <w:t>ZH23062320002</w:t>
            </w:r>
            <w:r>
              <w:rPr>
                <w:rFonts w:ascii="Times New Roman" w:hAnsi="Times New Roman" w:eastAsia="Times New Roman" w:cs="Times New Roman"/>
                <w:spacing w:val="-28"/>
              </w:rPr>
              <w:t xml:space="preserve"> </w:t>
            </w:r>
            <w:r>
              <w:t>，重点管</w:t>
            </w:r>
            <w:r>
              <w:rPr>
                <w:spacing w:val="-1"/>
              </w:rPr>
              <w:t>控单元，生</w:t>
            </w:r>
          </w:p>
        </w:tc>
      </w:tr>
    </w:tbl>
    <w:p w14:paraId="7488653C">
      <w:pPr>
        <w:pStyle w:val="2"/>
        <w:spacing w:line="96" w:lineRule="exact"/>
        <w:rPr>
          <w:sz w:val="8"/>
        </w:rPr>
      </w:pPr>
    </w:p>
    <w:p w14:paraId="40A79FD9">
      <w:pPr>
        <w:spacing w:line="96" w:lineRule="exact"/>
        <w:rPr>
          <w:sz w:val="8"/>
          <w:szCs w:val="8"/>
        </w:rPr>
        <w:sectPr>
          <w:footerReference r:id="rId6"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1AD69B1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85" w:hRule="atLeast"/>
        </w:trPr>
        <w:tc>
          <w:tcPr>
            <w:tcW w:w="494" w:type="dxa"/>
            <w:tcBorders>
              <w:right w:val="single" w:color="000000" w:sz="2" w:space="0"/>
            </w:tcBorders>
            <w:vAlign w:val="top"/>
          </w:tcPr>
          <w:p w14:paraId="1D4E5B94">
            <w:pPr>
              <w:rPr>
                <w:rFonts w:ascii="Arial"/>
                <w:sz w:val="21"/>
              </w:rPr>
            </w:pPr>
          </w:p>
        </w:tc>
        <w:tc>
          <w:tcPr>
            <w:tcW w:w="8428" w:type="dxa"/>
            <w:tcBorders>
              <w:left w:val="single" w:color="000000" w:sz="2" w:space="0"/>
            </w:tcBorders>
            <w:vAlign w:val="top"/>
          </w:tcPr>
          <w:p w14:paraId="233D8984">
            <w:pPr>
              <w:pStyle w:val="6"/>
              <w:spacing w:before="21" w:line="219" w:lineRule="auto"/>
              <w:ind w:left="102"/>
            </w:pPr>
            <w:r>
              <w:rPr>
                <w:spacing w:val="-3"/>
              </w:rPr>
              <w:t>态环境准入清单符合性分析见表</w:t>
            </w:r>
            <w:r>
              <w:rPr>
                <w:spacing w:val="-18"/>
              </w:rPr>
              <w:t xml:space="preserve"> </w:t>
            </w:r>
            <w:r>
              <w:rPr>
                <w:rFonts w:ascii="Times New Roman" w:hAnsi="Times New Roman" w:eastAsia="Times New Roman" w:cs="Times New Roman"/>
                <w:spacing w:val="-3"/>
              </w:rPr>
              <w:t>1-</w:t>
            </w:r>
            <w:r>
              <w:rPr>
                <w:rFonts w:ascii="Calibri" w:hAnsi="Calibri" w:eastAsia="Calibri" w:cs="Calibri"/>
                <w:spacing w:val="-3"/>
              </w:rPr>
              <w:t>2</w:t>
            </w:r>
            <w:r>
              <w:rPr>
                <w:spacing w:val="-3"/>
              </w:rPr>
              <w:t>。</w:t>
            </w:r>
          </w:p>
          <w:p w14:paraId="33B44821">
            <w:pPr>
              <w:spacing w:line="243" w:lineRule="auto"/>
              <w:rPr>
                <w:rFonts w:ascii="Arial"/>
                <w:sz w:val="21"/>
              </w:rPr>
            </w:pPr>
          </w:p>
          <w:p w14:paraId="40526F97">
            <w:pPr>
              <w:pStyle w:val="6"/>
              <w:spacing w:before="78" w:line="219" w:lineRule="auto"/>
              <w:ind w:left="1824"/>
            </w:pPr>
            <w:r>
              <w:rPr>
                <w:b/>
                <w:bCs/>
                <w:spacing w:val="-2"/>
              </w:rPr>
              <w:t>表</w:t>
            </w:r>
            <w:r>
              <w:rPr>
                <w:rFonts w:ascii="Times New Roman" w:hAnsi="Times New Roman" w:eastAsia="Times New Roman" w:cs="Times New Roman"/>
                <w:b/>
                <w:bCs/>
                <w:spacing w:val="-2"/>
              </w:rPr>
              <w:t>1-</w:t>
            </w:r>
            <w:r>
              <w:rPr>
                <w:rFonts w:ascii="Calibri" w:hAnsi="Calibri" w:eastAsia="Calibri" w:cs="Calibri"/>
                <w:b/>
                <w:bCs/>
                <w:spacing w:val="-2"/>
              </w:rPr>
              <w:t xml:space="preserve">2  </w:t>
            </w:r>
            <w:r>
              <w:rPr>
                <w:b/>
                <w:bCs/>
                <w:spacing w:val="-2"/>
              </w:rPr>
              <w:t>与大庆市环境管控单元准入要求符合性分析</w:t>
            </w:r>
          </w:p>
          <w:p w14:paraId="52B42CB1">
            <w:pPr>
              <w:spacing w:line="18" w:lineRule="exact"/>
            </w:pPr>
          </w:p>
          <w:tbl>
            <w:tblPr>
              <w:tblStyle w:val="5"/>
              <w:tblW w:w="8036" w:type="dxa"/>
              <w:tblInd w:w="18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6"/>
              <w:gridCol w:w="790"/>
              <w:gridCol w:w="763"/>
              <w:gridCol w:w="425"/>
              <w:gridCol w:w="2589"/>
              <w:gridCol w:w="1853"/>
            </w:tblGrid>
            <w:tr w14:paraId="1C06F5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trPr>
              <w:tc>
                <w:tcPr>
                  <w:tcW w:w="1616" w:type="dxa"/>
                  <w:tcBorders>
                    <w:top w:val="single" w:color="000000" w:sz="10" w:space="0"/>
                    <w:left w:val="nil"/>
                  </w:tcBorders>
                  <w:vAlign w:val="top"/>
                </w:tcPr>
                <w:p w14:paraId="27E6894F">
                  <w:pPr>
                    <w:rPr>
                      <w:rFonts w:ascii="Arial"/>
                      <w:sz w:val="21"/>
                    </w:rPr>
                  </w:pPr>
                </w:p>
                <w:p w14:paraId="038C5AEF">
                  <w:pPr>
                    <w:pStyle w:val="6"/>
                    <w:spacing w:before="65" w:line="239" w:lineRule="auto"/>
                    <w:ind w:left="607" w:right="177" w:hanging="421"/>
                    <w:rPr>
                      <w:sz w:val="20"/>
                      <w:szCs w:val="20"/>
                    </w:rPr>
                  </w:pPr>
                  <w:r>
                    <w:rPr>
                      <w:spacing w:val="8"/>
                      <w:sz w:val="20"/>
                      <w:szCs w:val="20"/>
                    </w:rPr>
                    <w:t>环境管控单元</w:t>
                  </w:r>
                  <w:r>
                    <w:rPr>
                      <w:sz w:val="20"/>
                      <w:szCs w:val="20"/>
                    </w:rPr>
                    <w:t xml:space="preserve"> </w:t>
                  </w:r>
                  <w:r>
                    <w:rPr>
                      <w:spacing w:val="3"/>
                      <w:sz w:val="20"/>
                      <w:szCs w:val="20"/>
                    </w:rPr>
                    <w:t>编码</w:t>
                  </w:r>
                </w:p>
              </w:tc>
              <w:tc>
                <w:tcPr>
                  <w:tcW w:w="790" w:type="dxa"/>
                  <w:tcBorders>
                    <w:top w:val="single" w:color="000000" w:sz="10" w:space="0"/>
                  </w:tcBorders>
                  <w:vAlign w:val="top"/>
                </w:tcPr>
                <w:p w14:paraId="7D631CB8">
                  <w:pPr>
                    <w:pStyle w:val="6"/>
                    <w:spacing w:before="32" w:line="243" w:lineRule="auto"/>
                    <w:ind w:left="191" w:right="185" w:hanging="1"/>
                    <w:jc w:val="both"/>
                    <w:rPr>
                      <w:sz w:val="20"/>
                      <w:szCs w:val="20"/>
                    </w:rPr>
                  </w:pPr>
                  <w:r>
                    <w:rPr>
                      <w:spacing w:val="4"/>
                      <w:sz w:val="20"/>
                      <w:szCs w:val="20"/>
                    </w:rPr>
                    <w:t>环境</w:t>
                  </w:r>
                  <w:r>
                    <w:rPr>
                      <w:sz w:val="20"/>
                      <w:szCs w:val="20"/>
                    </w:rPr>
                    <w:t xml:space="preserve"> </w:t>
                  </w:r>
                  <w:r>
                    <w:rPr>
                      <w:spacing w:val="3"/>
                      <w:sz w:val="20"/>
                      <w:szCs w:val="20"/>
                    </w:rPr>
                    <w:t>管控</w:t>
                  </w:r>
                  <w:r>
                    <w:rPr>
                      <w:sz w:val="20"/>
                      <w:szCs w:val="20"/>
                    </w:rPr>
                    <w:t xml:space="preserve"> </w:t>
                  </w:r>
                  <w:r>
                    <w:rPr>
                      <w:spacing w:val="3"/>
                      <w:sz w:val="20"/>
                      <w:szCs w:val="20"/>
                    </w:rPr>
                    <w:t>单元</w:t>
                  </w:r>
                  <w:r>
                    <w:rPr>
                      <w:sz w:val="20"/>
                      <w:szCs w:val="20"/>
                    </w:rPr>
                    <w:t xml:space="preserve"> </w:t>
                  </w:r>
                  <w:r>
                    <w:rPr>
                      <w:spacing w:val="3"/>
                      <w:sz w:val="20"/>
                      <w:szCs w:val="20"/>
                    </w:rPr>
                    <w:t>名称</w:t>
                  </w:r>
                </w:p>
              </w:tc>
              <w:tc>
                <w:tcPr>
                  <w:tcW w:w="763" w:type="dxa"/>
                  <w:tcBorders>
                    <w:top w:val="single" w:color="000000" w:sz="10" w:space="0"/>
                  </w:tcBorders>
                  <w:vAlign w:val="top"/>
                </w:tcPr>
                <w:p w14:paraId="663DD894">
                  <w:pPr>
                    <w:pStyle w:val="6"/>
                    <w:spacing w:before="169" w:line="243" w:lineRule="auto"/>
                    <w:ind w:left="177" w:right="170" w:firstLine="5"/>
                    <w:jc w:val="both"/>
                    <w:rPr>
                      <w:sz w:val="20"/>
                      <w:szCs w:val="20"/>
                    </w:rPr>
                  </w:pPr>
                  <w:r>
                    <w:rPr>
                      <w:spacing w:val="2"/>
                      <w:sz w:val="20"/>
                      <w:szCs w:val="20"/>
                    </w:rPr>
                    <w:t>管控</w:t>
                  </w:r>
                  <w:r>
                    <w:rPr>
                      <w:sz w:val="20"/>
                      <w:szCs w:val="20"/>
                    </w:rPr>
                    <w:t xml:space="preserve"> </w:t>
                  </w:r>
                  <w:r>
                    <w:rPr>
                      <w:spacing w:val="4"/>
                      <w:sz w:val="20"/>
                      <w:szCs w:val="20"/>
                    </w:rPr>
                    <w:t>单元</w:t>
                  </w:r>
                  <w:r>
                    <w:rPr>
                      <w:sz w:val="20"/>
                      <w:szCs w:val="20"/>
                    </w:rPr>
                    <w:t xml:space="preserve"> </w:t>
                  </w:r>
                  <w:r>
                    <w:rPr>
                      <w:spacing w:val="4"/>
                      <w:sz w:val="20"/>
                      <w:szCs w:val="20"/>
                    </w:rPr>
                    <w:t>类别</w:t>
                  </w:r>
                </w:p>
              </w:tc>
              <w:tc>
                <w:tcPr>
                  <w:tcW w:w="3014" w:type="dxa"/>
                  <w:gridSpan w:val="2"/>
                  <w:tcBorders>
                    <w:top w:val="single" w:color="000000" w:sz="10" w:space="0"/>
                  </w:tcBorders>
                  <w:vAlign w:val="top"/>
                </w:tcPr>
                <w:p w14:paraId="7B67E851">
                  <w:pPr>
                    <w:spacing w:line="374" w:lineRule="auto"/>
                    <w:rPr>
                      <w:rFonts w:ascii="Arial"/>
                      <w:sz w:val="21"/>
                    </w:rPr>
                  </w:pPr>
                </w:p>
                <w:p w14:paraId="47159CE8">
                  <w:pPr>
                    <w:pStyle w:val="6"/>
                    <w:spacing w:before="65" w:line="228" w:lineRule="auto"/>
                    <w:ind w:left="1097"/>
                    <w:rPr>
                      <w:sz w:val="20"/>
                      <w:szCs w:val="20"/>
                    </w:rPr>
                  </w:pPr>
                  <w:r>
                    <w:rPr>
                      <w:spacing w:val="6"/>
                      <w:sz w:val="20"/>
                      <w:szCs w:val="20"/>
                    </w:rPr>
                    <w:t>管控要求</w:t>
                  </w:r>
                </w:p>
              </w:tc>
              <w:tc>
                <w:tcPr>
                  <w:tcW w:w="1853" w:type="dxa"/>
                  <w:tcBorders>
                    <w:top w:val="single" w:color="000000" w:sz="10" w:space="0"/>
                    <w:right w:val="nil"/>
                  </w:tcBorders>
                  <w:vAlign w:val="top"/>
                </w:tcPr>
                <w:p w14:paraId="48EF61D2">
                  <w:pPr>
                    <w:spacing w:line="374" w:lineRule="auto"/>
                    <w:rPr>
                      <w:rFonts w:ascii="Arial"/>
                      <w:sz w:val="21"/>
                    </w:rPr>
                  </w:pPr>
                </w:p>
                <w:p w14:paraId="1101C322">
                  <w:pPr>
                    <w:pStyle w:val="6"/>
                    <w:spacing w:before="65" w:line="228" w:lineRule="auto"/>
                    <w:ind w:left="619"/>
                    <w:rPr>
                      <w:sz w:val="20"/>
                      <w:szCs w:val="20"/>
                    </w:rPr>
                  </w:pPr>
                  <w:r>
                    <w:rPr>
                      <w:spacing w:val="6"/>
                      <w:sz w:val="20"/>
                      <w:szCs w:val="20"/>
                    </w:rPr>
                    <w:t>符合性</w:t>
                  </w:r>
                </w:p>
              </w:tc>
            </w:tr>
            <w:tr w14:paraId="53C961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6" w:hRule="atLeast"/>
              </w:trPr>
              <w:tc>
                <w:tcPr>
                  <w:tcW w:w="1616" w:type="dxa"/>
                  <w:vMerge w:val="restart"/>
                  <w:tcBorders>
                    <w:left w:val="nil"/>
                    <w:bottom w:val="nil"/>
                  </w:tcBorders>
                  <w:vAlign w:val="top"/>
                </w:tcPr>
                <w:p w14:paraId="1CBCA04E">
                  <w:pPr>
                    <w:spacing w:line="243" w:lineRule="auto"/>
                    <w:rPr>
                      <w:rFonts w:ascii="Arial"/>
                      <w:sz w:val="21"/>
                    </w:rPr>
                  </w:pPr>
                </w:p>
                <w:p w14:paraId="2411E2D1">
                  <w:pPr>
                    <w:spacing w:line="243" w:lineRule="auto"/>
                    <w:rPr>
                      <w:rFonts w:ascii="Arial"/>
                      <w:sz w:val="21"/>
                    </w:rPr>
                  </w:pPr>
                </w:p>
                <w:p w14:paraId="4FB6920B">
                  <w:pPr>
                    <w:spacing w:line="243" w:lineRule="auto"/>
                    <w:rPr>
                      <w:rFonts w:ascii="Arial"/>
                      <w:sz w:val="21"/>
                    </w:rPr>
                  </w:pPr>
                </w:p>
                <w:p w14:paraId="4C92D642">
                  <w:pPr>
                    <w:spacing w:line="243" w:lineRule="auto"/>
                    <w:rPr>
                      <w:rFonts w:ascii="Arial"/>
                      <w:sz w:val="21"/>
                    </w:rPr>
                  </w:pPr>
                </w:p>
                <w:p w14:paraId="2ED3730E">
                  <w:pPr>
                    <w:spacing w:line="243" w:lineRule="auto"/>
                    <w:rPr>
                      <w:rFonts w:ascii="Arial"/>
                      <w:sz w:val="21"/>
                    </w:rPr>
                  </w:pPr>
                </w:p>
                <w:p w14:paraId="518946D6">
                  <w:pPr>
                    <w:spacing w:line="243" w:lineRule="auto"/>
                    <w:rPr>
                      <w:rFonts w:ascii="Arial"/>
                      <w:sz w:val="21"/>
                    </w:rPr>
                  </w:pPr>
                </w:p>
                <w:p w14:paraId="66A009D9">
                  <w:pPr>
                    <w:spacing w:line="243" w:lineRule="auto"/>
                    <w:rPr>
                      <w:rFonts w:ascii="Arial"/>
                      <w:sz w:val="21"/>
                    </w:rPr>
                  </w:pPr>
                </w:p>
                <w:p w14:paraId="5DB3AC30">
                  <w:pPr>
                    <w:spacing w:line="243" w:lineRule="auto"/>
                    <w:rPr>
                      <w:rFonts w:ascii="Arial"/>
                      <w:sz w:val="21"/>
                    </w:rPr>
                  </w:pPr>
                </w:p>
                <w:p w14:paraId="38A39DDD">
                  <w:pPr>
                    <w:spacing w:line="243" w:lineRule="auto"/>
                    <w:rPr>
                      <w:rFonts w:ascii="Arial"/>
                      <w:sz w:val="21"/>
                    </w:rPr>
                  </w:pPr>
                </w:p>
                <w:p w14:paraId="7F871990">
                  <w:pPr>
                    <w:spacing w:line="243" w:lineRule="auto"/>
                    <w:rPr>
                      <w:rFonts w:ascii="Arial"/>
                      <w:sz w:val="21"/>
                    </w:rPr>
                  </w:pPr>
                </w:p>
                <w:p w14:paraId="54733F24">
                  <w:pPr>
                    <w:spacing w:line="243" w:lineRule="auto"/>
                    <w:rPr>
                      <w:rFonts w:ascii="Arial"/>
                      <w:sz w:val="21"/>
                    </w:rPr>
                  </w:pPr>
                </w:p>
                <w:p w14:paraId="14DF18BA">
                  <w:pPr>
                    <w:spacing w:line="243" w:lineRule="auto"/>
                    <w:rPr>
                      <w:rFonts w:ascii="Arial"/>
                      <w:sz w:val="21"/>
                    </w:rPr>
                  </w:pPr>
                </w:p>
                <w:p w14:paraId="36A1A067">
                  <w:pPr>
                    <w:spacing w:line="243" w:lineRule="auto"/>
                    <w:rPr>
                      <w:rFonts w:ascii="Arial"/>
                      <w:sz w:val="21"/>
                    </w:rPr>
                  </w:pPr>
                </w:p>
                <w:p w14:paraId="00F4833F">
                  <w:pPr>
                    <w:spacing w:line="243" w:lineRule="auto"/>
                    <w:rPr>
                      <w:rFonts w:ascii="Arial"/>
                      <w:sz w:val="21"/>
                    </w:rPr>
                  </w:pPr>
                </w:p>
                <w:p w14:paraId="29E27DA8">
                  <w:pPr>
                    <w:spacing w:line="243" w:lineRule="auto"/>
                    <w:rPr>
                      <w:rFonts w:ascii="Arial"/>
                      <w:sz w:val="21"/>
                    </w:rPr>
                  </w:pPr>
                </w:p>
                <w:p w14:paraId="272CEAAB">
                  <w:pPr>
                    <w:spacing w:line="243" w:lineRule="auto"/>
                    <w:rPr>
                      <w:rFonts w:ascii="Arial"/>
                      <w:sz w:val="21"/>
                    </w:rPr>
                  </w:pPr>
                </w:p>
                <w:p w14:paraId="1B307D3F">
                  <w:pPr>
                    <w:spacing w:line="243" w:lineRule="auto"/>
                    <w:rPr>
                      <w:rFonts w:ascii="Arial"/>
                      <w:sz w:val="21"/>
                    </w:rPr>
                  </w:pPr>
                </w:p>
                <w:p w14:paraId="0FB66E20">
                  <w:pPr>
                    <w:spacing w:line="243" w:lineRule="auto"/>
                    <w:rPr>
                      <w:rFonts w:ascii="Arial"/>
                      <w:sz w:val="21"/>
                    </w:rPr>
                  </w:pPr>
                </w:p>
                <w:p w14:paraId="248A70CA">
                  <w:pPr>
                    <w:spacing w:line="243" w:lineRule="auto"/>
                    <w:rPr>
                      <w:rFonts w:ascii="Arial"/>
                      <w:sz w:val="21"/>
                    </w:rPr>
                  </w:pPr>
                </w:p>
                <w:p w14:paraId="5DC29459">
                  <w:pPr>
                    <w:spacing w:line="243" w:lineRule="auto"/>
                    <w:rPr>
                      <w:rFonts w:ascii="Arial"/>
                      <w:sz w:val="21"/>
                    </w:rPr>
                  </w:pPr>
                </w:p>
                <w:p w14:paraId="3430A081">
                  <w:pPr>
                    <w:spacing w:line="243" w:lineRule="auto"/>
                    <w:rPr>
                      <w:rFonts w:ascii="Arial"/>
                      <w:sz w:val="21"/>
                    </w:rPr>
                  </w:pPr>
                </w:p>
                <w:p w14:paraId="62E26A61">
                  <w:pPr>
                    <w:spacing w:line="243" w:lineRule="auto"/>
                    <w:rPr>
                      <w:rFonts w:ascii="Arial"/>
                      <w:sz w:val="21"/>
                    </w:rPr>
                  </w:pPr>
                </w:p>
                <w:p w14:paraId="4599D02A">
                  <w:pPr>
                    <w:spacing w:line="243" w:lineRule="auto"/>
                    <w:rPr>
                      <w:rFonts w:ascii="Arial"/>
                      <w:sz w:val="21"/>
                    </w:rPr>
                  </w:pPr>
                </w:p>
                <w:p w14:paraId="748D8CB3">
                  <w:pPr>
                    <w:spacing w:line="244" w:lineRule="auto"/>
                    <w:rPr>
                      <w:rFonts w:ascii="Arial"/>
                      <w:sz w:val="21"/>
                    </w:rPr>
                  </w:pPr>
                </w:p>
                <w:p w14:paraId="7E0A2FAA">
                  <w:pPr>
                    <w:spacing w:before="61" w:line="186" w:lineRule="auto"/>
                    <w:ind w:left="114"/>
                    <w:rPr>
                      <w:rFonts w:ascii="Calibri" w:hAnsi="Calibri" w:eastAsia="Calibri" w:cs="Calibri"/>
                      <w:sz w:val="20"/>
                      <w:szCs w:val="20"/>
                    </w:rPr>
                  </w:pPr>
                  <w:r>
                    <w:rPr>
                      <w:rFonts w:ascii="Calibri" w:hAnsi="Calibri" w:eastAsia="Calibri" w:cs="Calibri"/>
                      <w:sz w:val="20"/>
                      <w:szCs w:val="20"/>
                    </w:rPr>
                    <w:t>ZH</w:t>
                  </w:r>
                  <w:r>
                    <w:rPr>
                      <w:rFonts w:ascii="Calibri" w:hAnsi="Calibri" w:eastAsia="Calibri" w:cs="Calibri"/>
                      <w:spacing w:val="5"/>
                      <w:sz w:val="20"/>
                      <w:szCs w:val="20"/>
                    </w:rPr>
                    <w:t>23062320002</w:t>
                  </w:r>
                </w:p>
              </w:tc>
              <w:tc>
                <w:tcPr>
                  <w:tcW w:w="790" w:type="dxa"/>
                  <w:vMerge w:val="restart"/>
                  <w:tcBorders>
                    <w:bottom w:val="nil"/>
                  </w:tcBorders>
                  <w:vAlign w:val="top"/>
                </w:tcPr>
                <w:p w14:paraId="2A75796E">
                  <w:pPr>
                    <w:spacing w:line="244" w:lineRule="auto"/>
                    <w:rPr>
                      <w:rFonts w:ascii="Arial"/>
                      <w:sz w:val="21"/>
                    </w:rPr>
                  </w:pPr>
                </w:p>
                <w:p w14:paraId="6C6EF5FD">
                  <w:pPr>
                    <w:spacing w:line="244" w:lineRule="auto"/>
                    <w:rPr>
                      <w:rFonts w:ascii="Arial"/>
                      <w:sz w:val="21"/>
                    </w:rPr>
                  </w:pPr>
                </w:p>
                <w:p w14:paraId="2D4B07A9">
                  <w:pPr>
                    <w:spacing w:line="244" w:lineRule="auto"/>
                    <w:rPr>
                      <w:rFonts w:ascii="Arial"/>
                      <w:sz w:val="21"/>
                    </w:rPr>
                  </w:pPr>
                </w:p>
                <w:p w14:paraId="6B74D36B">
                  <w:pPr>
                    <w:spacing w:line="244" w:lineRule="auto"/>
                    <w:rPr>
                      <w:rFonts w:ascii="Arial"/>
                      <w:sz w:val="21"/>
                    </w:rPr>
                  </w:pPr>
                </w:p>
                <w:p w14:paraId="194FFD8C">
                  <w:pPr>
                    <w:spacing w:line="244" w:lineRule="auto"/>
                    <w:rPr>
                      <w:rFonts w:ascii="Arial"/>
                      <w:sz w:val="21"/>
                    </w:rPr>
                  </w:pPr>
                </w:p>
                <w:p w14:paraId="40A9A7B9">
                  <w:pPr>
                    <w:spacing w:line="244" w:lineRule="auto"/>
                    <w:rPr>
                      <w:rFonts w:ascii="Arial"/>
                      <w:sz w:val="21"/>
                    </w:rPr>
                  </w:pPr>
                </w:p>
                <w:p w14:paraId="0802884F">
                  <w:pPr>
                    <w:spacing w:line="244" w:lineRule="auto"/>
                    <w:rPr>
                      <w:rFonts w:ascii="Arial"/>
                      <w:sz w:val="21"/>
                    </w:rPr>
                  </w:pPr>
                </w:p>
                <w:p w14:paraId="7948A42B">
                  <w:pPr>
                    <w:spacing w:line="244" w:lineRule="auto"/>
                    <w:rPr>
                      <w:rFonts w:ascii="Arial"/>
                      <w:sz w:val="21"/>
                    </w:rPr>
                  </w:pPr>
                </w:p>
                <w:p w14:paraId="0D71096A">
                  <w:pPr>
                    <w:spacing w:line="245" w:lineRule="auto"/>
                    <w:rPr>
                      <w:rFonts w:ascii="Arial"/>
                      <w:sz w:val="21"/>
                    </w:rPr>
                  </w:pPr>
                </w:p>
                <w:p w14:paraId="13775943">
                  <w:pPr>
                    <w:spacing w:line="245" w:lineRule="auto"/>
                    <w:rPr>
                      <w:rFonts w:ascii="Arial"/>
                      <w:sz w:val="21"/>
                    </w:rPr>
                  </w:pPr>
                </w:p>
                <w:p w14:paraId="0E9A993C">
                  <w:pPr>
                    <w:spacing w:line="245" w:lineRule="auto"/>
                    <w:rPr>
                      <w:rFonts w:ascii="Arial"/>
                      <w:sz w:val="21"/>
                    </w:rPr>
                  </w:pPr>
                </w:p>
                <w:p w14:paraId="56CA9A96">
                  <w:pPr>
                    <w:spacing w:line="245" w:lineRule="auto"/>
                    <w:rPr>
                      <w:rFonts w:ascii="Arial"/>
                      <w:sz w:val="21"/>
                    </w:rPr>
                  </w:pPr>
                </w:p>
                <w:p w14:paraId="79A496CB">
                  <w:pPr>
                    <w:spacing w:line="245" w:lineRule="auto"/>
                    <w:rPr>
                      <w:rFonts w:ascii="Arial"/>
                      <w:sz w:val="21"/>
                    </w:rPr>
                  </w:pPr>
                </w:p>
                <w:p w14:paraId="12D06DC8">
                  <w:pPr>
                    <w:spacing w:line="245" w:lineRule="auto"/>
                    <w:rPr>
                      <w:rFonts w:ascii="Arial"/>
                      <w:sz w:val="21"/>
                    </w:rPr>
                  </w:pPr>
                </w:p>
                <w:p w14:paraId="42C93750">
                  <w:pPr>
                    <w:spacing w:line="245" w:lineRule="auto"/>
                    <w:rPr>
                      <w:rFonts w:ascii="Arial"/>
                      <w:sz w:val="21"/>
                    </w:rPr>
                  </w:pPr>
                </w:p>
                <w:p w14:paraId="2F3BD9A8">
                  <w:pPr>
                    <w:spacing w:line="245" w:lineRule="auto"/>
                    <w:rPr>
                      <w:rFonts w:ascii="Arial"/>
                      <w:sz w:val="21"/>
                    </w:rPr>
                  </w:pPr>
                </w:p>
                <w:p w14:paraId="4F4D0E4F">
                  <w:pPr>
                    <w:spacing w:line="245" w:lineRule="auto"/>
                    <w:rPr>
                      <w:rFonts w:ascii="Arial"/>
                      <w:sz w:val="21"/>
                    </w:rPr>
                  </w:pPr>
                </w:p>
                <w:p w14:paraId="38292E26">
                  <w:pPr>
                    <w:spacing w:line="245" w:lineRule="auto"/>
                    <w:rPr>
                      <w:rFonts w:ascii="Arial"/>
                      <w:sz w:val="21"/>
                    </w:rPr>
                  </w:pPr>
                </w:p>
                <w:p w14:paraId="209D296E">
                  <w:pPr>
                    <w:spacing w:line="245" w:lineRule="auto"/>
                    <w:rPr>
                      <w:rFonts w:ascii="Arial"/>
                      <w:sz w:val="21"/>
                    </w:rPr>
                  </w:pPr>
                </w:p>
                <w:p w14:paraId="60D8CE40">
                  <w:pPr>
                    <w:spacing w:line="245" w:lineRule="auto"/>
                    <w:rPr>
                      <w:rFonts w:ascii="Arial"/>
                      <w:sz w:val="21"/>
                    </w:rPr>
                  </w:pPr>
                </w:p>
                <w:p w14:paraId="4631D4D3">
                  <w:pPr>
                    <w:spacing w:line="245" w:lineRule="auto"/>
                    <w:rPr>
                      <w:rFonts w:ascii="Arial"/>
                      <w:sz w:val="21"/>
                    </w:rPr>
                  </w:pPr>
                </w:p>
                <w:p w14:paraId="1647417B">
                  <w:pPr>
                    <w:spacing w:line="245" w:lineRule="auto"/>
                    <w:rPr>
                      <w:rFonts w:ascii="Arial"/>
                      <w:sz w:val="21"/>
                    </w:rPr>
                  </w:pPr>
                </w:p>
                <w:p w14:paraId="7F205CC7">
                  <w:pPr>
                    <w:pStyle w:val="6"/>
                    <w:spacing w:before="65" w:line="228" w:lineRule="auto"/>
                    <w:ind w:left="190"/>
                    <w:rPr>
                      <w:sz w:val="20"/>
                      <w:szCs w:val="20"/>
                    </w:rPr>
                  </w:pPr>
                  <w:r>
                    <w:rPr>
                      <w:spacing w:val="4"/>
                      <w:sz w:val="20"/>
                      <w:szCs w:val="20"/>
                    </w:rPr>
                    <w:t>林甸</w:t>
                  </w:r>
                </w:p>
                <w:p w14:paraId="57B1C6E4">
                  <w:pPr>
                    <w:pStyle w:val="6"/>
                    <w:spacing w:before="24" w:line="228" w:lineRule="auto"/>
                    <w:ind w:left="190"/>
                    <w:rPr>
                      <w:sz w:val="20"/>
                      <w:szCs w:val="20"/>
                    </w:rPr>
                  </w:pPr>
                  <w:r>
                    <w:rPr>
                      <w:spacing w:val="5"/>
                      <w:sz w:val="20"/>
                      <w:szCs w:val="20"/>
                    </w:rPr>
                    <w:t>县城</w:t>
                  </w:r>
                </w:p>
                <w:p w14:paraId="0ABBDA98">
                  <w:pPr>
                    <w:pStyle w:val="6"/>
                    <w:spacing w:before="26" w:line="228" w:lineRule="auto"/>
                    <w:ind w:left="190"/>
                    <w:rPr>
                      <w:sz w:val="20"/>
                      <w:szCs w:val="20"/>
                    </w:rPr>
                  </w:pPr>
                  <w:r>
                    <w:rPr>
                      <w:spacing w:val="4"/>
                      <w:sz w:val="20"/>
                      <w:szCs w:val="20"/>
                    </w:rPr>
                    <w:t>镇空</w:t>
                  </w:r>
                </w:p>
                <w:p w14:paraId="0CCEF3D3">
                  <w:pPr>
                    <w:pStyle w:val="6"/>
                    <w:spacing w:before="25" w:line="230" w:lineRule="auto"/>
                    <w:ind w:left="311"/>
                    <w:rPr>
                      <w:sz w:val="20"/>
                      <w:szCs w:val="20"/>
                    </w:rPr>
                  </w:pPr>
                  <w:r>
                    <w:rPr>
                      <w:sz w:val="20"/>
                      <w:szCs w:val="20"/>
                    </w:rPr>
                    <w:t>间</w:t>
                  </w:r>
                </w:p>
              </w:tc>
              <w:tc>
                <w:tcPr>
                  <w:tcW w:w="763" w:type="dxa"/>
                  <w:vMerge w:val="restart"/>
                  <w:tcBorders>
                    <w:bottom w:val="nil"/>
                  </w:tcBorders>
                  <w:vAlign w:val="top"/>
                </w:tcPr>
                <w:p w14:paraId="142CD31A">
                  <w:pPr>
                    <w:spacing w:line="250" w:lineRule="auto"/>
                    <w:rPr>
                      <w:rFonts w:ascii="Arial"/>
                      <w:sz w:val="21"/>
                    </w:rPr>
                  </w:pPr>
                </w:p>
                <w:p w14:paraId="6E0D786F">
                  <w:pPr>
                    <w:spacing w:line="250" w:lineRule="auto"/>
                    <w:rPr>
                      <w:rFonts w:ascii="Arial"/>
                      <w:sz w:val="21"/>
                    </w:rPr>
                  </w:pPr>
                </w:p>
                <w:p w14:paraId="72E0BC94">
                  <w:pPr>
                    <w:spacing w:line="250" w:lineRule="auto"/>
                    <w:rPr>
                      <w:rFonts w:ascii="Arial"/>
                      <w:sz w:val="21"/>
                    </w:rPr>
                  </w:pPr>
                </w:p>
                <w:p w14:paraId="19E44590">
                  <w:pPr>
                    <w:spacing w:line="250" w:lineRule="auto"/>
                    <w:rPr>
                      <w:rFonts w:ascii="Arial"/>
                      <w:sz w:val="21"/>
                    </w:rPr>
                  </w:pPr>
                </w:p>
                <w:p w14:paraId="3050EBCC">
                  <w:pPr>
                    <w:spacing w:line="251" w:lineRule="auto"/>
                    <w:rPr>
                      <w:rFonts w:ascii="Arial"/>
                      <w:sz w:val="21"/>
                    </w:rPr>
                  </w:pPr>
                </w:p>
                <w:p w14:paraId="534B89C1">
                  <w:pPr>
                    <w:spacing w:line="251" w:lineRule="auto"/>
                    <w:rPr>
                      <w:rFonts w:ascii="Arial"/>
                      <w:sz w:val="21"/>
                    </w:rPr>
                  </w:pPr>
                </w:p>
                <w:p w14:paraId="24A2E6F0">
                  <w:pPr>
                    <w:spacing w:line="251" w:lineRule="auto"/>
                    <w:rPr>
                      <w:rFonts w:ascii="Arial"/>
                      <w:sz w:val="21"/>
                    </w:rPr>
                  </w:pPr>
                </w:p>
                <w:p w14:paraId="55FD45AC">
                  <w:pPr>
                    <w:spacing w:line="251" w:lineRule="auto"/>
                    <w:rPr>
                      <w:rFonts w:ascii="Arial"/>
                      <w:sz w:val="21"/>
                    </w:rPr>
                  </w:pPr>
                </w:p>
                <w:p w14:paraId="1B1907D1">
                  <w:pPr>
                    <w:spacing w:line="251" w:lineRule="auto"/>
                    <w:rPr>
                      <w:rFonts w:ascii="Arial"/>
                      <w:sz w:val="21"/>
                    </w:rPr>
                  </w:pPr>
                </w:p>
                <w:p w14:paraId="4697BA4D">
                  <w:pPr>
                    <w:spacing w:line="251" w:lineRule="auto"/>
                    <w:rPr>
                      <w:rFonts w:ascii="Arial"/>
                      <w:sz w:val="21"/>
                    </w:rPr>
                  </w:pPr>
                </w:p>
                <w:p w14:paraId="38DCC362">
                  <w:pPr>
                    <w:spacing w:line="251" w:lineRule="auto"/>
                    <w:rPr>
                      <w:rFonts w:ascii="Arial"/>
                      <w:sz w:val="21"/>
                    </w:rPr>
                  </w:pPr>
                </w:p>
                <w:p w14:paraId="178EE3B0">
                  <w:pPr>
                    <w:spacing w:line="251" w:lineRule="auto"/>
                    <w:rPr>
                      <w:rFonts w:ascii="Arial"/>
                      <w:sz w:val="21"/>
                    </w:rPr>
                  </w:pPr>
                </w:p>
                <w:p w14:paraId="21D11271">
                  <w:pPr>
                    <w:spacing w:line="251" w:lineRule="auto"/>
                    <w:rPr>
                      <w:rFonts w:ascii="Arial"/>
                      <w:sz w:val="21"/>
                    </w:rPr>
                  </w:pPr>
                </w:p>
                <w:p w14:paraId="3ECFEFA1">
                  <w:pPr>
                    <w:spacing w:line="251" w:lineRule="auto"/>
                    <w:rPr>
                      <w:rFonts w:ascii="Arial"/>
                      <w:sz w:val="21"/>
                    </w:rPr>
                  </w:pPr>
                </w:p>
                <w:p w14:paraId="098DC7E7">
                  <w:pPr>
                    <w:spacing w:line="251" w:lineRule="auto"/>
                    <w:rPr>
                      <w:rFonts w:ascii="Arial"/>
                      <w:sz w:val="21"/>
                    </w:rPr>
                  </w:pPr>
                </w:p>
                <w:p w14:paraId="6D759FBE">
                  <w:pPr>
                    <w:spacing w:line="251" w:lineRule="auto"/>
                    <w:rPr>
                      <w:rFonts w:ascii="Arial"/>
                      <w:sz w:val="21"/>
                    </w:rPr>
                  </w:pPr>
                </w:p>
                <w:p w14:paraId="76DD8F5B">
                  <w:pPr>
                    <w:spacing w:line="251" w:lineRule="auto"/>
                    <w:rPr>
                      <w:rFonts w:ascii="Arial"/>
                      <w:sz w:val="21"/>
                    </w:rPr>
                  </w:pPr>
                </w:p>
                <w:p w14:paraId="6644B814">
                  <w:pPr>
                    <w:spacing w:line="251" w:lineRule="auto"/>
                    <w:rPr>
                      <w:rFonts w:ascii="Arial"/>
                      <w:sz w:val="21"/>
                    </w:rPr>
                  </w:pPr>
                </w:p>
                <w:p w14:paraId="718F1ED2">
                  <w:pPr>
                    <w:spacing w:line="251" w:lineRule="auto"/>
                    <w:rPr>
                      <w:rFonts w:ascii="Arial"/>
                      <w:sz w:val="21"/>
                    </w:rPr>
                  </w:pPr>
                </w:p>
                <w:p w14:paraId="39B6DBDF">
                  <w:pPr>
                    <w:spacing w:line="251" w:lineRule="auto"/>
                    <w:rPr>
                      <w:rFonts w:ascii="Arial"/>
                      <w:sz w:val="21"/>
                    </w:rPr>
                  </w:pPr>
                </w:p>
                <w:p w14:paraId="55471117">
                  <w:pPr>
                    <w:spacing w:line="251" w:lineRule="auto"/>
                    <w:rPr>
                      <w:rFonts w:ascii="Arial"/>
                      <w:sz w:val="21"/>
                    </w:rPr>
                  </w:pPr>
                </w:p>
                <w:p w14:paraId="685D06F4">
                  <w:pPr>
                    <w:spacing w:line="251" w:lineRule="auto"/>
                    <w:rPr>
                      <w:rFonts w:ascii="Arial"/>
                      <w:sz w:val="21"/>
                    </w:rPr>
                  </w:pPr>
                </w:p>
                <w:p w14:paraId="1D746A99">
                  <w:pPr>
                    <w:pStyle w:val="6"/>
                    <w:spacing w:before="65" w:line="243" w:lineRule="auto"/>
                    <w:ind w:left="178" w:right="170"/>
                    <w:jc w:val="both"/>
                    <w:rPr>
                      <w:sz w:val="20"/>
                      <w:szCs w:val="20"/>
                    </w:rPr>
                  </w:pPr>
                  <w:r>
                    <w:rPr>
                      <w:spacing w:val="4"/>
                      <w:sz w:val="20"/>
                      <w:szCs w:val="20"/>
                    </w:rPr>
                    <w:t>重点</w:t>
                  </w:r>
                  <w:r>
                    <w:rPr>
                      <w:sz w:val="20"/>
                      <w:szCs w:val="20"/>
                    </w:rPr>
                    <w:t xml:space="preserve"> </w:t>
                  </w:r>
                  <w:r>
                    <w:rPr>
                      <w:spacing w:val="3"/>
                      <w:sz w:val="20"/>
                      <w:szCs w:val="20"/>
                    </w:rPr>
                    <w:t>管控</w:t>
                  </w:r>
                  <w:r>
                    <w:rPr>
                      <w:sz w:val="20"/>
                      <w:szCs w:val="20"/>
                    </w:rPr>
                    <w:t xml:space="preserve"> </w:t>
                  </w:r>
                  <w:r>
                    <w:rPr>
                      <w:spacing w:val="3"/>
                      <w:sz w:val="20"/>
                      <w:szCs w:val="20"/>
                    </w:rPr>
                    <w:t>单元</w:t>
                  </w:r>
                </w:p>
              </w:tc>
              <w:tc>
                <w:tcPr>
                  <w:tcW w:w="425" w:type="dxa"/>
                  <w:textDirection w:val="tbRlV"/>
                  <w:vAlign w:val="top"/>
                </w:tcPr>
                <w:p w14:paraId="610581C9">
                  <w:pPr>
                    <w:pStyle w:val="6"/>
                    <w:spacing w:before="105" w:line="215" w:lineRule="auto"/>
                    <w:ind w:left="4114"/>
                    <w:rPr>
                      <w:sz w:val="20"/>
                      <w:szCs w:val="20"/>
                    </w:rPr>
                  </w:pPr>
                  <w:r>
                    <w:rPr>
                      <w:spacing w:val="8"/>
                      <w:sz w:val="20"/>
                      <w:szCs w:val="20"/>
                    </w:rPr>
                    <w:t>空</w:t>
                  </w:r>
                  <w:r>
                    <w:rPr>
                      <w:spacing w:val="-33"/>
                      <w:sz w:val="20"/>
                      <w:szCs w:val="20"/>
                    </w:rPr>
                    <w:t xml:space="preserve"> </w:t>
                  </w:r>
                  <w:r>
                    <w:rPr>
                      <w:spacing w:val="8"/>
                      <w:sz w:val="20"/>
                      <w:szCs w:val="20"/>
                    </w:rPr>
                    <w:t>间</w:t>
                  </w:r>
                  <w:r>
                    <w:rPr>
                      <w:spacing w:val="-37"/>
                      <w:sz w:val="20"/>
                      <w:szCs w:val="20"/>
                    </w:rPr>
                    <w:t xml:space="preserve"> </w:t>
                  </w:r>
                  <w:r>
                    <w:rPr>
                      <w:spacing w:val="8"/>
                      <w:sz w:val="20"/>
                      <w:szCs w:val="20"/>
                    </w:rPr>
                    <w:t>布</w:t>
                  </w:r>
                  <w:r>
                    <w:rPr>
                      <w:spacing w:val="-36"/>
                      <w:sz w:val="20"/>
                      <w:szCs w:val="20"/>
                    </w:rPr>
                    <w:t xml:space="preserve"> </w:t>
                  </w:r>
                  <w:r>
                    <w:rPr>
                      <w:spacing w:val="8"/>
                      <w:sz w:val="20"/>
                      <w:szCs w:val="20"/>
                    </w:rPr>
                    <w:t>局</w:t>
                  </w:r>
                  <w:r>
                    <w:rPr>
                      <w:spacing w:val="-37"/>
                      <w:sz w:val="20"/>
                      <w:szCs w:val="20"/>
                    </w:rPr>
                    <w:t xml:space="preserve"> </w:t>
                  </w:r>
                  <w:r>
                    <w:rPr>
                      <w:spacing w:val="8"/>
                      <w:sz w:val="20"/>
                      <w:szCs w:val="20"/>
                    </w:rPr>
                    <w:t>约</w:t>
                  </w:r>
                  <w:r>
                    <w:rPr>
                      <w:spacing w:val="-35"/>
                      <w:sz w:val="20"/>
                      <w:szCs w:val="20"/>
                    </w:rPr>
                    <w:t xml:space="preserve"> </w:t>
                  </w:r>
                  <w:r>
                    <w:rPr>
                      <w:spacing w:val="8"/>
                      <w:sz w:val="20"/>
                      <w:szCs w:val="20"/>
                    </w:rPr>
                    <w:t>束</w:t>
                  </w:r>
                </w:p>
              </w:tc>
              <w:tc>
                <w:tcPr>
                  <w:tcW w:w="2589" w:type="dxa"/>
                  <w:vAlign w:val="top"/>
                </w:tcPr>
                <w:p w14:paraId="079BD2B3">
                  <w:pPr>
                    <w:pStyle w:val="6"/>
                    <w:spacing w:before="33" w:line="248" w:lineRule="auto"/>
                    <w:ind w:left="114" w:right="105" w:firstLine="437"/>
                    <w:jc w:val="both"/>
                    <w:rPr>
                      <w:sz w:val="20"/>
                      <w:szCs w:val="20"/>
                    </w:rPr>
                  </w:pPr>
                  <w:r>
                    <w:rPr>
                      <w:rFonts w:ascii="Times New Roman" w:hAnsi="Times New Roman" w:eastAsia="Times New Roman" w:cs="Times New Roman"/>
                      <w:spacing w:val="15"/>
                      <w:sz w:val="20"/>
                      <w:szCs w:val="20"/>
                    </w:rPr>
                    <w:t>1.</w:t>
                  </w:r>
                  <w:r>
                    <w:rPr>
                      <w:rFonts w:ascii="Times New Roman" w:hAnsi="Times New Roman" w:eastAsia="Times New Roman" w:cs="Times New Roman"/>
                      <w:spacing w:val="-27"/>
                      <w:sz w:val="20"/>
                      <w:szCs w:val="20"/>
                    </w:rPr>
                    <w:t xml:space="preserve"> </w:t>
                  </w:r>
                  <w:r>
                    <w:rPr>
                      <w:spacing w:val="15"/>
                      <w:sz w:val="20"/>
                      <w:szCs w:val="20"/>
                    </w:rPr>
                    <w:t>严禁在人口密集区</w:t>
                  </w:r>
                  <w:r>
                    <w:rPr>
                      <w:sz w:val="20"/>
                      <w:szCs w:val="20"/>
                    </w:rPr>
                    <w:t xml:space="preserve"> </w:t>
                  </w:r>
                  <w:r>
                    <w:rPr>
                      <w:spacing w:val="36"/>
                      <w:sz w:val="20"/>
                      <w:szCs w:val="20"/>
                    </w:rPr>
                    <w:t>新建危险化学品生产项</w:t>
                  </w:r>
                  <w:r>
                    <w:rPr>
                      <w:spacing w:val="3"/>
                      <w:sz w:val="20"/>
                      <w:szCs w:val="20"/>
                    </w:rPr>
                    <w:t xml:space="preserve"> </w:t>
                  </w:r>
                  <w:r>
                    <w:rPr>
                      <w:spacing w:val="14"/>
                      <w:sz w:val="20"/>
                      <w:szCs w:val="20"/>
                    </w:rPr>
                    <w:t>目，城镇人口密集区危险</w:t>
                  </w:r>
                  <w:r>
                    <w:rPr>
                      <w:spacing w:val="9"/>
                      <w:sz w:val="20"/>
                      <w:szCs w:val="20"/>
                    </w:rPr>
                    <w:t xml:space="preserve"> </w:t>
                  </w:r>
                  <w:r>
                    <w:rPr>
                      <w:spacing w:val="14"/>
                      <w:sz w:val="20"/>
                      <w:szCs w:val="20"/>
                    </w:rPr>
                    <w:t>化学品生产企业应搬迁改</w:t>
                  </w:r>
                  <w:r>
                    <w:rPr>
                      <w:spacing w:val="9"/>
                      <w:sz w:val="20"/>
                      <w:szCs w:val="20"/>
                    </w:rPr>
                    <w:t xml:space="preserve"> </w:t>
                  </w:r>
                  <w:r>
                    <w:rPr>
                      <w:sz w:val="20"/>
                      <w:szCs w:val="20"/>
                    </w:rPr>
                    <w:t>造。</w:t>
                  </w:r>
                </w:p>
                <w:p w14:paraId="25C8E65D">
                  <w:pPr>
                    <w:pStyle w:val="6"/>
                    <w:spacing w:before="17" w:line="245" w:lineRule="auto"/>
                    <w:ind w:left="114" w:right="46" w:firstLine="417"/>
                    <w:rPr>
                      <w:sz w:val="20"/>
                      <w:szCs w:val="20"/>
                    </w:rPr>
                  </w:pPr>
                  <w:r>
                    <w:rPr>
                      <w:rFonts w:ascii="Times New Roman" w:hAnsi="Times New Roman" w:eastAsia="Times New Roman" w:cs="Times New Roman"/>
                      <w:spacing w:val="5"/>
                      <w:sz w:val="20"/>
                      <w:szCs w:val="20"/>
                    </w:rPr>
                    <w:t>2.</w:t>
                  </w:r>
                  <w:r>
                    <w:rPr>
                      <w:spacing w:val="5"/>
                      <w:sz w:val="20"/>
                      <w:szCs w:val="20"/>
                    </w:rPr>
                    <w:t>禁止在城镇居民区、</w:t>
                  </w:r>
                  <w:r>
                    <w:rPr>
                      <w:sz w:val="20"/>
                      <w:szCs w:val="20"/>
                    </w:rPr>
                    <w:t xml:space="preserve"> </w:t>
                  </w:r>
                  <w:r>
                    <w:rPr>
                      <w:spacing w:val="14"/>
                      <w:sz w:val="20"/>
                      <w:szCs w:val="20"/>
                    </w:rPr>
                    <w:t>文化教育科学研究区等人</w:t>
                  </w:r>
                  <w:r>
                    <w:rPr>
                      <w:spacing w:val="9"/>
                      <w:sz w:val="20"/>
                      <w:szCs w:val="20"/>
                    </w:rPr>
                    <w:t xml:space="preserve"> </w:t>
                  </w:r>
                  <w:r>
                    <w:rPr>
                      <w:spacing w:val="14"/>
                      <w:sz w:val="20"/>
                      <w:szCs w:val="20"/>
                    </w:rPr>
                    <w:t>口集中区域建设畜禽养殖</w:t>
                  </w:r>
                  <w:r>
                    <w:rPr>
                      <w:spacing w:val="9"/>
                      <w:sz w:val="20"/>
                      <w:szCs w:val="20"/>
                    </w:rPr>
                    <w:t xml:space="preserve"> </w:t>
                  </w:r>
                  <w:r>
                    <w:rPr>
                      <w:spacing w:val="7"/>
                      <w:sz w:val="20"/>
                      <w:szCs w:val="20"/>
                    </w:rPr>
                    <w:t>场、养殖小区。</w:t>
                  </w:r>
                </w:p>
                <w:p w14:paraId="2D67C4AE">
                  <w:pPr>
                    <w:pStyle w:val="6"/>
                    <w:spacing w:before="29" w:line="247" w:lineRule="auto"/>
                    <w:ind w:left="114" w:right="105" w:firstLine="421"/>
                    <w:rPr>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21"/>
                      <w:sz w:val="20"/>
                      <w:szCs w:val="20"/>
                    </w:rPr>
                    <w:t xml:space="preserve"> </w:t>
                  </w:r>
                  <w:r>
                    <w:rPr>
                      <w:spacing w:val="16"/>
                      <w:sz w:val="20"/>
                      <w:szCs w:val="20"/>
                    </w:rPr>
                    <w:t>水环境城镇生活污</w:t>
                  </w:r>
                  <w:r>
                    <w:rPr>
                      <w:sz w:val="20"/>
                      <w:szCs w:val="20"/>
                    </w:rPr>
                    <w:t xml:space="preserve"> </w:t>
                  </w:r>
                  <w:r>
                    <w:rPr>
                      <w:spacing w:val="10"/>
                      <w:sz w:val="20"/>
                      <w:szCs w:val="20"/>
                    </w:rPr>
                    <w:t>染重点管控区执行：</w:t>
                  </w:r>
                  <w:r>
                    <w:rPr>
                      <w:spacing w:val="-47"/>
                      <w:sz w:val="20"/>
                      <w:szCs w:val="20"/>
                    </w:rPr>
                    <w:t xml:space="preserve"> </w:t>
                  </w:r>
                  <w:r>
                    <w:rPr>
                      <w:spacing w:val="10"/>
                      <w:sz w:val="20"/>
                      <w:szCs w:val="20"/>
                    </w:rPr>
                    <w:t>除干</w:t>
                  </w:r>
                  <w:r>
                    <w:rPr>
                      <w:sz w:val="20"/>
                      <w:szCs w:val="20"/>
                    </w:rPr>
                    <w:t xml:space="preserve"> </w:t>
                  </w:r>
                  <w:r>
                    <w:rPr>
                      <w:spacing w:val="14"/>
                      <w:sz w:val="20"/>
                      <w:szCs w:val="20"/>
                    </w:rPr>
                    <w:t>旱地区外，新建城区应全</w:t>
                  </w:r>
                  <w:r>
                    <w:rPr>
                      <w:spacing w:val="9"/>
                      <w:sz w:val="20"/>
                      <w:szCs w:val="20"/>
                    </w:rPr>
                    <w:t xml:space="preserve"> </w:t>
                  </w:r>
                  <w:r>
                    <w:rPr>
                      <w:spacing w:val="14"/>
                      <w:sz w:val="20"/>
                      <w:szCs w:val="20"/>
                    </w:rPr>
                    <w:t>面实行雨污分流，鼓励对</w:t>
                  </w:r>
                  <w:r>
                    <w:rPr>
                      <w:spacing w:val="9"/>
                      <w:sz w:val="20"/>
                      <w:szCs w:val="20"/>
                    </w:rPr>
                    <w:t xml:space="preserve"> </w:t>
                  </w:r>
                  <w:r>
                    <w:rPr>
                      <w:spacing w:val="14"/>
                      <w:sz w:val="20"/>
                      <w:szCs w:val="20"/>
                    </w:rPr>
                    <w:t>初期雨水进行收集、处理</w:t>
                  </w:r>
                  <w:r>
                    <w:rPr>
                      <w:spacing w:val="9"/>
                      <w:sz w:val="20"/>
                      <w:szCs w:val="20"/>
                    </w:rPr>
                    <w:t xml:space="preserve"> </w:t>
                  </w:r>
                  <w:r>
                    <w:rPr>
                      <w:spacing w:val="7"/>
                      <w:sz w:val="20"/>
                      <w:szCs w:val="20"/>
                    </w:rPr>
                    <w:t>和资源化利用。</w:t>
                  </w:r>
                </w:p>
                <w:p w14:paraId="0D3EE268">
                  <w:pPr>
                    <w:pStyle w:val="6"/>
                    <w:spacing w:before="23" w:line="249" w:lineRule="auto"/>
                    <w:ind w:left="114" w:right="105" w:firstLine="416"/>
                    <w:rPr>
                      <w:sz w:val="20"/>
                      <w:szCs w:val="20"/>
                    </w:rPr>
                  </w:pPr>
                  <w:r>
                    <w:rPr>
                      <w:rFonts w:ascii="Times New Roman" w:hAnsi="Times New Roman" w:eastAsia="Times New Roman" w:cs="Times New Roman"/>
                      <w:spacing w:val="16"/>
                      <w:sz w:val="20"/>
                      <w:szCs w:val="20"/>
                    </w:rPr>
                    <w:t>4.</w:t>
                  </w:r>
                  <w:r>
                    <w:rPr>
                      <w:rFonts w:ascii="Times New Roman" w:hAnsi="Times New Roman" w:eastAsia="Times New Roman" w:cs="Times New Roman"/>
                      <w:spacing w:val="-16"/>
                      <w:sz w:val="20"/>
                      <w:szCs w:val="20"/>
                    </w:rPr>
                    <w:t xml:space="preserve"> </w:t>
                  </w:r>
                  <w:r>
                    <w:rPr>
                      <w:spacing w:val="16"/>
                      <w:sz w:val="20"/>
                      <w:szCs w:val="20"/>
                    </w:rPr>
                    <w:t>水环境工业污染重</w:t>
                  </w:r>
                  <w:r>
                    <w:rPr>
                      <w:sz w:val="20"/>
                      <w:szCs w:val="20"/>
                    </w:rPr>
                    <w:t xml:space="preserve"> </w:t>
                  </w:r>
                  <w:r>
                    <w:rPr>
                      <w:spacing w:val="5"/>
                      <w:sz w:val="20"/>
                      <w:szCs w:val="20"/>
                    </w:rPr>
                    <w:t>点管控区同时执行：</w:t>
                  </w:r>
                  <w:r>
                    <w:rPr>
                      <w:rFonts w:ascii="Times New Roman" w:hAnsi="Times New Roman" w:eastAsia="Times New Roman" w:cs="Times New Roman"/>
                      <w:spacing w:val="5"/>
                      <w:sz w:val="20"/>
                      <w:szCs w:val="20"/>
                    </w:rPr>
                    <w:t>1</w:t>
                  </w:r>
                  <w:r>
                    <w:rPr>
                      <w:spacing w:val="5"/>
                      <w:sz w:val="20"/>
                      <w:szCs w:val="20"/>
                    </w:rPr>
                    <w:t>）区</w:t>
                  </w:r>
                  <w:r>
                    <w:rPr>
                      <w:spacing w:val="3"/>
                      <w:sz w:val="20"/>
                      <w:szCs w:val="20"/>
                    </w:rPr>
                    <w:t xml:space="preserve"> </w:t>
                  </w:r>
                  <w:r>
                    <w:rPr>
                      <w:spacing w:val="14"/>
                      <w:sz w:val="20"/>
                      <w:szCs w:val="20"/>
                    </w:rPr>
                    <w:t>域内严格控制高耗水、高</w:t>
                  </w:r>
                  <w:r>
                    <w:rPr>
                      <w:spacing w:val="9"/>
                      <w:sz w:val="20"/>
                      <w:szCs w:val="20"/>
                    </w:rPr>
                    <w:t xml:space="preserve"> </w:t>
                  </w:r>
                  <w:r>
                    <w:rPr>
                      <w:spacing w:val="5"/>
                      <w:sz w:val="20"/>
                      <w:szCs w:val="20"/>
                    </w:rPr>
                    <w:t>污染行业发展。</w:t>
                  </w:r>
                  <w:r>
                    <w:rPr>
                      <w:rFonts w:ascii="Times New Roman" w:hAnsi="Times New Roman" w:eastAsia="Times New Roman" w:cs="Times New Roman"/>
                      <w:spacing w:val="5"/>
                      <w:sz w:val="20"/>
                      <w:szCs w:val="20"/>
                    </w:rPr>
                    <w:t>2</w:t>
                  </w:r>
                  <w:r>
                    <w:rPr>
                      <w:spacing w:val="5"/>
                      <w:sz w:val="20"/>
                      <w:szCs w:val="20"/>
                    </w:rPr>
                    <w:t>）加快淘</w:t>
                  </w:r>
                  <w:r>
                    <w:rPr>
                      <w:spacing w:val="3"/>
                      <w:sz w:val="20"/>
                      <w:szCs w:val="20"/>
                    </w:rPr>
                    <w:t xml:space="preserve"> </w:t>
                  </w:r>
                  <w:r>
                    <w:rPr>
                      <w:spacing w:val="14"/>
                      <w:sz w:val="20"/>
                      <w:szCs w:val="20"/>
                    </w:rPr>
                    <w:t>汰落后产能，大力推进产</w:t>
                  </w:r>
                  <w:r>
                    <w:rPr>
                      <w:spacing w:val="9"/>
                      <w:sz w:val="20"/>
                      <w:szCs w:val="20"/>
                    </w:rPr>
                    <w:t xml:space="preserve"> </w:t>
                  </w:r>
                  <w:r>
                    <w:rPr>
                      <w:spacing w:val="14"/>
                      <w:sz w:val="20"/>
                      <w:szCs w:val="20"/>
                    </w:rPr>
                    <w:t>业结构调整和优化升级。</w:t>
                  </w:r>
                  <w:r>
                    <w:rPr>
                      <w:spacing w:val="9"/>
                      <w:sz w:val="20"/>
                      <w:szCs w:val="20"/>
                    </w:rPr>
                    <w:t xml:space="preserve"> </w:t>
                  </w:r>
                  <w:r>
                    <w:rPr>
                      <w:rFonts w:ascii="Times New Roman" w:hAnsi="Times New Roman" w:eastAsia="Times New Roman" w:cs="Times New Roman"/>
                      <w:spacing w:val="5"/>
                      <w:sz w:val="20"/>
                      <w:szCs w:val="20"/>
                    </w:rPr>
                    <w:t>3</w:t>
                  </w:r>
                  <w:r>
                    <w:rPr>
                      <w:spacing w:val="5"/>
                      <w:sz w:val="20"/>
                      <w:szCs w:val="20"/>
                    </w:rPr>
                    <w:t>）根据水资源和水环境承</w:t>
                  </w:r>
                  <w:r>
                    <w:rPr>
                      <w:sz w:val="20"/>
                      <w:szCs w:val="20"/>
                    </w:rPr>
                    <w:t xml:space="preserve"> </w:t>
                  </w:r>
                  <w:r>
                    <w:rPr>
                      <w:spacing w:val="6"/>
                      <w:sz w:val="20"/>
                      <w:szCs w:val="20"/>
                    </w:rPr>
                    <w:t>载能力，</w:t>
                  </w:r>
                  <w:r>
                    <w:rPr>
                      <w:spacing w:val="-48"/>
                      <w:sz w:val="20"/>
                      <w:szCs w:val="20"/>
                    </w:rPr>
                    <w:t xml:space="preserve"> </w:t>
                  </w:r>
                  <w:r>
                    <w:rPr>
                      <w:spacing w:val="6"/>
                      <w:sz w:val="20"/>
                      <w:szCs w:val="20"/>
                    </w:rPr>
                    <w:t>以水定城、</w:t>
                  </w:r>
                  <w:r>
                    <w:rPr>
                      <w:spacing w:val="-55"/>
                      <w:sz w:val="20"/>
                      <w:szCs w:val="20"/>
                    </w:rPr>
                    <w:t xml:space="preserve"> </w:t>
                  </w:r>
                  <w:r>
                    <w:rPr>
                      <w:spacing w:val="6"/>
                      <w:sz w:val="20"/>
                      <w:szCs w:val="20"/>
                    </w:rPr>
                    <w:t>以水</w:t>
                  </w:r>
                  <w:r>
                    <w:rPr>
                      <w:sz w:val="20"/>
                      <w:szCs w:val="20"/>
                    </w:rPr>
                    <w:t xml:space="preserve"> </w:t>
                  </w:r>
                  <w:r>
                    <w:rPr>
                      <w:spacing w:val="6"/>
                      <w:sz w:val="20"/>
                      <w:szCs w:val="20"/>
                    </w:rPr>
                    <w:t>定地、</w:t>
                  </w:r>
                  <w:r>
                    <w:rPr>
                      <w:spacing w:val="-48"/>
                      <w:sz w:val="20"/>
                      <w:szCs w:val="20"/>
                    </w:rPr>
                    <w:t xml:space="preserve"> </w:t>
                  </w:r>
                  <w:r>
                    <w:rPr>
                      <w:spacing w:val="6"/>
                      <w:sz w:val="20"/>
                      <w:szCs w:val="20"/>
                    </w:rPr>
                    <w:t>以水定人、</w:t>
                  </w:r>
                  <w:r>
                    <w:rPr>
                      <w:spacing w:val="-55"/>
                      <w:sz w:val="20"/>
                      <w:szCs w:val="20"/>
                    </w:rPr>
                    <w:t xml:space="preserve"> </w:t>
                  </w:r>
                  <w:r>
                    <w:rPr>
                      <w:spacing w:val="6"/>
                      <w:sz w:val="20"/>
                      <w:szCs w:val="20"/>
                    </w:rPr>
                    <w:t>以水定</w:t>
                  </w:r>
                  <w:r>
                    <w:rPr>
                      <w:sz w:val="20"/>
                      <w:szCs w:val="20"/>
                    </w:rPr>
                    <w:t xml:space="preserve"> 产。</w:t>
                  </w:r>
                </w:p>
                <w:p w14:paraId="484BCFDF">
                  <w:pPr>
                    <w:pStyle w:val="6"/>
                    <w:spacing w:before="20" w:line="247" w:lineRule="auto"/>
                    <w:ind w:left="114" w:right="82" w:firstLine="422"/>
                    <w:rPr>
                      <w:sz w:val="20"/>
                      <w:szCs w:val="20"/>
                    </w:rPr>
                  </w:pPr>
                  <w:r>
                    <w:rPr>
                      <w:rFonts w:ascii="Times New Roman" w:hAnsi="Times New Roman" w:eastAsia="Times New Roman" w:cs="Times New Roman"/>
                      <w:spacing w:val="16"/>
                      <w:sz w:val="20"/>
                      <w:szCs w:val="20"/>
                    </w:rPr>
                    <w:t>5.</w:t>
                  </w:r>
                  <w:r>
                    <w:rPr>
                      <w:rFonts w:ascii="Times New Roman" w:hAnsi="Times New Roman" w:eastAsia="Times New Roman" w:cs="Times New Roman"/>
                      <w:spacing w:val="-23"/>
                      <w:sz w:val="20"/>
                      <w:szCs w:val="20"/>
                    </w:rPr>
                    <w:t xml:space="preserve"> </w:t>
                  </w:r>
                  <w:r>
                    <w:rPr>
                      <w:spacing w:val="16"/>
                      <w:sz w:val="20"/>
                      <w:szCs w:val="20"/>
                    </w:rPr>
                    <w:t>大气环境布局敏感</w:t>
                  </w:r>
                  <w:r>
                    <w:rPr>
                      <w:sz w:val="20"/>
                      <w:szCs w:val="20"/>
                    </w:rPr>
                    <w:t xml:space="preserve"> </w:t>
                  </w:r>
                  <w:r>
                    <w:rPr>
                      <w:spacing w:val="7"/>
                      <w:sz w:val="20"/>
                      <w:szCs w:val="20"/>
                    </w:rPr>
                    <w:t>重点管控区同时执行：</w:t>
                  </w:r>
                  <w:r>
                    <w:rPr>
                      <w:rFonts w:ascii="Times New Roman" w:hAnsi="Times New Roman" w:eastAsia="Times New Roman" w:cs="Times New Roman"/>
                      <w:spacing w:val="7"/>
                      <w:sz w:val="20"/>
                      <w:szCs w:val="20"/>
                    </w:rPr>
                    <w:t>1</w:t>
                  </w:r>
                  <w:r>
                    <w:rPr>
                      <w:spacing w:val="7"/>
                      <w:sz w:val="20"/>
                      <w:szCs w:val="20"/>
                    </w:rPr>
                    <w:t>）</w:t>
                  </w:r>
                  <w:r>
                    <w:rPr>
                      <w:spacing w:val="1"/>
                      <w:sz w:val="20"/>
                      <w:szCs w:val="20"/>
                    </w:rPr>
                    <w:t xml:space="preserve"> </w:t>
                  </w:r>
                  <w:r>
                    <w:rPr>
                      <w:spacing w:val="13"/>
                      <w:sz w:val="20"/>
                      <w:szCs w:val="20"/>
                    </w:rPr>
                    <w:t>严控“两高</w:t>
                  </w:r>
                  <w:r>
                    <w:rPr>
                      <w:spacing w:val="-63"/>
                      <w:sz w:val="20"/>
                      <w:szCs w:val="20"/>
                    </w:rPr>
                    <w:t xml:space="preserve"> </w:t>
                  </w:r>
                  <w:r>
                    <w:rPr>
                      <w:spacing w:val="13"/>
                      <w:sz w:val="20"/>
                      <w:szCs w:val="20"/>
                    </w:rPr>
                    <w:t>”行业产能。</w:t>
                  </w:r>
                  <w:r>
                    <w:rPr>
                      <w:sz w:val="20"/>
                      <w:szCs w:val="20"/>
                    </w:rPr>
                    <w:t xml:space="preserve"> </w:t>
                  </w:r>
                  <w:r>
                    <w:rPr>
                      <w:spacing w:val="14"/>
                      <w:sz w:val="20"/>
                      <w:szCs w:val="20"/>
                    </w:rPr>
                    <w:t>严格执行钢铁、水泥、平</w:t>
                  </w:r>
                  <w:r>
                    <w:rPr>
                      <w:spacing w:val="9"/>
                      <w:sz w:val="20"/>
                      <w:szCs w:val="20"/>
                    </w:rPr>
                    <w:t xml:space="preserve"> </w:t>
                  </w:r>
                  <w:r>
                    <w:rPr>
                      <w:spacing w:val="14"/>
                      <w:sz w:val="20"/>
                      <w:szCs w:val="20"/>
                    </w:rPr>
                    <w:t>板玻璃等行业产能置换实</w:t>
                  </w:r>
                  <w:r>
                    <w:rPr>
                      <w:spacing w:val="9"/>
                      <w:sz w:val="20"/>
                      <w:szCs w:val="20"/>
                    </w:rPr>
                    <w:t xml:space="preserve"> </w:t>
                  </w:r>
                  <w:r>
                    <w:rPr>
                      <w:spacing w:val="5"/>
                      <w:sz w:val="20"/>
                      <w:szCs w:val="20"/>
                    </w:rPr>
                    <w:t>施办法。</w:t>
                  </w:r>
                  <w:r>
                    <w:rPr>
                      <w:rFonts w:ascii="Times New Roman" w:hAnsi="Times New Roman" w:eastAsia="Times New Roman" w:cs="Times New Roman"/>
                      <w:spacing w:val="5"/>
                      <w:sz w:val="20"/>
                      <w:szCs w:val="20"/>
                    </w:rPr>
                    <w:t>2</w:t>
                  </w:r>
                  <w:r>
                    <w:rPr>
                      <w:spacing w:val="5"/>
                      <w:sz w:val="20"/>
                      <w:szCs w:val="20"/>
                    </w:rPr>
                    <w:t>）利用水泥窑协</w:t>
                  </w:r>
                  <w:r>
                    <w:rPr>
                      <w:sz w:val="20"/>
                      <w:szCs w:val="20"/>
                    </w:rPr>
                    <w:t xml:space="preserve"> </w:t>
                  </w:r>
                  <w:r>
                    <w:rPr>
                      <w:spacing w:val="14"/>
                      <w:sz w:val="20"/>
                      <w:szCs w:val="20"/>
                    </w:rPr>
                    <w:t>同处置城市生活垃圾、危</w:t>
                  </w:r>
                  <w:r>
                    <w:rPr>
                      <w:spacing w:val="9"/>
                      <w:sz w:val="20"/>
                      <w:szCs w:val="20"/>
                    </w:rPr>
                    <w:t xml:space="preserve"> </w:t>
                  </w:r>
                  <w:r>
                    <w:rPr>
                      <w:spacing w:val="10"/>
                      <w:sz w:val="20"/>
                      <w:szCs w:val="20"/>
                    </w:rPr>
                    <w:t>险废弃物、</w:t>
                  </w:r>
                  <w:r>
                    <w:rPr>
                      <w:spacing w:val="-47"/>
                      <w:sz w:val="20"/>
                      <w:szCs w:val="20"/>
                    </w:rPr>
                    <w:t xml:space="preserve"> </w:t>
                  </w:r>
                  <w:r>
                    <w:rPr>
                      <w:spacing w:val="10"/>
                      <w:sz w:val="20"/>
                      <w:szCs w:val="20"/>
                    </w:rPr>
                    <w:t>电石渣等固废</w:t>
                  </w:r>
                  <w:r>
                    <w:rPr>
                      <w:sz w:val="20"/>
                      <w:szCs w:val="20"/>
                    </w:rPr>
                    <w:t xml:space="preserve"> </w:t>
                  </w:r>
                  <w:r>
                    <w:rPr>
                      <w:spacing w:val="14"/>
                      <w:sz w:val="20"/>
                      <w:szCs w:val="20"/>
                    </w:rPr>
                    <w:t>伴生水泥项目，必须依托</w:t>
                  </w:r>
                  <w:r>
                    <w:rPr>
                      <w:spacing w:val="9"/>
                      <w:sz w:val="20"/>
                      <w:szCs w:val="20"/>
                    </w:rPr>
                    <w:t xml:space="preserve"> </w:t>
                  </w:r>
                  <w:r>
                    <w:rPr>
                      <w:spacing w:val="14"/>
                      <w:sz w:val="20"/>
                      <w:szCs w:val="20"/>
                    </w:rPr>
                    <w:t>现有新型干法水泥熟料生</w:t>
                  </w:r>
                  <w:r>
                    <w:rPr>
                      <w:spacing w:val="9"/>
                      <w:sz w:val="20"/>
                      <w:szCs w:val="20"/>
                    </w:rPr>
                    <w:t xml:space="preserve"> </w:t>
                  </w:r>
                  <w:r>
                    <w:rPr>
                      <w:spacing w:val="8"/>
                      <w:sz w:val="20"/>
                      <w:szCs w:val="20"/>
                    </w:rPr>
                    <w:t>产线进行不扩产能改造。</w:t>
                  </w:r>
                </w:p>
              </w:tc>
              <w:tc>
                <w:tcPr>
                  <w:tcW w:w="1853" w:type="dxa"/>
                  <w:tcBorders>
                    <w:right w:val="nil"/>
                  </w:tcBorders>
                  <w:vAlign w:val="top"/>
                </w:tcPr>
                <w:p w14:paraId="51A434F2">
                  <w:pPr>
                    <w:spacing w:line="242" w:lineRule="auto"/>
                    <w:rPr>
                      <w:rFonts w:ascii="Arial"/>
                      <w:sz w:val="21"/>
                    </w:rPr>
                  </w:pPr>
                </w:p>
                <w:p w14:paraId="57D45CB7">
                  <w:pPr>
                    <w:spacing w:line="243" w:lineRule="auto"/>
                    <w:rPr>
                      <w:rFonts w:ascii="Arial"/>
                      <w:sz w:val="21"/>
                    </w:rPr>
                  </w:pPr>
                </w:p>
                <w:p w14:paraId="1819D5E6">
                  <w:pPr>
                    <w:spacing w:line="243" w:lineRule="auto"/>
                    <w:rPr>
                      <w:rFonts w:ascii="Arial"/>
                      <w:sz w:val="21"/>
                    </w:rPr>
                  </w:pPr>
                </w:p>
                <w:p w14:paraId="5A506064">
                  <w:pPr>
                    <w:spacing w:line="243" w:lineRule="auto"/>
                    <w:rPr>
                      <w:rFonts w:ascii="Arial"/>
                      <w:sz w:val="21"/>
                    </w:rPr>
                  </w:pPr>
                </w:p>
                <w:p w14:paraId="41949E08">
                  <w:pPr>
                    <w:spacing w:line="243" w:lineRule="auto"/>
                    <w:rPr>
                      <w:rFonts w:ascii="Arial"/>
                      <w:sz w:val="21"/>
                    </w:rPr>
                  </w:pPr>
                </w:p>
                <w:p w14:paraId="1DFA74D1">
                  <w:pPr>
                    <w:spacing w:line="243" w:lineRule="auto"/>
                    <w:rPr>
                      <w:rFonts w:ascii="Arial"/>
                      <w:sz w:val="21"/>
                    </w:rPr>
                  </w:pPr>
                </w:p>
                <w:p w14:paraId="78EFC36E">
                  <w:pPr>
                    <w:pStyle w:val="6"/>
                    <w:spacing w:before="65" w:line="245" w:lineRule="auto"/>
                    <w:ind w:left="112" w:right="108" w:firstLine="421"/>
                    <w:rPr>
                      <w:sz w:val="20"/>
                      <w:szCs w:val="20"/>
                    </w:rPr>
                  </w:pPr>
                  <w:r>
                    <w:rPr>
                      <w:spacing w:val="41"/>
                      <w:sz w:val="20"/>
                      <w:szCs w:val="20"/>
                    </w:rPr>
                    <w:t>本项目为农</w:t>
                  </w:r>
                  <w:r>
                    <w:rPr>
                      <w:spacing w:val="2"/>
                      <w:sz w:val="20"/>
                      <w:szCs w:val="20"/>
                    </w:rPr>
                    <w:t xml:space="preserve"> </w:t>
                  </w:r>
                  <w:r>
                    <w:rPr>
                      <w:spacing w:val="3"/>
                      <w:sz w:val="20"/>
                      <w:szCs w:val="20"/>
                    </w:rPr>
                    <w:t>机拆解项目，不属</w:t>
                  </w:r>
                  <w:r>
                    <w:rPr>
                      <w:spacing w:val="4"/>
                      <w:sz w:val="20"/>
                      <w:szCs w:val="20"/>
                    </w:rPr>
                    <w:t xml:space="preserve"> </w:t>
                  </w:r>
                  <w:r>
                    <w:rPr>
                      <w:spacing w:val="3"/>
                      <w:sz w:val="20"/>
                      <w:szCs w:val="20"/>
                    </w:rPr>
                    <w:t>于危险化学品、养</w:t>
                  </w:r>
                  <w:r>
                    <w:rPr>
                      <w:spacing w:val="4"/>
                      <w:sz w:val="20"/>
                      <w:szCs w:val="20"/>
                    </w:rPr>
                    <w:t xml:space="preserve"> </w:t>
                  </w:r>
                  <w:r>
                    <w:rPr>
                      <w:spacing w:val="7"/>
                      <w:sz w:val="20"/>
                      <w:szCs w:val="20"/>
                    </w:rPr>
                    <w:t>殖、两高企业。</w:t>
                  </w:r>
                </w:p>
                <w:p w14:paraId="5E099BA8">
                  <w:pPr>
                    <w:pStyle w:val="6"/>
                    <w:spacing w:before="23" w:line="248" w:lineRule="auto"/>
                    <w:ind w:left="114" w:right="99" w:firstLine="420"/>
                    <w:rPr>
                      <w:sz w:val="20"/>
                      <w:szCs w:val="20"/>
                    </w:rPr>
                  </w:pPr>
                  <w:r>
                    <w:rPr>
                      <w:spacing w:val="41"/>
                      <w:sz w:val="20"/>
                      <w:szCs w:val="20"/>
                    </w:rPr>
                    <w:t>本项目不在</w:t>
                  </w:r>
                  <w:r>
                    <w:rPr>
                      <w:spacing w:val="2"/>
                      <w:sz w:val="20"/>
                      <w:szCs w:val="20"/>
                    </w:rPr>
                    <w:t xml:space="preserve"> </w:t>
                  </w:r>
                  <w:r>
                    <w:rPr>
                      <w:spacing w:val="32"/>
                      <w:sz w:val="20"/>
                      <w:szCs w:val="20"/>
                    </w:rPr>
                    <w:t>水环境城镇生活</w:t>
                  </w:r>
                  <w:r>
                    <w:rPr>
                      <w:spacing w:val="2"/>
                      <w:sz w:val="20"/>
                      <w:szCs w:val="20"/>
                    </w:rPr>
                    <w:t xml:space="preserve"> </w:t>
                  </w:r>
                  <w:r>
                    <w:rPr>
                      <w:spacing w:val="4"/>
                      <w:sz w:val="20"/>
                      <w:szCs w:val="20"/>
                    </w:rPr>
                    <w:t>污染重点管控区、</w:t>
                  </w:r>
                  <w:r>
                    <w:rPr>
                      <w:spacing w:val="3"/>
                      <w:sz w:val="20"/>
                      <w:szCs w:val="20"/>
                    </w:rPr>
                    <w:t xml:space="preserve"> </w:t>
                  </w:r>
                  <w:r>
                    <w:rPr>
                      <w:spacing w:val="32"/>
                      <w:sz w:val="20"/>
                      <w:szCs w:val="20"/>
                    </w:rPr>
                    <w:t>水环境工业污染</w:t>
                  </w:r>
                  <w:r>
                    <w:rPr>
                      <w:spacing w:val="2"/>
                      <w:sz w:val="20"/>
                      <w:szCs w:val="20"/>
                    </w:rPr>
                    <w:t xml:space="preserve"> </w:t>
                  </w:r>
                  <w:r>
                    <w:rPr>
                      <w:spacing w:val="32"/>
                      <w:sz w:val="20"/>
                      <w:szCs w:val="20"/>
                    </w:rPr>
                    <w:t>重点管控区及大</w:t>
                  </w:r>
                  <w:r>
                    <w:rPr>
                      <w:spacing w:val="2"/>
                      <w:sz w:val="20"/>
                      <w:szCs w:val="20"/>
                    </w:rPr>
                    <w:t xml:space="preserve"> </w:t>
                  </w:r>
                  <w:r>
                    <w:rPr>
                      <w:spacing w:val="32"/>
                      <w:sz w:val="20"/>
                      <w:szCs w:val="20"/>
                    </w:rPr>
                    <w:t>气环境布局敏感</w:t>
                  </w:r>
                  <w:r>
                    <w:rPr>
                      <w:spacing w:val="2"/>
                      <w:sz w:val="20"/>
                      <w:szCs w:val="20"/>
                    </w:rPr>
                    <w:t xml:space="preserve"> </w:t>
                  </w:r>
                  <w:r>
                    <w:rPr>
                      <w:spacing w:val="6"/>
                      <w:sz w:val="20"/>
                      <w:szCs w:val="20"/>
                    </w:rPr>
                    <w:t>重点管控区内。</w:t>
                  </w:r>
                </w:p>
                <w:p w14:paraId="32ACD2AB">
                  <w:pPr>
                    <w:pStyle w:val="6"/>
                    <w:spacing w:before="29" w:line="249" w:lineRule="auto"/>
                    <w:ind w:left="113" w:right="99" w:firstLine="423"/>
                    <w:rPr>
                      <w:sz w:val="20"/>
                      <w:szCs w:val="20"/>
                    </w:rPr>
                  </w:pPr>
                  <w:r>
                    <w:rPr>
                      <w:spacing w:val="41"/>
                      <w:sz w:val="20"/>
                      <w:szCs w:val="20"/>
                    </w:rPr>
                    <w:t>项目设备及</w:t>
                  </w:r>
                  <w:r>
                    <w:rPr>
                      <w:sz w:val="20"/>
                      <w:szCs w:val="20"/>
                    </w:rPr>
                    <w:t xml:space="preserve"> </w:t>
                  </w:r>
                  <w:r>
                    <w:rPr>
                      <w:spacing w:val="32"/>
                      <w:sz w:val="20"/>
                      <w:szCs w:val="20"/>
                    </w:rPr>
                    <w:t>车辆不在厂区内</w:t>
                  </w:r>
                  <w:r>
                    <w:rPr>
                      <w:spacing w:val="3"/>
                      <w:sz w:val="20"/>
                      <w:szCs w:val="20"/>
                    </w:rPr>
                    <w:t xml:space="preserve"> 清洗；本项目车间 地面不清洗，地面 如有油渍，采用抹 </w:t>
                  </w:r>
                  <w:r>
                    <w:rPr>
                      <w:spacing w:val="16"/>
                      <w:sz w:val="20"/>
                      <w:szCs w:val="20"/>
                    </w:rPr>
                    <w:t>布/拖布擦干，废</w:t>
                  </w:r>
                  <w:r>
                    <w:rPr>
                      <w:sz w:val="20"/>
                      <w:szCs w:val="20"/>
                    </w:rPr>
                    <w:t xml:space="preserve"> </w:t>
                  </w:r>
                  <w:r>
                    <w:rPr>
                      <w:spacing w:val="16"/>
                      <w:sz w:val="20"/>
                      <w:szCs w:val="20"/>
                    </w:rPr>
                    <w:t>抹布/拖布作为危</w:t>
                  </w:r>
                  <w:r>
                    <w:rPr>
                      <w:sz w:val="20"/>
                      <w:szCs w:val="20"/>
                    </w:rPr>
                    <w:t xml:space="preserve"> </w:t>
                  </w:r>
                  <w:r>
                    <w:rPr>
                      <w:spacing w:val="32"/>
                      <w:sz w:val="20"/>
                      <w:szCs w:val="20"/>
                    </w:rPr>
                    <w:t>险废物暂存在危</w:t>
                  </w:r>
                  <w:r>
                    <w:rPr>
                      <w:spacing w:val="3"/>
                      <w:sz w:val="20"/>
                      <w:szCs w:val="20"/>
                    </w:rPr>
                    <w:t xml:space="preserve"> 险废物暂存点，由 </w:t>
                  </w:r>
                  <w:r>
                    <w:rPr>
                      <w:spacing w:val="4"/>
                      <w:sz w:val="20"/>
                      <w:szCs w:val="20"/>
                    </w:rPr>
                    <w:t>有资质单位处理， 不设污水收集池。 无生产废水排放。</w:t>
                  </w:r>
                </w:p>
                <w:p w14:paraId="1599AF98">
                  <w:pPr>
                    <w:pStyle w:val="6"/>
                    <w:spacing w:before="24"/>
                    <w:ind w:left="115" w:right="108" w:firstLine="419"/>
                    <w:rPr>
                      <w:sz w:val="20"/>
                      <w:szCs w:val="20"/>
                    </w:rPr>
                  </w:pPr>
                  <w:r>
                    <w:rPr>
                      <w:spacing w:val="41"/>
                      <w:sz w:val="20"/>
                      <w:szCs w:val="20"/>
                    </w:rPr>
                    <w:t>符合空间布</w:t>
                  </w:r>
                  <w:r>
                    <w:rPr>
                      <w:spacing w:val="1"/>
                      <w:sz w:val="20"/>
                      <w:szCs w:val="20"/>
                    </w:rPr>
                    <w:t xml:space="preserve"> </w:t>
                  </w:r>
                  <w:r>
                    <w:rPr>
                      <w:spacing w:val="6"/>
                      <w:sz w:val="20"/>
                      <w:szCs w:val="20"/>
                    </w:rPr>
                    <w:t>局约束要求。</w:t>
                  </w:r>
                </w:p>
              </w:tc>
            </w:tr>
            <w:tr w14:paraId="2F4702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99" w:hRule="atLeast"/>
              </w:trPr>
              <w:tc>
                <w:tcPr>
                  <w:tcW w:w="1616" w:type="dxa"/>
                  <w:vMerge w:val="continue"/>
                  <w:tcBorders>
                    <w:top w:val="nil"/>
                    <w:left w:val="nil"/>
                    <w:bottom w:val="single" w:color="000000" w:sz="10" w:space="0"/>
                  </w:tcBorders>
                  <w:vAlign w:val="top"/>
                </w:tcPr>
                <w:p w14:paraId="31EFE561">
                  <w:pPr>
                    <w:rPr>
                      <w:rFonts w:ascii="Arial"/>
                      <w:sz w:val="21"/>
                    </w:rPr>
                  </w:pPr>
                </w:p>
              </w:tc>
              <w:tc>
                <w:tcPr>
                  <w:tcW w:w="790" w:type="dxa"/>
                  <w:vMerge w:val="continue"/>
                  <w:tcBorders>
                    <w:top w:val="nil"/>
                    <w:bottom w:val="single" w:color="000000" w:sz="10" w:space="0"/>
                  </w:tcBorders>
                  <w:vAlign w:val="top"/>
                </w:tcPr>
                <w:p w14:paraId="3CA297F2">
                  <w:pPr>
                    <w:rPr>
                      <w:rFonts w:ascii="Arial"/>
                      <w:sz w:val="21"/>
                    </w:rPr>
                  </w:pPr>
                </w:p>
              </w:tc>
              <w:tc>
                <w:tcPr>
                  <w:tcW w:w="763" w:type="dxa"/>
                  <w:vMerge w:val="continue"/>
                  <w:tcBorders>
                    <w:top w:val="nil"/>
                    <w:bottom w:val="single" w:color="000000" w:sz="10" w:space="0"/>
                  </w:tcBorders>
                  <w:vAlign w:val="top"/>
                </w:tcPr>
                <w:p w14:paraId="7E66B241">
                  <w:pPr>
                    <w:rPr>
                      <w:rFonts w:ascii="Arial"/>
                      <w:sz w:val="21"/>
                    </w:rPr>
                  </w:pPr>
                </w:p>
              </w:tc>
              <w:tc>
                <w:tcPr>
                  <w:tcW w:w="425" w:type="dxa"/>
                  <w:tcBorders>
                    <w:bottom w:val="single" w:color="000000" w:sz="10" w:space="0"/>
                  </w:tcBorders>
                  <w:textDirection w:val="tbRlV"/>
                  <w:vAlign w:val="top"/>
                </w:tcPr>
                <w:p w14:paraId="61528820">
                  <w:pPr>
                    <w:pStyle w:val="6"/>
                    <w:spacing w:before="106" w:line="216" w:lineRule="auto"/>
                    <w:ind w:left="185"/>
                    <w:rPr>
                      <w:sz w:val="20"/>
                      <w:szCs w:val="20"/>
                    </w:rPr>
                  </w:pPr>
                  <w:r>
                    <w:rPr>
                      <w:spacing w:val="8"/>
                      <w:sz w:val="20"/>
                      <w:szCs w:val="20"/>
                    </w:rPr>
                    <w:t>污</w:t>
                  </w:r>
                  <w:r>
                    <w:rPr>
                      <w:spacing w:val="-32"/>
                      <w:sz w:val="20"/>
                      <w:szCs w:val="20"/>
                    </w:rPr>
                    <w:t xml:space="preserve"> </w:t>
                  </w:r>
                  <w:r>
                    <w:rPr>
                      <w:spacing w:val="8"/>
                      <w:sz w:val="20"/>
                      <w:szCs w:val="20"/>
                    </w:rPr>
                    <w:t>染</w:t>
                  </w:r>
                  <w:r>
                    <w:rPr>
                      <w:spacing w:val="-38"/>
                      <w:sz w:val="20"/>
                      <w:szCs w:val="20"/>
                    </w:rPr>
                    <w:t xml:space="preserve"> </w:t>
                  </w:r>
                  <w:r>
                    <w:rPr>
                      <w:spacing w:val="8"/>
                      <w:sz w:val="20"/>
                      <w:szCs w:val="20"/>
                    </w:rPr>
                    <w:t>物</w:t>
                  </w:r>
                  <w:r>
                    <w:rPr>
                      <w:spacing w:val="-35"/>
                      <w:sz w:val="20"/>
                      <w:szCs w:val="20"/>
                    </w:rPr>
                    <w:t xml:space="preserve"> </w:t>
                  </w:r>
                  <w:r>
                    <w:rPr>
                      <w:spacing w:val="8"/>
                      <w:sz w:val="20"/>
                      <w:szCs w:val="20"/>
                    </w:rPr>
                    <w:t>排</w:t>
                  </w:r>
                  <w:r>
                    <w:rPr>
                      <w:spacing w:val="-37"/>
                      <w:sz w:val="20"/>
                      <w:szCs w:val="20"/>
                    </w:rPr>
                    <w:t xml:space="preserve"> </w:t>
                  </w:r>
                  <w:r>
                    <w:rPr>
                      <w:spacing w:val="8"/>
                      <w:sz w:val="20"/>
                      <w:szCs w:val="20"/>
                    </w:rPr>
                    <w:t>放</w:t>
                  </w:r>
                  <w:r>
                    <w:rPr>
                      <w:spacing w:val="-38"/>
                      <w:sz w:val="20"/>
                      <w:szCs w:val="20"/>
                    </w:rPr>
                    <w:t xml:space="preserve"> </w:t>
                  </w:r>
                  <w:r>
                    <w:rPr>
                      <w:spacing w:val="8"/>
                      <w:sz w:val="20"/>
                      <w:szCs w:val="20"/>
                    </w:rPr>
                    <w:t>管</w:t>
                  </w:r>
                  <w:r>
                    <w:rPr>
                      <w:spacing w:val="-35"/>
                      <w:sz w:val="20"/>
                      <w:szCs w:val="20"/>
                    </w:rPr>
                    <w:t xml:space="preserve"> </w:t>
                  </w:r>
                  <w:r>
                    <w:rPr>
                      <w:spacing w:val="8"/>
                      <w:sz w:val="20"/>
                      <w:szCs w:val="20"/>
                    </w:rPr>
                    <w:t>控</w:t>
                  </w:r>
                </w:p>
              </w:tc>
              <w:tc>
                <w:tcPr>
                  <w:tcW w:w="2589" w:type="dxa"/>
                  <w:tcBorders>
                    <w:bottom w:val="single" w:color="000000" w:sz="10" w:space="0"/>
                  </w:tcBorders>
                  <w:vAlign w:val="top"/>
                </w:tcPr>
                <w:p w14:paraId="0E1AE3F5">
                  <w:pPr>
                    <w:pStyle w:val="6"/>
                    <w:spacing w:before="16" w:line="254" w:lineRule="auto"/>
                    <w:ind w:left="115" w:right="105" w:firstLine="436"/>
                    <w:jc w:val="both"/>
                    <w:rPr>
                      <w:sz w:val="20"/>
                      <w:szCs w:val="20"/>
                    </w:rPr>
                  </w:pPr>
                  <w:r>
                    <w:rPr>
                      <w:rFonts w:ascii="Times New Roman" w:hAnsi="Times New Roman" w:eastAsia="Times New Roman" w:cs="Times New Roman"/>
                      <w:spacing w:val="11"/>
                      <w:sz w:val="20"/>
                      <w:szCs w:val="20"/>
                    </w:rPr>
                    <w:t>1.</w:t>
                  </w:r>
                  <w:r>
                    <w:rPr>
                      <w:spacing w:val="11"/>
                      <w:sz w:val="20"/>
                      <w:szCs w:val="20"/>
                    </w:rPr>
                    <w:t>加快</w:t>
                  </w:r>
                  <w:r>
                    <w:rPr>
                      <w:rFonts w:ascii="Times New Roman" w:hAnsi="Times New Roman" w:eastAsia="Times New Roman" w:cs="Times New Roman"/>
                      <w:spacing w:val="11"/>
                      <w:sz w:val="20"/>
                      <w:szCs w:val="20"/>
                    </w:rPr>
                    <w:t>65t</w:t>
                  </w:r>
                  <w:r>
                    <w:rPr>
                      <w:rFonts w:ascii="Calibri" w:hAnsi="Calibri" w:eastAsia="Calibri" w:cs="Calibri"/>
                      <w:spacing w:val="11"/>
                      <w:sz w:val="20"/>
                      <w:szCs w:val="20"/>
                    </w:rPr>
                    <w:t>/</w:t>
                  </w:r>
                  <w:r>
                    <w:rPr>
                      <w:rFonts w:ascii="Times New Roman" w:hAnsi="Times New Roman" w:eastAsia="Times New Roman" w:cs="Times New Roman"/>
                      <w:spacing w:val="11"/>
                      <w:sz w:val="20"/>
                      <w:szCs w:val="20"/>
                    </w:rPr>
                    <w:t>h</w:t>
                  </w:r>
                  <w:r>
                    <w:rPr>
                      <w:spacing w:val="11"/>
                      <w:sz w:val="20"/>
                      <w:szCs w:val="20"/>
                    </w:rPr>
                    <w:t>以上燃煤</w:t>
                  </w:r>
                  <w:r>
                    <w:rPr>
                      <w:sz w:val="20"/>
                      <w:szCs w:val="20"/>
                    </w:rPr>
                    <w:t xml:space="preserve"> </w:t>
                  </w:r>
                  <w:r>
                    <w:rPr>
                      <w:spacing w:val="14"/>
                      <w:sz w:val="20"/>
                      <w:szCs w:val="20"/>
                    </w:rPr>
                    <w:t>锅炉（含电力）超低排放</w:t>
                  </w:r>
                  <w:r>
                    <w:rPr>
                      <w:spacing w:val="8"/>
                      <w:sz w:val="20"/>
                      <w:szCs w:val="20"/>
                    </w:rPr>
                    <w:t xml:space="preserve"> </w:t>
                  </w:r>
                  <w:r>
                    <w:rPr>
                      <w:spacing w:val="3"/>
                      <w:sz w:val="20"/>
                      <w:szCs w:val="20"/>
                    </w:rPr>
                    <w:t>改造。</w:t>
                  </w:r>
                </w:p>
                <w:p w14:paraId="02F6203E">
                  <w:pPr>
                    <w:pStyle w:val="6"/>
                    <w:spacing w:before="24" w:line="244" w:lineRule="auto"/>
                    <w:ind w:left="114" w:right="105" w:firstLine="417"/>
                    <w:jc w:val="both"/>
                    <w:rPr>
                      <w:sz w:val="20"/>
                      <w:szCs w:val="20"/>
                    </w:rPr>
                  </w:pPr>
                  <w:r>
                    <w:rPr>
                      <w:rFonts w:ascii="Times New Roman" w:hAnsi="Times New Roman" w:eastAsia="Times New Roman" w:cs="Times New Roman"/>
                      <w:spacing w:val="17"/>
                      <w:sz w:val="20"/>
                      <w:szCs w:val="20"/>
                    </w:rPr>
                    <w:t>2.</w:t>
                  </w:r>
                  <w:r>
                    <w:rPr>
                      <w:rFonts w:ascii="Times New Roman" w:hAnsi="Times New Roman" w:eastAsia="Times New Roman" w:cs="Times New Roman"/>
                      <w:spacing w:val="-27"/>
                      <w:sz w:val="20"/>
                      <w:szCs w:val="20"/>
                    </w:rPr>
                    <w:t xml:space="preserve"> </w:t>
                  </w:r>
                  <w:r>
                    <w:rPr>
                      <w:spacing w:val="17"/>
                      <w:sz w:val="20"/>
                      <w:szCs w:val="20"/>
                    </w:rPr>
                    <w:t>水环境城镇生活污</w:t>
                  </w:r>
                  <w:r>
                    <w:rPr>
                      <w:sz w:val="20"/>
                      <w:szCs w:val="20"/>
                    </w:rPr>
                    <w:t xml:space="preserve"> </w:t>
                  </w:r>
                  <w:r>
                    <w:rPr>
                      <w:spacing w:val="5"/>
                      <w:sz w:val="20"/>
                      <w:szCs w:val="20"/>
                    </w:rPr>
                    <w:t>染重点管控区执行：</w:t>
                  </w:r>
                  <w:r>
                    <w:rPr>
                      <w:rFonts w:ascii="Times New Roman" w:hAnsi="Times New Roman" w:eastAsia="Times New Roman" w:cs="Times New Roman"/>
                      <w:spacing w:val="5"/>
                      <w:sz w:val="20"/>
                      <w:szCs w:val="20"/>
                    </w:rPr>
                    <w:t>1</w:t>
                  </w:r>
                  <w:r>
                    <w:rPr>
                      <w:spacing w:val="5"/>
                      <w:sz w:val="20"/>
                      <w:szCs w:val="20"/>
                    </w:rPr>
                    <w:t>）新</w:t>
                  </w:r>
                  <w:r>
                    <w:rPr>
                      <w:spacing w:val="3"/>
                      <w:sz w:val="20"/>
                      <w:szCs w:val="20"/>
                    </w:rPr>
                    <w:t xml:space="preserve"> </w:t>
                  </w:r>
                  <w:r>
                    <w:rPr>
                      <w:spacing w:val="14"/>
                      <w:sz w:val="20"/>
                      <w:szCs w:val="20"/>
                    </w:rPr>
                    <w:t>区污水管网规划建设应当</w:t>
                  </w:r>
                  <w:r>
                    <w:rPr>
                      <w:spacing w:val="9"/>
                      <w:sz w:val="20"/>
                      <w:szCs w:val="20"/>
                    </w:rPr>
                    <w:t xml:space="preserve"> </w:t>
                  </w:r>
                  <w:r>
                    <w:rPr>
                      <w:spacing w:val="14"/>
                      <w:sz w:val="20"/>
                      <w:szCs w:val="20"/>
                    </w:rPr>
                    <w:t>与城市开发同步推进，除</w:t>
                  </w:r>
                  <w:r>
                    <w:rPr>
                      <w:spacing w:val="9"/>
                      <w:sz w:val="20"/>
                      <w:szCs w:val="20"/>
                    </w:rPr>
                    <w:t xml:space="preserve"> </w:t>
                  </w:r>
                  <w:r>
                    <w:rPr>
                      <w:spacing w:val="14"/>
                      <w:sz w:val="20"/>
                      <w:szCs w:val="20"/>
                    </w:rPr>
                    <w:t>干旱地区外均实行雨污分</w:t>
                  </w:r>
                </w:p>
              </w:tc>
              <w:tc>
                <w:tcPr>
                  <w:tcW w:w="1853" w:type="dxa"/>
                  <w:tcBorders>
                    <w:bottom w:val="single" w:color="000000" w:sz="10" w:space="0"/>
                    <w:right w:val="nil"/>
                  </w:tcBorders>
                  <w:vAlign w:val="top"/>
                </w:tcPr>
                <w:p w14:paraId="5F6F3460">
                  <w:pPr>
                    <w:pStyle w:val="6"/>
                    <w:spacing w:before="48" w:line="247" w:lineRule="auto"/>
                    <w:ind w:left="112" w:right="99" w:firstLine="421"/>
                    <w:jc w:val="both"/>
                    <w:rPr>
                      <w:sz w:val="20"/>
                      <w:szCs w:val="20"/>
                    </w:rPr>
                  </w:pPr>
                  <w:r>
                    <w:rPr>
                      <w:spacing w:val="41"/>
                      <w:sz w:val="20"/>
                      <w:szCs w:val="20"/>
                    </w:rPr>
                    <w:t>本项目不涉</w:t>
                  </w:r>
                  <w:r>
                    <w:rPr>
                      <w:spacing w:val="2"/>
                      <w:sz w:val="20"/>
                      <w:szCs w:val="20"/>
                    </w:rPr>
                    <w:t xml:space="preserve"> </w:t>
                  </w:r>
                  <w:r>
                    <w:rPr>
                      <w:spacing w:val="3"/>
                      <w:sz w:val="20"/>
                      <w:szCs w:val="20"/>
                    </w:rPr>
                    <w:t>及锅炉，项目不在</w:t>
                  </w:r>
                  <w:r>
                    <w:rPr>
                      <w:spacing w:val="4"/>
                      <w:sz w:val="20"/>
                      <w:szCs w:val="20"/>
                    </w:rPr>
                    <w:t xml:space="preserve"> </w:t>
                  </w:r>
                  <w:r>
                    <w:rPr>
                      <w:spacing w:val="32"/>
                      <w:sz w:val="20"/>
                      <w:szCs w:val="20"/>
                    </w:rPr>
                    <w:t>水环境城镇生活</w:t>
                  </w:r>
                  <w:r>
                    <w:rPr>
                      <w:spacing w:val="4"/>
                      <w:sz w:val="20"/>
                      <w:szCs w:val="20"/>
                    </w:rPr>
                    <w:t xml:space="preserve"> 污染重点管控区、</w:t>
                  </w:r>
                  <w:r>
                    <w:rPr>
                      <w:spacing w:val="5"/>
                      <w:sz w:val="20"/>
                      <w:szCs w:val="20"/>
                    </w:rPr>
                    <w:t xml:space="preserve"> </w:t>
                  </w:r>
                  <w:r>
                    <w:rPr>
                      <w:spacing w:val="32"/>
                      <w:sz w:val="20"/>
                      <w:szCs w:val="20"/>
                    </w:rPr>
                    <w:t>水环境工业污染</w:t>
                  </w:r>
                  <w:r>
                    <w:rPr>
                      <w:spacing w:val="4"/>
                      <w:sz w:val="20"/>
                      <w:szCs w:val="20"/>
                    </w:rPr>
                    <w:t xml:space="preserve"> </w:t>
                  </w:r>
                  <w:r>
                    <w:rPr>
                      <w:spacing w:val="32"/>
                      <w:sz w:val="20"/>
                      <w:szCs w:val="20"/>
                    </w:rPr>
                    <w:t>重点管控区及大</w:t>
                  </w:r>
                  <w:r>
                    <w:rPr>
                      <w:spacing w:val="4"/>
                      <w:sz w:val="20"/>
                      <w:szCs w:val="20"/>
                    </w:rPr>
                    <w:t xml:space="preserve"> </w:t>
                  </w:r>
                  <w:r>
                    <w:rPr>
                      <w:spacing w:val="32"/>
                      <w:sz w:val="20"/>
                      <w:szCs w:val="20"/>
                    </w:rPr>
                    <w:t>气环境布局敏感</w:t>
                  </w:r>
                  <w:r>
                    <w:rPr>
                      <w:spacing w:val="4"/>
                      <w:sz w:val="20"/>
                      <w:szCs w:val="20"/>
                    </w:rPr>
                    <w:t xml:space="preserve"> </w:t>
                  </w:r>
                  <w:r>
                    <w:rPr>
                      <w:spacing w:val="3"/>
                      <w:sz w:val="20"/>
                      <w:szCs w:val="20"/>
                    </w:rPr>
                    <w:t>重点管控区内。本</w:t>
                  </w:r>
                </w:p>
              </w:tc>
            </w:tr>
          </w:tbl>
          <w:p w14:paraId="4605A516">
            <w:pPr>
              <w:spacing w:line="14" w:lineRule="auto"/>
              <w:rPr>
                <w:rFonts w:ascii="Arial"/>
                <w:sz w:val="2"/>
              </w:rPr>
            </w:pPr>
          </w:p>
        </w:tc>
      </w:tr>
    </w:tbl>
    <w:p w14:paraId="000852A4">
      <w:pPr>
        <w:pStyle w:val="2"/>
        <w:spacing w:line="159" w:lineRule="exact"/>
        <w:rPr>
          <w:sz w:val="13"/>
        </w:rPr>
      </w:pPr>
    </w:p>
    <w:p w14:paraId="2785EF30">
      <w:pPr>
        <w:spacing w:line="159" w:lineRule="exact"/>
        <w:rPr>
          <w:sz w:val="13"/>
          <w:szCs w:val="13"/>
        </w:rPr>
        <w:sectPr>
          <w:footerReference r:id="rId7"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1811"/>
        <w:gridCol w:w="788"/>
        <w:gridCol w:w="761"/>
        <w:gridCol w:w="425"/>
        <w:gridCol w:w="2581"/>
        <w:gridCol w:w="2062"/>
      </w:tblGrid>
      <w:tr w14:paraId="7FC38E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961" w:hRule="atLeast"/>
        </w:trPr>
        <w:tc>
          <w:tcPr>
            <w:tcW w:w="494" w:type="dxa"/>
            <w:vMerge w:val="restart"/>
            <w:tcBorders>
              <w:top w:val="single" w:color="000000" w:sz="10" w:space="0"/>
              <w:left w:val="single" w:color="000000" w:sz="10" w:space="0"/>
              <w:bottom w:val="nil"/>
            </w:tcBorders>
            <w:vAlign w:val="top"/>
          </w:tcPr>
          <w:p w14:paraId="78847A86">
            <w:pPr>
              <w:rPr>
                <w:rFonts w:ascii="Arial"/>
                <w:sz w:val="21"/>
              </w:rPr>
            </w:pPr>
          </w:p>
        </w:tc>
        <w:tc>
          <w:tcPr>
            <w:tcW w:w="1811" w:type="dxa"/>
            <w:vMerge w:val="restart"/>
            <w:tcBorders>
              <w:top w:val="single" w:color="000000" w:sz="10" w:space="0"/>
              <w:bottom w:val="nil"/>
            </w:tcBorders>
            <w:vAlign w:val="top"/>
          </w:tcPr>
          <w:p w14:paraId="78E3F1A4">
            <w:pPr>
              <w:rPr>
                <w:rFonts w:ascii="Arial"/>
                <w:sz w:val="21"/>
              </w:rPr>
            </w:pPr>
          </w:p>
        </w:tc>
        <w:tc>
          <w:tcPr>
            <w:tcW w:w="788" w:type="dxa"/>
            <w:vMerge w:val="restart"/>
            <w:tcBorders>
              <w:top w:val="single" w:color="000000" w:sz="10" w:space="0"/>
              <w:bottom w:val="nil"/>
            </w:tcBorders>
            <w:vAlign w:val="top"/>
          </w:tcPr>
          <w:p w14:paraId="2A43BA86">
            <w:pPr>
              <w:rPr>
                <w:rFonts w:ascii="Arial"/>
                <w:sz w:val="21"/>
              </w:rPr>
            </w:pPr>
          </w:p>
        </w:tc>
        <w:tc>
          <w:tcPr>
            <w:tcW w:w="761" w:type="dxa"/>
            <w:vMerge w:val="restart"/>
            <w:tcBorders>
              <w:top w:val="single" w:color="000000" w:sz="10" w:space="0"/>
              <w:bottom w:val="nil"/>
            </w:tcBorders>
            <w:vAlign w:val="top"/>
          </w:tcPr>
          <w:p w14:paraId="6A0FEAA3">
            <w:pPr>
              <w:rPr>
                <w:rFonts w:ascii="Arial"/>
                <w:sz w:val="21"/>
              </w:rPr>
            </w:pPr>
          </w:p>
        </w:tc>
        <w:tc>
          <w:tcPr>
            <w:tcW w:w="425" w:type="dxa"/>
            <w:tcBorders>
              <w:top w:val="single" w:color="000000" w:sz="10" w:space="0"/>
            </w:tcBorders>
            <w:vAlign w:val="top"/>
          </w:tcPr>
          <w:p w14:paraId="4AF9C671">
            <w:pPr>
              <w:rPr>
                <w:rFonts w:ascii="Arial"/>
                <w:sz w:val="21"/>
              </w:rPr>
            </w:pPr>
          </w:p>
        </w:tc>
        <w:tc>
          <w:tcPr>
            <w:tcW w:w="2581" w:type="dxa"/>
            <w:tcBorders>
              <w:top w:val="single" w:color="000000" w:sz="10" w:space="0"/>
            </w:tcBorders>
            <w:vAlign w:val="top"/>
          </w:tcPr>
          <w:p w14:paraId="1B888EDA">
            <w:pPr>
              <w:pStyle w:val="6"/>
              <w:spacing w:before="28" w:line="250" w:lineRule="auto"/>
              <w:ind w:left="111" w:right="28" w:firstLine="2"/>
              <w:rPr>
                <w:sz w:val="20"/>
                <w:szCs w:val="20"/>
              </w:rPr>
            </w:pPr>
            <w:r>
              <w:rPr>
                <w:spacing w:val="5"/>
                <w:sz w:val="20"/>
                <w:szCs w:val="20"/>
              </w:rPr>
              <w:t>流。</w:t>
            </w:r>
            <w:r>
              <w:rPr>
                <w:rFonts w:ascii="Times New Roman" w:hAnsi="Times New Roman" w:eastAsia="Times New Roman" w:cs="Times New Roman"/>
                <w:spacing w:val="5"/>
                <w:sz w:val="20"/>
                <w:szCs w:val="20"/>
              </w:rPr>
              <w:t>2</w:t>
            </w:r>
            <w:r>
              <w:rPr>
                <w:spacing w:val="5"/>
                <w:sz w:val="20"/>
                <w:szCs w:val="20"/>
              </w:rPr>
              <w:t>）强化城中村、老旧</w:t>
            </w:r>
            <w:r>
              <w:rPr>
                <w:sz w:val="20"/>
                <w:szCs w:val="20"/>
              </w:rPr>
              <w:t xml:space="preserve"> </w:t>
            </w:r>
            <w:r>
              <w:rPr>
                <w:spacing w:val="14"/>
                <w:sz w:val="20"/>
                <w:szCs w:val="20"/>
              </w:rPr>
              <w:t>城区和城乡结合部污水截</w:t>
            </w:r>
            <w:r>
              <w:rPr>
                <w:spacing w:val="9"/>
                <w:sz w:val="20"/>
                <w:szCs w:val="20"/>
              </w:rPr>
              <w:t xml:space="preserve"> </w:t>
            </w:r>
            <w:r>
              <w:rPr>
                <w:spacing w:val="5"/>
                <w:sz w:val="20"/>
                <w:szCs w:val="20"/>
              </w:rPr>
              <w:t>流、收集。</w:t>
            </w:r>
            <w:r>
              <w:rPr>
                <w:rFonts w:ascii="Times New Roman" w:hAnsi="Times New Roman" w:eastAsia="Times New Roman" w:cs="Times New Roman"/>
                <w:spacing w:val="5"/>
                <w:sz w:val="20"/>
                <w:szCs w:val="20"/>
              </w:rPr>
              <w:t>3</w:t>
            </w:r>
            <w:r>
              <w:rPr>
                <w:spacing w:val="5"/>
                <w:sz w:val="20"/>
                <w:szCs w:val="20"/>
              </w:rPr>
              <w:t>）推进合流制</w:t>
            </w:r>
            <w:r>
              <w:rPr>
                <w:spacing w:val="3"/>
                <w:sz w:val="20"/>
                <w:szCs w:val="20"/>
              </w:rPr>
              <w:t xml:space="preserve"> </w:t>
            </w:r>
            <w:r>
              <w:rPr>
                <w:spacing w:val="16"/>
                <w:sz w:val="20"/>
                <w:szCs w:val="20"/>
              </w:rPr>
              <w:t>排水系统雨污分流改造，</w:t>
            </w:r>
            <w:r>
              <w:rPr>
                <w:spacing w:val="4"/>
                <w:sz w:val="20"/>
                <w:szCs w:val="20"/>
              </w:rPr>
              <w:t xml:space="preserve"> </w:t>
            </w:r>
            <w:r>
              <w:rPr>
                <w:spacing w:val="2"/>
                <w:sz w:val="20"/>
                <w:szCs w:val="20"/>
              </w:rPr>
              <w:t>难以改造的，应采取截流、</w:t>
            </w:r>
            <w:r>
              <w:rPr>
                <w:spacing w:val="10"/>
                <w:sz w:val="20"/>
                <w:szCs w:val="20"/>
              </w:rPr>
              <w:t xml:space="preserve"> </w:t>
            </w:r>
            <w:r>
              <w:rPr>
                <w:spacing w:val="14"/>
                <w:sz w:val="20"/>
                <w:szCs w:val="20"/>
              </w:rPr>
              <w:t>调蓄和治理等措施；推进</w:t>
            </w:r>
            <w:r>
              <w:rPr>
                <w:spacing w:val="9"/>
                <w:sz w:val="20"/>
                <w:szCs w:val="20"/>
              </w:rPr>
              <w:t xml:space="preserve"> </w:t>
            </w:r>
            <w:r>
              <w:rPr>
                <w:spacing w:val="14"/>
                <w:sz w:val="20"/>
                <w:szCs w:val="20"/>
              </w:rPr>
              <w:t>现有污水处理设施配套管</w:t>
            </w:r>
            <w:r>
              <w:rPr>
                <w:spacing w:val="9"/>
                <w:sz w:val="20"/>
                <w:szCs w:val="20"/>
              </w:rPr>
              <w:t xml:space="preserve"> </w:t>
            </w:r>
            <w:r>
              <w:rPr>
                <w:spacing w:val="2"/>
                <w:sz w:val="20"/>
                <w:szCs w:val="20"/>
              </w:rPr>
              <w:t>网建设；进一步提高城市、</w:t>
            </w:r>
            <w:r>
              <w:rPr>
                <w:spacing w:val="10"/>
                <w:sz w:val="20"/>
                <w:szCs w:val="20"/>
              </w:rPr>
              <w:t xml:space="preserve"> </w:t>
            </w:r>
            <w:r>
              <w:rPr>
                <w:spacing w:val="14"/>
                <w:sz w:val="20"/>
                <w:szCs w:val="20"/>
              </w:rPr>
              <w:t>县城生活污水收集处理效</w:t>
            </w:r>
            <w:r>
              <w:rPr>
                <w:spacing w:val="9"/>
                <w:sz w:val="20"/>
                <w:szCs w:val="20"/>
              </w:rPr>
              <w:t xml:space="preserve"> </w:t>
            </w:r>
            <w:r>
              <w:rPr>
                <w:spacing w:val="5"/>
                <w:sz w:val="20"/>
                <w:szCs w:val="20"/>
              </w:rPr>
              <w:t>能。</w:t>
            </w:r>
            <w:r>
              <w:rPr>
                <w:rFonts w:ascii="Times New Roman" w:hAnsi="Times New Roman" w:eastAsia="Times New Roman" w:cs="Times New Roman"/>
                <w:spacing w:val="5"/>
                <w:sz w:val="20"/>
                <w:szCs w:val="20"/>
              </w:rPr>
              <w:t>4</w:t>
            </w:r>
            <w:r>
              <w:rPr>
                <w:spacing w:val="5"/>
                <w:sz w:val="20"/>
                <w:szCs w:val="20"/>
              </w:rPr>
              <w:t>）县级以上人民政府</w:t>
            </w:r>
            <w:r>
              <w:rPr>
                <w:spacing w:val="1"/>
                <w:sz w:val="20"/>
                <w:szCs w:val="20"/>
              </w:rPr>
              <w:t xml:space="preserve"> </w:t>
            </w:r>
            <w:r>
              <w:rPr>
                <w:spacing w:val="14"/>
                <w:sz w:val="20"/>
                <w:szCs w:val="20"/>
              </w:rPr>
              <w:t>应当合理确定城镇排水与</w:t>
            </w:r>
            <w:r>
              <w:rPr>
                <w:spacing w:val="9"/>
                <w:sz w:val="20"/>
                <w:szCs w:val="20"/>
              </w:rPr>
              <w:t xml:space="preserve"> </w:t>
            </w:r>
            <w:r>
              <w:rPr>
                <w:spacing w:val="16"/>
                <w:sz w:val="20"/>
                <w:szCs w:val="20"/>
              </w:rPr>
              <w:t>污水处理设施建设标准，</w:t>
            </w:r>
            <w:r>
              <w:rPr>
                <w:spacing w:val="4"/>
                <w:sz w:val="20"/>
                <w:szCs w:val="20"/>
              </w:rPr>
              <w:t xml:space="preserve"> </w:t>
            </w:r>
            <w:r>
              <w:rPr>
                <w:spacing w:val="14"/>
                <w:sz w:val="20"/>
                <w:szCs w:val="20"/>
              </w:rPr>
              <w:t>统筹安排管网、泵站、污</w:t>
            </w:r>
            <w:r>
              <w:rPr>
                <w:spacing w:val="9"/>
                <w:sz w:val="20"/>
                <w:szCs w:val="20"/>
              </w:rPr>
              <w:t xml:space="preserve"> </w:t>
            </w:r>
            <w:r>
              <w:rPr>
                <w:spacing w:val="14"/>
                <w:sz w:val="20"/>
                <w:szCs w:val="20"/>
              </w:rPr>
              <w:t>水处理厂以及污泥处理处</w:t>
            </w:r>
            <w:r>
              <w:rPr>
                <w:spacing w:val="9"/>
                <w:sz w:val="20"/>
                <w:szCs w:val="20"/>
              </w:rPr>
              <w:t xml:space="preserve"> </w:t>
            </w:r>
            <w:r>
              <w:rPr>
                <w:spacing w:val="14"/>
                <w:sz w:val="20"/>
                <w:szCs w:val="20"/>
              </w:rPr>
              <w:t>置、再生水利用、雨水调</w:t>
            </w:r>
            <w:r>
              <w:rPr>
                <w:spacing w:val="9"/>
                <w:sz w:val="20"/>
                <w:szCs w:val="20"/>
              </w:rPr>
              <w:t xml:space="preserve"> </w:t>
            </w:r>
            <w:r>
              <w:rPr>
                <w:spacing w:val="14"/>
                <w:sz w:val="20"/>
                <w:szCs w:val="20"/>
              </w:rPr>
              <w:t>蓄和排放等排水与污水处</w:t>
            </w:r>
            <w:r>
              <w:rPr>
                <w:spacing w:val="9"/>
                <w:sz w:val="20"/>
                <w:szCs w:val="20"/>
              </w:rPr>
              <w:t xml:space="preserve"> </w:t>
            </w:r>
            <w:r>
              <w:rPr>
                <w:spacing w:val="14"/>
                <w:sz w:val="20"/>
                <w:szCs w:val="20"/>
              </w:rPr>
              <w:t>理设施建设和改造，提高</w:t>
            </w:r>
            <w:r>
              <w:rPr>
                <w:spacing w:val="9"/>
                <w:sz w:val="20"/>
                <w:szCs w:val="20"/>
              </w:rPr>
              <w:t xml:space="preserve"> </w:t>
            </w:r>
            <w:r>
              <w:rPr>
                <w:spacing w:val="36"/>
                <w:sz w:val="20"/>
                <w:szCs w:val="20"/>
              </w:rPr>
              <w:t>城镇污水收集率和处理</w:t>
            </w:r>
            <w:r>
              <w:rPr>
                <w:spacing w:val="3"/>
                <w:sz w:val="20"/>
                <w:szCs w:val="20"/>
              </w:rPr>
              <w:t xml:space="preserve"> </w:t>
            </w:r>
            <w:r>
              <w:rPr>
                <w:spacing w:val="1"/>
                <w:sz w:val="20"/>
                <w:szCs w:val="20"/>
              </w:rPr>
              <w:t>率。</w:t>
            </w:r>
          </w:p>
          <w:p w14:paraId="2CFBD2F5">
            <w:pPr>
              <w:pStyle w:val="6"/>
              <w:spacing w:before="21" w:line="250" w:lineRule="auto"/>
              <w:ind w:left="112" w:right="12" w:firstLine="421"/>
              <w:rPr>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21"/>
                <w:sz w:val="20"/>
                <w:szCs w:val="20"/>
              </w:rPr>
              <w:t xml:space="preserve"> </w:t>
            </w:r>
            <w:r>
              <w:rPr>
                <w:spacing w:val="16"/>
                <w:sz w:val="20"/>
                <w:szCs w:val="20"/>
              </w:rPr>
              <w:t>水环境工业污染重</w:t>
            </w:r>
            <w:r>
              <w:rPr>
                <w:sz w:val="20"/>
                <w:szCs w:val="20"/>
              </w:rPr>
              <w:t xml:space="preserve">  </w:t>
            </w:r>
            <w:r>
              <w:rPr>
                <w:spacing w:val="5"/>
                <w:sz w:val="20"/>
                <w:szCs w:val="20"/>
              </w:rPr>
              <w:t>点管控区同时执行：</w:t>
            </w:r>
            <w:r>
              <w:rPr>
                <w:rFonts w:ascii="Times New Roman" w:hAnsi="Times New Roman" w:eastAsia="Times New Roman" w:cs="Times New Roman"/>
                <w:spacing w:val="5"/>
                <w:sz w:val="20"/>
                <w:szCs w:val="20"/>
              </w:rPr>
              <w:t>1</w:t>
            </w:r>
            <w:r>
              <w:rPr>
                <w:spacing w:val="5"/>
                <w:sz w:val="20"/>
                <w:szCs w:val="20"/>
              </w:rPr>
              <w:t>）新</w:t>
            </w:r>
            <w:r>
              <w:rPr>
                <w:spacing w:val="1"/>
                <w:sz w:val="20"/>
                <w:szCs w:val="20"/>
              </w:rPr>
              <w:t xml:space="preserve">  </w:t>
            </w:r>
            <w:r>
              <w:rPr>
                <w:spacing w:val="14"/>
                <w:sz w:val="20"/>
                <w:szCs w:val="20"/>
              </w:rPr>
              <w:t>建、改建和扩建项目应当</w:t>
            </w:r>
            <w:r>
              <w:rPr>
                <w:spacing w:val="4"/>
                <w:sz w:val="20"/>
                <w:szCs w:val="20"/>
              </w:rPr>
              <w:t xml:space="preserve">  </w:t>
            </w:r>
            <w:r>
              <w:rPr>
                <w:spacing w:val="14"/>
                <w:sz w:val="20"/>
                <w:szCs w:val="20"/>
              </w:rPr>
              <w:t>优先采用资源利用率高以</w:t>
            </w:r>
            <w:r>
              <w:rPr>
                <w:spacing w:val="4"/>
                <w:sz w:val="20"/>
                <w:szCs w:val="20"/>
              </w:rPr>
              <w:t xml:space="preserve">  </w:t>
            </w:r>
            <w:r>
              <w:rPr>
                <w:spacing w:val="14"/>
                <w:sz w:val="20"/>
                <w:szCs w:val="20"/>
              </w:rPr>
              <w:t>及污染物产生量少的清洁</w:t>
            </w:r>
            <w:r>
              <w:rPr>
                <w:spacing w:val="4"/>
                <w:sz w:val="20"/>
                <w:szCs w:val="20"/>
              </w:rPr>
              <w:t xml:space="preserve">  </w:t>
            </w:r>
            <w:r>
              <w:rPr>
                <w:spacing w:val="-4"/>
                <w:sz w:val="20"/>
                <w:szCs w:val="20"/>
              </w:rPr>
              <w:t>生产技术、工艺和设备。</w:t>
            </w:r>
            <w:r>
              <w:rPr>
                <w:rFonts w:ascii="Times New Roman" w:hAnsi="Times New Roman" w:eastAsia="Times New Roman" w:cs="Times New Roman"/>
                <w:spacing w:val="-4"/>
                <w:sz w:val="20"/>
                <w:szCs w:val="20"/>
              </w:rPr>
              <w:t>2</w:t>
            </w:r>
            <w:r>
              <w:rPr>
                <w:spacing w:val="-4"/>
                <w:sz w:val="20"/>
                <w:szCs w:val="20"/>
              </w:rPr>
              <w:t>）</w:t>
            </w:r>
            <w:r>
              <w:rPr>
                <w:spacing w:val="2"/>
                <w:sz w:val="20"/>
                <w:szCs w:val="20"/>
              </w:rPr>
              <w:t xml:space="preserve"> </w:t>
            </w:r>
            <w:r>
              <w:rPr>
                <w:spacing w:val="14"/>
                <w:sz w:val="20"/>
                <w:szCs w:val="20"/>
              </w:rPr>
              <w:t>集中治理工业集聚区内工</w:t>
            </w:r>
            <w:r>
              <w:rPr>
                <w:spacing w:val="4"/>
                <w:sz w:val="20"/>
                <w:szCs w:val="20"/>
              </w:rPr>
              <w:t xml:space="preserve">  </w:t>
            </w:r>
            <w:r>
              <w:rPr>
                <w:spacing w:val="14"/>
                <w:sz w:val="20"/>
                <w:szCs w:val="20"/>
              </w:rPr>
              <w:t>业废水，区内工业废水必</w:t>
            </w:r>
            <w:r>
              <w:rPr>
                <w:spacing w:val="4"/>
                <w:sz w:val="20"/>
                <w:szCs w:val="20"/>
              </w:rPr>
              <w:t xml:space="preserve">  </w:t>
            </w:r>
            <w:r>
              <w:rPr>
                <w:spacing w:val="14"/>
                <w:sz w:val="20"/>
                <w:szCs w:val="20"/>
              </w:rPr>
              <w:t>须经预处理达到集中处理</w:t>
            </w:r>
            <w:r>
              <w:rPr>
                <w:spacing w:val="4"/>
                <w:sz w:val="20"/>
                <w:szCs w:val="20"/>
              </w:rPr>
              <w:t xml:space="preserve">  </w:t>
            </w:r>
            <w:r>
              <w:rPr>
                <w:spacing w:val="14"/>
                <w:sz w:val="20"/>
                <w:szCs w:val="20"/>
              </w:rPr>
              <w:t>要求后，方可进入污水集</w:t>
            </w:r>
            <w:r>
              <w:rPr>
                <w:spacing w:val="4"/>
                <w:sz w:val="20"/>
                <w:szCs w:val="20"/>
              </w:rPr>
              <w:t xml:space="preserve">  </w:t>
            </w:r>
            <w:r>
              <w:rPr>
                <w:spacing w:val="14"/>
                <w:sz w:val="20"/>
                <w:szCs w:val="20"/>
              </w:rPr>
              <w:t>中处理设施。新建、升级</w:t>
            </w:r>
            <w:r>
              <w:rPr>
                <w:spacing w:val="4"/>
                <w:sz w:val="20"/>
                <w:szCs w:val="20"/>
              </w:rPr>
              <w:t xml:space="preserve">  </w:t>
            </w:r>
            <w:r>
              <w:rPr>
                <w:spacing w:val="14"/>
                <w:sz w:val="20"/>
                <w:szCs w:val="20"/>
              </w:rPr>
              <w:t>工业集聚区应同步规划和</w:t>
            </w:r>
            <w:r>
              <w:rPr>
                <w:spacing w:val="4"/>
                <w:sz w:val="20"/>
                <w:szCs w:val="20"/>
              </w:rPr>
              <w:t xml:space="preserve">  </w:t>
            </w:r>
            <w:r>
              <w:rPr>
                <w:spacing w:val="14"/>
                <w:sz w:val="20"/>
                <w:szCs w:val="20"/>
              </w:rPr>
              <w:t>建设污水、垃圾集中处理</w:t>
            </w:r>
            <w:r>
              <w:rPr>
                <w:spacing w:val="4"/>
                <w:sz w:val="20"/>
                <w:szCs w:val="20"/>
              </w:rPr>
              <w:t xml:space="preserve">  </w:t>
            </w:r>
            <w:r>
              <w:rPr>
                <w:spacing w:val="7"/>
                <w:sz w:val="20"/>
                <w:szCs w:val="20"/>
              </w:rPr>
              <w:t>等污染治理设施。</w:t>
            </w:r>
          </w:p>
          <w:p w14:paraId="1125662D">
            <w:pPr>
              <w:pStyle w:val="6"/>
              <w:spacing w:before="32" w:line="246" w:lineRule="auto"/>
              <w:ind w:left="109" w:right="12" w:firstLine="418"/>
              <w:rPr>
                <w:sz w:val="20"/>
                <w:szCs w:val="20"/>
              </w:rPr>
            </w:pPr>
            <w:r>
              <w:rPr>
                <w:rFonts w:ascii="Times New Roman" w:hAnsi="Times New Roman" w:eastAsia="Times New Roman" w:cs="Times New Roman"/>
                <w:spacing w:val="16"/>
                <w:sz w:val="20"/>
                <w:szCs w:val="20"/>
              </w:rPr>
              <w:t>4.</w:t>
            </w:r>
            <w:r>
              <w:rPr>
                <w:rFonts w:ascii="Times New Roman" w:hAnsi="Times New Roman" w:eastAsia="Times New Roman" w:cs="Times New Roman"/>
                <w:spacing w:val="-16"/>
                <w:sz w:val="20"/>
                <w:szCs w:val="20"/>
              </w:rPr>
              <w:t xml:space="preserve"> </w:t>
            </w:r>
            <w:r>
              <w:rPr>
                <w:spacing w:val="16"/>
                <w:sz w:val="20"/>
                <w:szCs w:val="20"/>
              </w:rPr>
              <w:t>大气环境布局敏感</w:t>
            </w:r>
            <w:r>
              <w:rPr>
                <w:sz w:val="20"/>
                <w:szCs w:val="20"/>
              </w:rPr>
              <w:t xml:space="preserve">  </w:t>
            </w:r>
            <w:r>
              <w:rPr>
                <w:spacing w:val="8"/>
                <w:sz w:val="20"/>
                <w:szCs w:val="20"/>
              </w:rPr>
              <w:t>重点管控区同时执行：</w:t>
            </w:r>
            <w:r>
              <w:rPr>
                <w:rFonts w:ascii="Times New Roman" w:hAnsi="Times New Roman" w:eastAsia="Times New Roman" w:cs="Times New Roman"/>
                <w:spacing w:val="8"/>
                <w:sz w:val="20"/>
                <w:szCs w:val="20"/>
              </w:rPr>
              <w:t>1</w:t>
            </w:r>
            <w:r>
              <w:rPr>
                <w:spacing w:val="8"/>
                <w:sz w:val="20"/>
                <w:szCs w:val="20"/>
              </w:rPr>
              <w:t>）</w:t>
            </w:r>
            <w:r>
              <w:rPr>
                <w:spacing w:val="3"/>
                <w:sz w:val="20"/>
                <w:szCs w:val="20"/>
              </w:rPr>
              <w:t xml:space="preserve"> </w:t>
            </w:r>
            <w:r>
              <w:rPr>
                <w:spacing w:val="16"/>
                <w:sz w:val="20"/>
                <w:szCs w:val="20"/>
              </w:rPr>
              <w:t>对以煤、石焦油、渣油、</w:t>
            </w:r>
            <w:r>
              <w:rPr>
                <w:spacing w:val="3"/>
                <w:sz w:val="20"/>
                <w:szCs w:val="20"/>
              </w:rPr>
              <w:t xml:space="preserve"> </w:t>
            </w:r>
            <w:r>
              <w:rPr>
                <w:spacing w:val="15"/>
                <w:sz w:val="20"/>
                <w:szCs w:val="20"/>
              </w:rPr>
              <w:t>重油等为燃料的锅炉和工</w:t>
            </w:r>
            <w:r>
              <w:rPr>
                <w:sz w:val="20"/>
                <w:szCs w:val="20"/>
              </w:rPr>
              <w:t xml:space="preserve">  </w:t>
            </w:r>
            <w:r>
              <w:rPr>
                <w:spacing w:val="15"/>
                <w:sz w:val="20"/>
                <w:szCs w:val="20"/>
              </w:rPr>
              <w:t>业炉窑，加快使用清洁低</w:t>
            </w:r>
            <w:r>
              <w:rPr>
                <w:sz w:val="20"/>
                <w:szCs w:val="20"/>
              </w:rPr>
              <w:t xml:space="preserve">  </w:t>
            </w:r>
            <w:r>
              <w:rPr>
                <w:spacing w:val="11"/>
                <w:sz w:val="20"/>
                <w:szCs w:val="20"/>
              </w:rPr>
              <w:t>碳能源以及工厂余热、</w:t>
            </w:r>
            <w:r>
              <w:rPr>
                <w:spacing w:val="-55"/>
                <w:sz w:val="20"/>
                <w:szCs w:val="20"/>
              </w:rPr>
              <w:t xml:space="preserve"> </w:t>
            </w:r>
            <w:r>
              <w:rPr>
                <w:spacing w:val="11"/>
                <w:sz w:val="20"/>
                <w:szCs w:val="20"/>
              </w:rPr>
              <w:t>电</w:t>
            </w:r>
            <w:r>
              <w:rPr>
                <w:sz w:val="20"/>
                <w:szCs w:val="20"/>
              </w:rPr>
              <w:t xml:space="preserve">  </w:t>
            </w:r>
            <w:r>
              <w:rPr>
                <w:spacing w:val="5"/>
                <w:sz w:val="20"/>
                <w:szCs w:val="20"/>
              </w:rPr>
              <w:t>力热力等进行替代。</w:t>
            </w:r>
            <w:r>
              <w:rPr>
                <w:rFonts w:ascii="Times New Roman" w:hAnsi="Times New Roman" w:eastAsia="Times New Roman" w:cs="Times New Roman"/>
                <w:spacing w:val="5"/>
                <w:sz w:val="20"/>
                <w:szCs w:val="20"/>
              </w:rPr>
              <w:t>2</w:t>
            </w:r>
            <w:r>
              <w:rPr>
                <w:spacing w:val="5"/>
                <w:sz w:val="20"/>
                <w:szCs w:val="20"/>
              </w:rPr>
              <w:t>）到</w:t>
            </w:r>
            <w:r>
              <w:rPr>
                <w:spacing w:val="3"/>
                <w:sz w:val="20"/>
                <w:szCs w:val="20"/>
              </w:rPr>
              <w:t xml:space="preserve">  </w:t>
            </w:r>
            <w:r>
              <w:rPr>
                <w:rFonts w:ascii="Times New Roman" w:hAnsi="Times New Roman" w:eastAsia="Times New Roman" w:cs="Times New Roman"/>
                <w:spacing w:val="7"/>
                <w:sz w:val="20"/>
                <w:szCs w:val="20"/>
              </w:rPr>
              <w:t>2025</w:t>
            </w:r>
            <w:r>
              <w:rPr>
                <w:spacing w:val="7"/>
                <w:sz w:val="20"/>
                <w:szCs w:val="20"/>
              </w:rPr>
              <w:t>年，在用</w:t>
            </w:r>
            <w:r>
              <w:rPr>
                <w:rFonts w:ascii="Times New Roman" w:hAnsi="Times New Roman" w:eastAsia="Times New Roman" w:cs="Times New Roman"/>
                <w:spacing w:val="7"/>
                <w:sz w:val="20"/>
                <w:szCs w:val="20"/>
              </w:rPr>
              <w:t>65</w:t>
            </w:r>
            <w:r>
              <w:rPr>
                <w:spacing w:val="7"/>
                <w:sz w:val="20"/>
                <w:szCs w:val="20"/>
              </w:rPr>
              <w:t>蒸吨</w:t>
            </w:r>
            <w:r>
              <w:rPr>
                <w:rFonts w:ascii="Times New Roman" w:hAnsi="Times New Roman" w:eastAsia="Times New Roman" w:cs="Times New Roman"/>
                <w:spacing w:val="7"/>
                <w:sz w:val="20"/>
                <w:szCs w:val="20"/>
              </w:rPr>
              <w:t>/</w:t>
            </w:r>
            <w:r>
              <w:rPr>
                <w:spacing w:val="7"/>
                <w:sz w:val="20"/>
                <w:szCs w:val="20"/>
              </w:rPr>
              <w:t>小时</w:t>
            </w:r>
            <w:r>
              <w:rPr>
                <w:spacing w:val="2"/>
                <w:sz w:val="20"/>
                <w:szCs w:val="20"/>
              </w:rPr>
              <w:t xml:space="preserve">  </w:t>
            </w:r>
            <w:r>
              <w:rPr>
                <w:spacing w:val="4"/>
                <w:sz w:val="20"/>
                <w:szCs w:val="20"/>
              </w:rPr>
              <w:t>以上的燃煤锅炉（含电力）</w:t>
            </w:r>
            <w:r>
              <w:rPr>
                <w:spacing w:val="5"/>
                <w:sz w:val="20"/>
                <w:szCs w:val="20"/>
              </w:rPr>
              <w:t xml:space="preserve"> </w:t>
            </w:r>
            <w:r>
              <w:rPr>
                <w:spacing w:val="15"/>
                <w:sz w:val="20"/>
                <w:szCs w:val="20"/>
              </w:rPr>
              <w:t>实现超低排放，钢铁企业</w:t>
            </w:r>
            <w:r>
              <w:rPr>
                <w:sz w:val="20"/>
                <w:szCs w:val="20"/>
              </w:rPr>
              <w:t xml:space="preserve">  </w:t>
            </w:r>
            <w:r>
              <w:rPr>
                <w:spacing w:val="8"/>
                <w:sz w:val="20"/>
                <w:szCs w:val="20"/>
              </w:rPr>
              <w:t>基本实现超低排放。</w:t>
            </w:r>
          </w:p>
        </w:tc>
        <w:tc>
          <w:tcPr>
            <w:tcW w:w="2062" w:type="dxa"/>
            <w:vMerge w:val="restart"/>
            <w:tcBorders>
              <w:top w:val="single" w:color="000000" w:sz="10" w:space="0"/>
              <w:bottom w:val="nil"/>
              <w:right w:val="single" w:color="000000" w:sz="10" w:space="0"/>
            </w:tcBorders>
            <w:vAlign w:val="top"/>
          </w:tcPr>
          <w:p w14:paraId="0398C3CB">
            <w:pPr>
              <w:pStyle w:val="6"/>
              <w:spacing w:before="26" w:line="239" w:lineRule="auto"/>
              <w:ind w:left="119" w:right="290" w:firstLine="3"/>
              <w:rPr>
                <w:sz w:val="20"/>
                <w:szCs w:val="20"/>
              </w:rPr>
            </w:pPr>
            <w:r>
              <w:rPr>
                <w:spacing w:val="9"/>
                <w:sz w:val="20"/>
                <w:szCs w:val="20"/>
              </w:rPr>
              <w:t>项</w:t>
            </w:r>
            <w:r>
              <w:rPr>
                <w:spacing w:val="-22"/>
                <w:sz w:val="20"/>
                <w:szCs w:val="20"/>
              </w:rPr>
              <w:t xml:space="preserve"> </w:t>
            </w:r>
            <w:r>
              <w:rPr>
                <w:spacing w:val="9"/>
                <w:sz w:val="20"/>
                <w:szCs w:val="20"/>
              </w:rPr>
              <w:t>目满</w:t>
            </w:r>
            <w:r>
              <w:rPr>
                <w:spacing w:val="-60"/>
                <w:sz w:val="20"/>
                <w:szCs w:val="20"/>
              </w:rPr>
              <w:t xml:space="preserve"> </w:t>
            </w:r>
            <w:r>
              <w:rPr>
                <w:spacing w:val="9"/>
                <w:sz w:val="20"/>
                <w:szCs w:val="20"/>
              </w:rPr>
              <w:t>足其污</w:t>
            </w:r>
            <w:r>
              <w:rPr>
                <w:spacing w:val="-59"/>
                <w:sz w:val="20"/>
                <w:szCs w:val="20"/>
              </w:rPr>
              <w:t xml:space="preserve"> </w:t>
            </w:r>
            <w:r>
              <w:rPr>
                <w:spacing w:val="9"/>
                <w:sz w:val="20"/>
                <w:szCs w:val="20"/>
              </w:rPr>
              <w:t>染</w:t>
            </w:r>
            <w:r>
              <w:rPr>
                <w:sz w:val="20"/>
                <w:szCs w:val="20"/>
              </w:rPr>
              <w:t xml:space="preserve"> </w:t>
            </w:r>
            <w:r>
              <w:rPr>
                <w:spacing w:val="4"/>
                <w:sz w:val="20"/>
                <w:szCs w:val="20"/>
              </w:rPr>
              <w:t>物排放管控要求。</w:t>
            </w:r>
          </w:p>
          <w:p w14:paraId="3E41EA17">
            <w:pPr>
              <w:spacing w:line="241" w:lineRule="auto"/>
              <w:rPr>
                <w:rFonts w:ascii="Arial"/>
                <w:sz w:val="21"/>
              </w:rPr>
            </w:pPr>
          </w:p>
          <w:p w14:paraId="3C66D966">
            <w:pPr>
              <w:spacing w:line="241" w:lineRule="auto"/>
              <w:rPr>
                <w:rFonts w:ascii="Arial"/>
                <w:sz w:val="21"/>
              </w:rPr>
            </w:pPr>
          </w:p>
          <w:p w14:paraId="12D5E39D">
            <w:pPr>
              <w:spacing w:line="241" w:lineRule="auto"/>
              <w:rPr>
                <w:rFonts w:ascii="Arial"/>
                <w:sz w:val="21"/>
              </w:rPr>
            </w:pPr>
          </w:p>
          <w:p w14:paraId="2FF52534">
            <w:pPr>
              <w:spacing w:line="241" w:lineRule="auto"/>
              <w:rPr>
                <w:rFonts w:ascii="Arial"/>
                <w:sz w:val="21"/>
              </w:rPr>
            </w:pPr>
          </w:p>
          <w:p w14:paraId="5A15236D">
            <w:pPr>
              <w:spacing w:line="241" w:lineRule="auto"/>
              <w:rPr>
                <w:rFonts w:ascii="Arial"/>
                <w:sz w:val="21"/>
              </w:rPr>
            </w:pPr>
          </w:p>
          <w:p w14:paraId="10C69AA1">
            <w:pPr>
              <w:spacing w:line="241" w:lineRule="auto"/>
              <w:rPr>
                <w:rFonts w:ascii="Arial"/>
                <w:sz w:val="21"/>
              </w:rPr>
            </w:pPr>
          </w:p>
          <w:p w14:paraId="2ADB3E2B">
            <w:pPr>
              <w:spacing w:line="241" w:lineRule="auto"/>
              <w:rPr>
                <w:rFonts w:ascii="Arial"/>
                <w:sz w:val="21"/>
              </w:rPr>
            </w:pPr>
          </w:p>
          <w:p w14:paraId="7B7DBB0C">
            <w:pPr>
              <w:spacing w:line="241" w:lineRule="auto"/>
              <w:rPr>
                <w:rFonts w:ascii="Arial"/>
                <w:sz w:val="21"/>
              </w:rPr>
            </w:pPr>
          </w:p>
          <w:p w14:paraId="060D6ED7">
            <w:pPr>
              <w:spacing w:line="241" w:lineRule="auto"/>
              <w:rPr>
                <w:rFonts w:ascii="Arial"/>
                <w:sz w:val="21"/>
              </w:rPr>
            </w:pPr>
          </w:p>
          <w:p w14:paraId="176C33AF">
            <w:pPr>
              <w:spacing w:line="241" w:lineRule="auto"/>
              <w:rPr>
                <w:rFonts w:ascii="Arial"/>
                <w:sz w:val="21"/>
              </w:rPr>
            </w:pPr>
          </w:p>
          <w:p w14:paraId="0DA35919">
            <w:pPr>
              <w:spacing w:line="241" w:lineRule="auto"/>
              <w:rPr>
                <w:rFonts w:ascii="Arial"/>
                <w:sz w:val="21"/>
              </w:rPr>
            </w:pPr>
          </w:p>
          <w:p w14:paraId="4E60964F">
            <w:pPr>
              <w:spacing w:line="241" w:lineRule="auto"/>
              <w:rPr>
                <w:rFonts w:ascii="Arial"/>
                <w:sz w:val="21"/>
              </w:rPr>
            </w:pPr>
          </w:p>
          <w:p w14:paraId="00963909">
            <w:pPr>
              <w:spacing w:line="241" w:lineRule="auto"/>
              <w:rPr>
                <w:rFonts w:ascii="Arial"/>
                <w:sz w:val="21"/>
              </w:rPr>
            </w:pPr>
          </w:p>
          <w:p w14:paraId="42EB51A2">
            <w:pPr>
              <w:spacing w:line="241" w:lineRule="auto"/>
              <w:rPr>
                <w:rFonts w:ascii="Arial"/>
                <w:sz w:val="21"/>
              </w:rPr>
            </w:pPr>
          </w:p>
          <w:p w14:paraId="393281B9">
            <w:pPr>
              <w:spacing w:line="241" w:lineRule="auto"/>
              <w:rPr>
                <w:rFonts w:ascii="Arial"/>
                <w:sz w:val="21"/>
              </w:rPr>
            </w:pPr>
          </w:p>
          <w:p w14:paraId="72DF44AF">
            <w:pPr>
              <w:spacing w:line="241" w:lineRule="auto"/>
              <w:rPr>
                <w:rFonts w:ascii="Arial"/>
                <w:sz w:val="21"/>
              </w:rPr>
            </w:pPr>
          </w:p>
          <w:p w14:paraId="2D35F345">
            <w:pPr>
              <w:spacing w:line="241" w:lineRule="auto"/>
              <w:rPr>
                <w:rFonts w:ascii="Arial"/>
                <w:sz w:val="21"/>
              </w:rPr>
            </w:pPr>
          </w:p>
          <w:p w14:paraId="05666F52">
            <w:pPr>
              <w:spacing w:line="241" w:lineRule="auto"/>
              <w:rPr>
                <w:rFonts w:ascii="Arial"/>
                <w:sz w:val="21"/>
              </w:rPr>
            </w:pPr>
          </w:p>
          <w:p w14:paraId="07B2460E">
            <w:pPr>
              <w:spacing w:line="241" w:lineRule="auto"/>
              <w:rPr>
                <w:rFonts w:ascii="Arial"/>
                <w:sz w:val="21"/>
              </w:rPr>
            </w:pPr>
          </w:p>
          <w:p w14:paraId="3CB30935">
            <w:pPr>
              <w:spacing w:line="241" w:lineRule="auto"/>
              <w:rPr>
                <w:rFonts w:ascii="Arial"/>
                <w:sz w:val="21"/>
              </w:rPr>
            </w:pPr>
          </w:p>
          <w:p w14:paraId="061FEBC9">
            <w:pPr>
              <w:spacing w:line="241" w:lineRule="auto"/>
              <w:rPr>
                <w:rFonts w:ascii="Arial"/>
                <w:sz w:val="21"/>
              </w:rPr>
            </w:pPr>
          </w:p>
          <w:p w14:paraId="0CC06F81">
            <w:pPr>
              <w:spacing w:line="241" w:lineRule="auto"/>
              <w:rPr>
                <w:rFonts w:ascii="Arial"/>
                <w:sz w:val="21"/>
              </w:rPr>
            </w:pPr>
          </w:p>
          <w:p w14:paraId="05FD112B">
            <w:pPr>
              <w:spacing w:line="241" w:lineRule="auto"/>
              <w:rPr>
                <w:rFonts w:ascii="Arial"/>
                <w:sz w:val="21"/>
              </w:rPr>
            </w:pPr>
          </w:p>
          <w:p w14:paraId="5D542D13">
            <w:pPr>
              <w:spacing w:line="241" w:lineRule="auto"/>
              <w:rPr>
                <w:rFonts w:ascii="Arial"/>
                <w:sz w:val="21"/>
              </w:rPr>
            </w:pPr>
          </w:p>
          <w:p w14:paraId="3B6572E4">
            <w:pPr>
              <w:spacing w:line="241" w:lineRule="auto"/>
              <w:rPr>
                <w:rFonts w:ascii="Arial"/>
                <w:sz w:val="21"/>
              </w:rPr>
            </w:pPr>
          </w:p>
          <w:p w14:paraId="7D403C10">
            <w:pPr>
              <w:spacing w:line="241" w:lineRule="auto"/>
              <w:rPr>
                <w:rFonts w:ascii="Arial"/>
                <w:sz w:val="21"/>
              </w:rPr>
            </w:pPr>
          </w:p>
          <w:p w14:paraId="4D5BD7E1">
            <w:pPr>
              <w:spacing w:line="241" w:lineRule="auto"/>
              <w:rPr>
                <w:rFonts w:ascii="Arial"/>
                <w:sz w:val="21"/>
              </w:rPr>
            </w:pPr>
          </w:p>
          <w:p w14:paraId="647687AB">
            <w:pPr>
              <w:spacing w:line="241" w:lineRule="auto"/>
              <w:rPr>
                <w:rFonts w:ascii="Arial"/>
                <w:sz w:val="21"/>
              </w:rPr>
            </w:pPr>
          </w:p>
          <w:p w14:paraId="41663AB6">
            <w:pPr>
              <w:spacing w:line="241" w:lineRule="auto"/>
              <w:rPr>
                <w:rFonts w:ascii="Arial"/>
                <w:sz w:val="21"/>
              </w:rPr>
            </w:pPr>
          </w:p>
          <w:p w14:paraId="7E75D6E5">
            <w:pPr>
              <w:spacing w:line="241" w:lineRule="auto"/>
              <w:rPr>
                <w:rFonts w:ascii="Arial"/>
                <w:sz w:val="21"/>
              </w:rPr>
            </w:pPr>
          </w:p>
          <w:p w14:paraId="6A2CA827">
            <w:pPr>
              <w:spacing w:line="241" w:lineRule="auto"/>
              <w:rPr>
                <w:rFonts w:ascii="Arial"/>
                <w:sz w:val="21"/>
              </w:rPr>
            </w:pPr>
          </w:p>
          <w:p w14:paraId="522E9C60">
            <w:pPr>
              <w:spacing w:line="241" w:lineRule="auto"/>
              <w:rPr>
                <w:rFonts w:ascii="Arial"/>
                <w:sz w:val="21"/>
              </w:rPr>
            </w:pPr>
          </w:p>
          <w:p w14:paraId="7749107E">
            <w:pPr>
              <w:spacing w:line="241" w:lineRule="auto"/>
              <w:rPr>
                <w:rFonts w:ascii="Arial"/>
                <w:sz w:val="21"/>
              </w:rPr>
            </w:pPr>
          </w:p>
          <w:p w14:paraId="47CFA230">
            <w:pPr>
              <w:spacing w:line="241" w:lineRule="auto"/>
              <w:rPr>
                <w:rFonts w:ascii="Arial"/>
                <w:sz w:val="21"/>
              </w:rPr>
            </w:pPr>
          </w:p>
          <w:p w14:paraId="7E96514B">
            <w:pPr>
              <w:spacing w:line="241" w:lineRule="auto"/>
              <w:rPr>
                <w:rFonts w:ascii="Arial"/>
                <w:sz w:val="21"/>
              </w:rPr>
            </w:pPr>
          </w:p>
          <w:p w14:paraId="7B492757">
            <w:pPr>
              <w:spacing w:line="242" w:lineRule="auto"/>
              <w:rPr>
                <w:rFonts w:ascii="Arial"/>
                <w:sz w:val="21"/>
              </w:rPr>
            </w:pPr>
          </w:p>
          <w:p w14:paraId="5BB91154">
            <w:pPr>
              <w:spacing w:line="242" w:lineRule="auto"/>
              <w:rPr>
                <w:rFonts w:ascii="Arial"/>
                <w:sz w:val="21"/>
              </w:rPr>
            </w:pPr>
          </w:p>
          <w:p w14:paraId="648296E5">
            <w:pPr>
              <w:spacing w:line="242" w:lineRule="auto"/>
              <w:rPr>
                <w:rFonts w:ascii="Arial"/>
                <w:sz w:val="21"/>
              </w:rPr>
            </w:pPr>
          </w:p>
          <w:p w14:paraId="141364F6">
            <w:pPr>
              <w:spacing w:line="242" w:lineRule="auto"/>
              <w:rPr>
                <w:rFonts w:ascii="Arial"/>
                <w:sz w:val="21"/>
              </w:rPr>
            </w:pPr>
          </w:p>
          <w:p w14:paraId="7AB057C8">
            <w:pPr>
              <w:spacing w:line="242" w:lineRule="auto"/>
              <w:rPr>
                <w:rFonts w:ascii="Arial"/>
                <w:sz w:val="21"/>
              </w:rPr>
            </w:pPr>
          </w:p>
          <w:p w14:paraId="443DD50C">
            <w:pPr>
              <w:spacing w:line="242" w:lineRule="auto"/>
              <w:rPr>
                <w:rFonts w:ascii="Arial"/>
                <w:sz w:val="21"/>
              </w:rPr>
            </w:pPr>
          </w:p>
          <w:p w14:paraId="15E392E0">
            <w:pPr>
              <w:spacing w:line="242" w:lineRule="auto"/>
              <w:rPr>
                <w:rFonts w:ascii="Arial"/>
                <w:sz w:val="21"/>
              </w:rPr>
            </w:pPr>
          </w:p>
          <w:p w14:paraId="4C75176F">
            <w:pPr>
              <w:spacing w:line="242" w:lineRule="auto"/>
              <w:rPr>
                <w:rFonts w:ascii="Arial"/>
                <w:sz w:val="21"/>
              </w:rPr>
            </w:pPr>
          </w:p>
          <w:p w14:paraId="6A2F8E40">
            <w:pPr>
              <w:spacing w:line="242" w:lineRule="auto"/>
              <w:rPr>
                <w:rFonts w:ascii="Arial"/>
                <w:sz w:val="21"/>
              </w:rPr>
            </w:pPr>
          </w:p>
          <w:p w14:paraId="07FCD439">
            <w:pPr>
              <w:spacing w:line="242" w:lineRule="auto"/>
              <w:rPr>
                <w:rFonts w:ascii="Arial"/>
                <w:sz w:val="21"/>
              </w:rPr>
            </w:pPr>
          </w:p>
          <w:p w14:paraId="49C02365">
            <w:pPr>
              <w:spacing w:line="242" w:lineRule="auto"/>
              <w:rPr>
                <w:rFonts w:ascii="Arial"/>
                <w:sz w:val="21"/>
              </w:rPr>
            </w:pPr>
          </w:p>
          <w:p w14:paraId="73DA0860">
            <w:pPr>
              <w:spacing w:line="242" w:lineRule="auto"/>
              <w:rPr>
                <w:rFonts w:ascii="Arial"/>
                <w:sz w:val="21"/>
              </w:rPr>
            </w:pPr>
          </w:p>
          <w:p w14:paraId="6F4F503A">
            <w:pPr>
              <w:pStyle w:val="6"/>
              <w:spacing w:before="65" w:line="248" w:lineRule="auto"/>
              <w:ind w:left="119" w:right="290" w:firstLine="420"/>
              <w:rPr>
                <w:sz w:val="20"/>
                <w:szCs w:val="20"/>
              </w:rPr>
            </w:pPr>
            <w:r>
              <w:rPr>
                <w:spacing w:val="41"/>
                <w:sz w:val="20"/>
                <w:szCs w:val="20"/>
              </w:rPr>
              <w:t>本项目不属</w:t>
            </w:r>
            <w:r>
              <w:rPr>
                <w:spacing w:val="2"/>
                <w:sz w:val="20"/>
                <w:szCs w:val="20"/>
              </w:rPr>
              <w:t xml:space="preserve"> </w:t>
            </w:r>
            <w:r>
              <w:rPr>
                <w:spacing w:val="4"/>
                <w:sz w:val="20"/>
                <w:szCs w:val="20"/>
              </w:rPr>
              <w:t xml:space="preserve">于有色金属冶炼、 焦化等行业企业， 危险废物贮存库、 拆解区、导流槽、 </w:t>
            </w:r>
            <w:r>
              <w:rPr>
                <w:spacing w:val="32"/>
                <w:sz w:val="20"/>
                <w:szCs w:val="20"/>
              </w:rPr>
              <w:t>收集池等重点防</w:t>
            </w:r>
            <w:r>
              <w:rPr>
                <w:spacing w:val="3"/>
                <w:sz w:val="20"/>
                <w:szCs w:val="20"/>
              </w:rPr>
              <w:t xml:space="preserve"> 渗。本项目危险废</w:t>
            </w:r>
          </w:p>
        </w:tc>
      </w:tr>
      <w:tr w14:paraId="489B8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60" w:hRule="atLeast"/>
        </w:trPr>
        <w:tc>
          <w:tcPr>
            <w:tcW w:w="494" w:type="dxa"/>
            <w:vMerge w:val="continue"/>
            <w:tcBorders>
              <w:top w:val="nil"/>
              <w:left w:val="single" w:color="000000" w:sz="10" w:space="0"/>
              <w:bottom w:val="single" w:color="000000" w:sz="10" w:space="0"/>
            </w:tcBorders>
            <w:vAlign w:val="top"/>
          </w:tcPr>
          <w:p w14:paraId="556C0BC9">
            <w:pPr>
              <w:rPr>
                <w:rFonts w:ascii="Arial"/>
                <w:sz w:val="21"/>
              </w:rPr>
            </w:pPr>
          </w:p>
        </w:tc>
        <w:tc>
          <w:tcPr>
            <w:tcW w:w="1811" w:type="dxa"/>
            <w:vMerge w:val="continue"/>
            <w:tcBorders>
              <w:top w:val="nil"/>
              <w:bottom w:val="single" w:color="000000" w:sz="10" w:space="0"/>
            </w:tcBorders>
            <w:vAlign w:val="top"/>
          </w:tcPr>
          <w:p w14:paraId="04D5C4AC">
            <w:pPr>
              <w:rPr>
                <w:rFonts w:ascii="Arial"/>
                <w:sz w:val="21"/>
              </w:rPr>
            </w:pPr>
          </w:p>
        </w:tc>
        <w:tc>
          <w:tcPr>
            <w:tcW w:w="788" w:type="dxa"/>
            <w:vMerge w:val="continue"/>
            <w:tcBorders>
              <w:top w:val="nil"/>
              <w:bottom w:val="single" w:color="000000" w:sz="10" w:space="0"/>
            </w:tcBorders>
            <w:vAlign w:val="top"/>
          </w:tcPr>
          <w:p w14:paraId="7A4EE0C2">
            <w:pPr>
              <w:rPr>
                <w:rFonts w:ascii="Arial"/>
                <w:sz w:val="21"/>
              </w:rPr>
            </w:pPr>
          </w:p>
        </w:tc>
        <w:tc>
          <w:tcPr>
            <w:tcW w:w="761" w:type="dxa"/>
            <w:vMerge w:val="continue"/>
            <w:tcBorders>
              <w:top w:val="nil"/>
              <w:bottom w:val="single" w:color="000000" w:sz="10" w:space="0"/>
            </w:tcBorders>
            <w:vAlign w:val="top"/>
          </w:tcPr>
          <w:p w14:paraId="34E5620C">
            <w:pPr>
              <w:rPr>
                <w:rFonts w:ascii="Arial"/>
                <w:sz w:val="21"/>
              </w:rPr>
            </w:pPr>
          </w:p>
        </w:tc>
        <w:tc>
          <w:tcPr>
            <w:tcW w:w="425" w:type="dxa"/>
            <w:tcBorders>
              <w:bottom w:val="single" w:color="000000" w:sz="10" w:space="0"/>
            </w:tcBorders>
            <w:textDirection w:val="tbRlV"/>
            <w:vAlign w:val="top"/>
          </w:tcPr>
          <w:p w14:paraId="72F669D3">
            <w:pPr>
              <w:pStyle w:val="6"/>
              <w:spacing w:before="108" w:line="217" w:lineRule="auto"/>
              <w:ind w:left="187"/>
              <w:rPr>
                <w:sz w:val="20"/>
                <w:szCs w:val="20"/>
              </w:rPr>
            </w:pPr>
            <w:r>
              <w:rPr>
                <w:spacing w:val="8"/>
                <w:sz w:val="20"/>
                <w:szCs w:val="20"/>
              </w:rPr>
              <w:t>环</w:t>
            </w:r>
            <w:r>
              <w:rPr>
                <w:spacing w:val="-32"/>
                <w:sz w:val="20"/>
                <w:szCs w:val="20"/>
              </w:rPr>
              <w:t xml:space="preserve"> </w:t>
            </w:r>
            <w:r>
              <w:rPr>
                <w:spacing w:val="8"/>
                <w:sz w:val="20"/>
                <w:szCs w:val="20"/>
              </w:rPr>
              <w:t>境</w:t>
            </w:r>
            <w:r>
              <w:rPr>
                <w:spacing w:val="-38"/>
                <w:sz w:val="20"/>
                <w:szCs w:val="20"/>
              </w:rPr>
              <w:t xml:space="preserve"> </w:t>
            </w:r>
            <w:r>
              <w:rPr>
                <w:spacing w:val="8"/>
                <w:sz w:val="20"/>
                <w:szCs w:val="20"/>
              </w:rPr>
              <w:t>风</w:t>
            </w:r>
            <w:r>
              <w:rPr>
                <w:spacing w:val="-35"/>
                <w:sz w:val="20"/>
                <w:szCs w:val="20"/>
              </w:rPr>
              <w:t xml:space="preserve"> </w:t>
            </w:r>
            <w:r>
              <w:rPr>
                <w:spacing w:val="8"/>
                <w:sz w:val="20"/>
                <w:szCs w:val="20"/>
              </w:rPr>
              <w:t>险</w:t>
            </w:r>
            <w:r>
              <w:rPr>
                <w:spacing w:val="-37"/>
                <w:sz w:val="20"/>
                <w:szCs w:val="20"/>
              </w:rPr>
              <w:t xml:space="preserve"> </w:t>
            </w:r>
            <w:r>
              <w:rPr>
                <w:spacing w:val="8"/>
                <w:sz w:val="20"/>
                <w:szCs w:val="20"/>
              </w:rPr>
              <w:t>防</w:t>
            </w:r>
            <w:r>
              <w:rPr>
                <w:spacing w:val="-38"/>
                <w:sz w:val="20"/>
                <w:szCs w:val="20"/>
              </w:rPr>
              <w:t xml:space="preserve"> </w:t>
            </w:r>
            <w:r>
              <w:rPr>
                <w:spacing w:val="8"/>
                <w:sz w:val="20"/>
                <w:szCs w:val="20"/>
              </w:rPr>
              <w:t>控</w:t>
            </w:r>
          </w:p>
        </w:tc>
        <w:tc>
          <w:tcPr>
            <w:tcW w:w="2581" w:type="dxa"/>
            <w:tcBorders>
              <w:bottom w:val="single" w:color="000000" w:sz="10" w:space="0"/>
            </w:tcBorders>
            <w:vAlign w:val="top"/>
          </w:tcPr>
          <w:p w14:paraId="40D1CF3F">
            <w:pPr>
              <w:pStyle w:val="6"/>
              <w:spacing w:before="53" w:line="248" w:lineRule="auto"/>
              <w:ind w:left="112" w:right="99" w:firstLine="437"/>
              <w:jc w:val="both"/>
              <w:rPr>
                <w:sz w:val="20"/>
                <w:szCs w:val="20"/>
              </w:rPr>
            </w:pPr>
            <w:r>
              <w:rPr>
                <w:rFonts w:ascii="Times New Roman" w:hAnsi="Times New Roman" w:eastAsia="Times New Roman" w:cs="Times New Roman"/>
                <w:spacing w:val="15"/>
                <w:sz w:val="20"/>
                <w:szCs w:val="20"/>
              </w:rPr>
              <w:t>1.</w:t>
            </w:r>
            <w:r>
              <w:rPr>
                <w:rFonts w:ascii="Times New Roman" w:hAnsi="Times New Roman" w:eastAsia="Times New Roman" w:cs="Times New Roman"/>
                <w:spacing w:val="-27"/>
                <w:sz w:val="20"/>
                <w:szCs w:val="20"/>
              </w:rPr>
              <w:t xml:space="preserve"> </w:t>
            </w:r>
            <w:r>
              <w:rPr>
                <w:spacing w:val="15"/>
                <w:sz w:val="20"/>
                <w:szCs w:val="20"/>
              </w:rPr>
              <w:t>化工园区与城市建</w:t>
            </w:r>
            <w:r>
              <w:rPr>
                <w:sz w:val="20"/>
                <w:szCs w:val="20"/>
              </w:rPr>
              <w:t xml:space="preserve"> </w:t>
            </w:r>
            <w:r>
              <w:rPr>
                <w:spacing w:val="14"/>
                <w:sz w:val="20"/>
                <w:szCs w:val="20"/>
              </w:rPr>
              <w:t>成区、人员密集场所、重</w:t>
            </w:r>
            <w:r>
              <w:rPr>
                <w:spacing w:val="9"/>
                <w:sz w:val="20"/>
                <w:szCs w:val="20"/>
              </w:rPr>
              <w:t xml:space="preserve"> </w:t>
            </w:r>
            <w:r>
              <w:rPr>
                <w:spacing w:val="14"/>
                <w:sz w:val="20"/>
                <w:szCs w:val="20"/>
              </w:rPr>
              <w:t>要设施、敏感目标等应当</w:t>
            </w:r>
            <w:r>
              <w:rPr>
                <w:spacing w:val="9"/>
                <w:sz w:val="20"/>
                <w:szCs w:val="20"/>
              </w:rPr>
              <w:t xml:space="preserve"> </w:t>
            </w:r>
            <w:r>
              <w:rPr>
                <w:spacing w:val="14"/>
                <w:sz w:val="20"/>
                <w:szCs w:val="20"/>
              </w:rPr>
              <w:t>保持规定的安全距离，相</w:t>
            </w:r>
            <w:r>
              <w:rPr>
                <w:spacing w:val="9"/>
                <w:sz w:val="20"/>
                <w:szCs w:val="20"/>
              </w:rPr>
              <w:t xml:space="preserve"> </w:t>
            </w:r>
            <w:r>
              <w:rPr>
                <w:spacing w:val="14"/>
                <w:sz w:val="20"/>
                <w:szCs w:val="20"/>
              </w:rPr>
              <w:t>对封闭，不应保留常住居</w:t>
            </w:r>
            <w:r>
              <w:rPr>
                <w:spacing w:val="9"/>
                <w:sz w:val="20"/>
                <w:szCs w:val="20"/>
              </w:rPr>
              <w:t xml:space="preserve"> </w:t>
            </w:r>
            <w:r>
              <w:rPr>
                <w:spacing w:val="14"/>
                <w:sz w:val="20"/>
                <w:szCs w:val="20"/>
              </w:rPr>
              <w:t>民，非关联企业和产业要</w:t>
            </w:r>
            <w:r>
              <w:rPr>
                <w:spacing w:val="9"/>
                <w:sz w:val="20"/>
                <w:szCs w:val="20"/>
              </w:rPr>
              <w:t xml:space="preserve"> </w:t>
            </w:r>
            <w:r>
              <w:rPr>
                <w:spacing w:val="14"/>
                <w:sz w:val="20"/>
                <w:szCs w:val="20"/>
              </w:rPr>
              <w:t>逐步搬迁或退出，妥善防</w:t>
            </w:r>
          </w:p>
        </w:tc>
        <w:tc>
          <w:tcPr>
            <w:tcW w:w="2062" w:type="dxa"/>
            <w:vMerge w:val="continue"/>
            <w:tcBorders>
              <w:top w:val="nil"/>
              <w:bottom w:val="single" w:color="000000" w:sz="10" w:space="0"/>
              <w:right w:val="single" w:color="000000" w:sz="10" w:space="0"/>
            </w:tcBorders>
            <w:vAlign w:val="top"/>
          </w:tcPr>
          <w:p w14:paraId="6C8EA116">
            <w:pPr>
              <w:rPr>
                <w:rFonts w:ascii="Arial"/>
                <w:sz w:val="21"/>
              </w:rPr>
            </w:pPr>
          </w:p>
        </w:tc>
      </w:tr>
    </w:tbl>
    <w:p w14:paraId="2E1DF7D8">
      <w:pPr>
        <w:pStyle w:val="2"/>
      </w:pPr>
    </w:p>
    <w:p w14:paraId="32891398">
      <w:pPr>
        <w:sectPr>
          <w:footerReference r:id="rId8" w:type="default"/>
          <w:pgSz w:w="11906" w:h="16839"/>
          <w:pgMar w:top="1270" w:right="1479" w:bottom="1261"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1811"/>
        <w:gridCol w:w="788"/>
        <w:gridCol w:w="761"/>
        <w:gridCol w:w="425"/>
        <w:gridCol w:w="2581"/>
        <w:gridCol w:w="2062"/>
      </w:tblGrid>
      <w:tr w14:paraId="2AADF2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08" w:hRule="atLeast"/>
        </w:trPr>
        <w:tc>
          <w:tcPr>
            <w:tcW w:w="494" w:type="dxa"/>
            <w:vMerge w:val="restart"/>
            <w:tcBorders>
              <w:top w:val="single" w:color="000000" w:sz="10" w:space="0"/>
              <w:left w:val="single" w:color="000000" w:sz="10" w:space="0"/>
              <w:bottom w:val="nil"/>
            </w:tcBorders>
            <w:vAlign w:val="top"/>
          </w:tcPr>
          <w:p w14:paraId="0399B44B">
            <w:pPr>
              <w:rPr>
                <w:rFonts w:ascii="Arial"/>
                <w:sz w:val="21"/>
              </w:rPr>
            </w:pPr>
            <w:r>
              <w:pict>
                <v:shape id="_x0000_s1026" o:spid="_x0000_s1026" style="position:absolute;left:0pt;margin-left:108.7pt;margin-top:760.9pt;height:1.45pt;width:401.85pt;mso-position-horizontal-relative:page;mso-position-vertical-relative:page;z-index:251660288;mso-width-relative:page;mso-height-relative:page;" filled="f" stroked="t" coordsize="8037,29" o:allowincell="f" path="m0,14l8036,14e">
                  <v:fill on="f" focussize="0,0"/>
                  <v:stroke weight="1.44pt" color="#000000" miterlimit="2" joinstyle="bevel"/>
                  <v:imagedata o:title=""/>
                  <o:lock v:ext="edit"/>
                </v:shape>
              </w:pict>
            </w:r>
          </w:p>
        </w:tc>
        <w:tc>
          <w:tcPr>
            <w:tcW w:w="1811" w:type="dxa"/>
            <w:vMerge w:val="restart"/>
            <w:tcBorders>
              <w:top w:val="single" w:color="000000" w:sz="10" w:space="0"/>
              <w:bottom w:val="nil"/>
            </w:tcBorders>
            <w:vAlign w:val="top"/>
          </w:tcPr>
          <w:p w14:paraId="41AC717A">
            <w:pPr>
              <w:rPr>
                <w:rFonts w:ascii="Arial"/>
                <w:sz w:val="21"/>
              </w:rPr>
            </w:pPr>
          </w:p>
        </w:tc>
        <w:tc>
          <w:tcPr>
            <w:tcW w:w="788" w:type="dxa"/>
            <w:vMerge w:val="restart"/>
            <w:tcBorders>
              <w:top w:val="single" w:color="000000" w:sz="10" w:space="0"/>
              <w:bottom w:val="nil"/>
            </w:tcBorders>
            <w:vAlign w:val="top"/>
          </w:tcPr>
          <w:p w14:paraId="46632EE9">
            <w:pPr>
              <w:rPr>
                <w:rFonts w:ascii="Arial"/>
                <w:sz w:val="21"/>
              </w:rPr>
            </w:pPr>
          </w:p>
        </w:tc>
        <w:tc>
          <w:tcPr>
            <w:tcW w:w="761" w:type="dxa"/>
            <w:vMerge w:val="restart"/>
            <w:tcBorders>
              <w:top w:val="single" w:color="000000" w:sz="10" w:space="0"/>
              <w:bottom w:val="nil"/>
            </w:tcBorders>
            <w:vAlign w:val="top"/>
          </w:tcPr>
          <w:p w14:paraId="01C2404F">
            <w:pPr>
              <w:rPr>
                <w:rFonts w:ascii="Arial"/>
                <w:sz w:val="21"/>
              </w:rPr>
            </w:pPr>
          </w:p>
        </w:tc>
        <w:tc>
          <w:tcPr>
            <w:tcW w:w="425" w:type="dxa"/>
            <w:tcBorders>
              <w:top w:val="single" w:color="000000" w:sz="10" w:space="0"/>
            </w:tcBorders>
            <w:vAlign w:val="top"/>
          </w:tcPr>
          <w:p w14:paraId="62480B1C">
            <w:pPr>
              <w:rPr>
                <w:rFonts w:ascii="Arial"/>
                <w:sz w:val="21"/>
              </w:rPr>
            </w:pPr>
          </w:p>
        </w:tc>
        <w:tc>
          <w:tcPr>
            <w:tcW w:w="2581" w:type="dxa"/>
            <w:tcBorders>
              <w:top w:val="single" w:color="000000" w:sz="10" w:space="0"/>
            </w:tcBorders>
            <w:vAlign w:val="top"/>
          </w:tcPr>
          <w:p w14:paraId="15D0679A">
            <w:pPr>
              <w:pStyle w:val="6"/>
              <w:spacing w:before="24" w:line="246" w:lineRule="auto"/>
              <w:ind w:left="113" w:right="99" w:firstLine="5"/>
              <w:jc w:val="both"/>
              <w:rPr>
                <w:sz w:val="20"/>
                <w:szCs w:val="20"/>
              </w:rPr>
            </w:pPr>
            <w:r>
              <w:rPr>
                <w:spacing w:val="9"/>
                <w:sz w:val="20"/>
                <w:szCs w:val="20"/>
              </w:rPr>
              <w:t>范化解“邻避</w:t>
            </w:r>
            <w:r>
              <w:rPr>
                <w:spacing w:val="-65"/>
                <w:sz w:val="20"/>
                <w:szCs w:val="20"/>
              </w:rPr>
              <w:t xml:space="preserve"> </w:t>
            </w:r>
            <w:r>
              <w:rPr>
                <w:spacing w:val="9"/>
                <w:sz w:val="20"/>
                <w:szCs w:val="20"/>
              </w:rPr>
              <w:t>”</w:t>
            </w:r>
            <w:r>
              <w:rPr>
                <w:spacing w:val="-77"/>
                <w:sz w:val="20"/>
                <w:szCs w:val="20"/>
              </w:rPr>
              <w:t xml:space="preserve"> </w:t>
            </w:r>
            <w:r>
              <w:rPr>
                <w:spacing w:val="9"/>
                <w:sz w:val="20"/>
                <w:szCs w:val="20"/>
              </w:rPr>
              <w:t>问题。严</w:t>
            </w:r>
            <w:r>
              <w:rPr>
                <w:sz w:val="20"/>
                <w:szCs w:val="20"/>
              </w:rPr>
              <w:t xml:space="preserve"> </w:t>
            </w:r>
            <w:r>
              <w:rPr>
                <w:spacing w:val="14"/>
                <w:sz w:val="20"/>
                <w:szCs w:val="20"/>
              </w:rPr>
              <w:t>禁在松花江干流及一级支</w:t>
            </w:r>
            <w:r>
              <w:rPr>
                <w:spacing w:val="8"/>
                <w:sz w:val="20"/>
                <w:szCs w:val="20"/>
              </w:rPr>
              <w:t xml:space="preserve"> </w:t>
            </w:r>
            <w:r>
              <w:rPr>
                <w:spacing w:val="23"/>
                <w:sz w:val="20"/>
                <w:szCs w:val="20"/>
              </w:rPr>
              <w:t>流沿岸</w:t>
            </w:r>
            <w:r>
              <w:rPr>
                <w:rFonts w:ascii="Times New Roman" w:hAnsi="Times New Roman" w:eastAsia="Times New Roman" w:cs="Times New Roman"/>
                <w:spacing w:val="23"/>
                <w:sz w:val="20"/>
                <w:szCs w:val="20"/>
              </w:rPr>
              <w:t>1</w:t>
            </w:r>
            <w:r>
              <w:rPr>
                <w:spacing w:val="23"/>
                <w:sz w:val="20"/>
                <w:szCs w:val="20"/>
              </w:rPr>
              <w:t>公里范围内布局</w:t>
            </w:r>
            <w:r>
              <w:rPr>
                <w:spacing w:val="9"/>
                <w:sz w:val="20"/>
                <w:szCs w:val="20"/>
              </w:rPr>
              <w:t xml:space="preserve"> </w:t>
            </w:r>
            <w:r>
              <w:rPr>
                <w:spacing w:val="5"/>
                <w:sz w:val="20"/>
                <w:szCs w:val="20"/>
              </w:rPr>
              <w:t>化工园区。</w:t>
            </w:r>
          </w:p>
          <w:p w14:paraId="712AD0DC">
            <w:pPr>
              <w:pStyle w:val="6"/>
              <w:spacing w:before="27" w:line="249" w:lineRule="auto"/>
              <w:ind w:left="112" w:right="99" w:firstLine="417"/>
              <w:rPr>
                <w:sz w:val="20"/>
                <w:szCs w:val="20"/>
              </w:rPr>
            </w:pPr>
            <w:r>
              <w:rPr>
                <w:rFonts w:ascii="Times New Roman" w:hAnsi="Times New Roman" w:eastAsia="Times New Roman" w:cs="Times New Roman"/>
                <w:spacing w:val="17"/>
                <w:sz w:val="20"/>
                <w:szCs w:val="20"/>
              </w:rPr>
              <w:t>2.</w:t>
            </w:r>
            <w:r>
              <w:rPr>
                <w:rFonts w:ascii="Times New Roman" w:hAnsi="Times New Roman" w:eastAsia="Times New Roman" w:cs="Times New Roman"/>
                <w:spacing w:val="-27"/>
                <w:sz w:val="20"/>
                <w:szCs w:val="20"/>
              </w:rPr>
              <w:t xml:space="preserve"> </w:t>
            </w:r>
            <w:r>
              <w:rPr>
                <w:spacing w:val="17"/>
                <w:sz w:val="20"/>
                <w:szCs w:val="20"/>
              </w:rPr>
              <w:t>水环境工业污染重</w:t>
            </w:r>
            <w:r>
              <w:rPr>
                <w:sz w:val="20"/>
                <w:szCs w:val="20"/>
              </w:rPr>
              <w:t xml:space="preserve"> </w:t>
            </w:r>
            <w:r>
              <w:rPr>
                <w:spacing w:val="14"/>
                <w:sz w:val="20"/>
                <w:szCs w:val="20"/>
              </w:rPr>
              <w:t>点管控区同时执行：排放</w:t>
            </w:r>
            <w:r>
              <w:rPr>
                <w:spacing w:val="9"/>
                <w:sz w:val="20"/>
                <w:szCs w:val="20"/>
              </w:rPr>
              <w:t xml:space="preserve"> </w:t>
            </w:r>
            <w:r>
              <w:rPr>
                <w:spacing w:val="30"/>
                <w:sz w:val="20"/>
                <w:szCs w:val="20"/>
              </w:rPr>
              <w:t>《</w:t>
            </w:r>
            <w:r>
              <w:rPr>
                <w:spacing w:val="-37"/>
                <w:sz w:val="20"/>
                <w:szCs w:val="20"/>
              </w:rPr>
              <w:t xml:space="preserve"> </w:t>
            </w:r>
            <w:r>
              <w:rPr>
                <w:spacing w:val="30"/>
                <w:sz w:val="20"/>
                <w:szCs w:val="20"/>
              </w:rPr>
              <w:t>有毒有害水污染物名</w:t>
            </w:r>
            <w:r>
              <w:rPr>
                <w:sz w:val="20"/>
                <w:szCs w:val="20"/>
              </w:rPr>
              <w:t xml:space="preserve"> </w:t>
            </w:r>
            <w:r>
              <w:rPr>
                <w:spacing w:val="14"/>
                <w:sz w:val="20"/>
                <w:szCs w:val="20"/>
              </w:rPr>
              <w:t>录》所列有毒有害水污染</w:t>
            </w:r>
            <w:r>
              <w:rPr>
                <w:spacing w:val="9"/>
                <w:sz w:val="20"/>
                <w:szCs w:val="20"/>
              </w:rPr>
              <w:t xml:space="preserve"> </w:t>
            </w:r>
            <w:r>
              <w:rPr>
                <w:spacing w:val="14"/>
                <w:sz w:val="20"/>
                <w:szCs w:val="20"/>
              </w:rPr>
              <w:t>物的企业事业单位和其他</w:t>
            </w:r>
            <w:r>
              <w:rPr>
                <w:spacing w:val="9"/>
                <w:sz w:val="20"/>
                <w:szCs w:val="20"/>
              </w:rPr>
              <w:t xml:space="preserve"> </w:t>
            </w:r>
            <w:r>
              <w:rPr>
                <w:spacing w:val="14"/>
                <w:sz w:val="20"/>
                <w:szCs w:val="20"/>
              </w:rPr>
              <w:t>生产经营者，应当对排污</w:t>
            </w:r>
            <w:r>
              <w:rPr>
                <w:spacing w:val="9"/>
                <w:sz w:val="20"/>
                <w:szCs w:val="20"/>
              </w:rPr>
              <w:t xml:space="preserve"> </w:t>
            </w:r>
            <w:r>
              <w:rPr>
                <w:spacing w:val="14"/>
                <w:sz w:val="20"/>
                <w:szCs w:val="20"/>
              </w:rPr>
              <w:t>口和周边环境进行监测，</w:t>
            </w:r>
            <w:r>
              <w:rPr>
                <w:spacing w:val="9"/>
                <w:sz w:val="20"/>
                <w:szCs w:val="20"/>
              </w:rPr>
              <w:t xml:space="preserve"> </w:t>
            </w:r>
            <w:r>
              <w:rPr>
                <w:spacing w:val="14"/>
                <w:sz w:val="20"/>
                <w:szCs w:val="20"/>
              </w:rPr>
              <w:t>评估环境风险，排查环境</w:t>
            </w:r>
            <w:r>
              <w:rPr>
                <w:spacing w:val="9"/>
                <w:sz w:val="20"/>
                <w:szCs w:val="20"/>
              </w:rPr>
              <w:t xml:space="preserve"> </w:t>
            </w:r>
            <w:r>
              <w:rPr>
                <w:spacing w:val="14"/>
                <w:sz w:val="20"/>
                <w:szCs w:val="20"/>
              </w:rPr>
              <w:t>安全隐患，并公开有毒有</w:t>
            </w:r>
            <w:r>
              <w:rPr>
                <w:spacing w:val="9"/>
                <w:sz w:val="20"/>
                <w:szCs w:val="20"/>
              </w:rPr>
              <w:t xml:space="preserve"> </w:t>
            </w:r>
            <w:r>
              <w:rPr>
                <w:spacing w:val="14"/>
                <w:sz w:val="20"/>
                <w:szCs w:val="20"/>
              </w:rPr>
              <w:t>害水污染物信息，采取有</w:t>
            </w:r>
            <w:r>
              <w:rPr>
                <w:spacing w:val="9"/>
                <w:sz w:val="20"/>
                <w:szCs w:val="20"/>
              </w:rPr>
              <w:t xml:space="preserve"> </w:t>
            </w:r>
            <w:r>
              <w:rPr>
                <w:spacing w:val="8"/>
                <w:sz w:val="20"/>
                <w:szCs w:val="20"/>
              </w:rPr>
              <w:t>效措施防范环境风险。</w:t>
            </w:r>
          </w:p>
          <w:p w14:paraId="49E76E50">
            <w:pPr>
              <w:pStyle w:val="6"/>
              <w:spacing w:before="26" w:line="244" w:lineRule="auto"/>
              <w:ind w:left="113" w:right="99" w:firstLine="419"/>
              <w:rPr>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21"/>
                <w:sz w:val="20"/>
                <w:szCs w:val="20"/>
              </w:rPr>
              <w:t xml:space="preserve"> </w:t>
            </w:r>
            <w:r>
              <w:rPr>
                <w:spacing w:val="16"/>
                <w:sz w:val="20"/>
                <w:szCs w:val="20"/>
              </w:rPr>
              <w:t>大气环境布局敏感</w:t>
            </w:r>
            <w:r>
              <w:rPr>
                <w:sz w:val="20"/>
                <w:szCs w:val="20"/>
              </w:rPr>
              <w:t xml:space="preserve"> </w:t>
            </w:r>
            <w:r>
              <w:rPr>
                <w:spacing w:val="14"/>
                <w:sz w:val="20"/>
                <w:szCs w:val="20"/>
              </w:rPr>
              <w:t>重点管控区同时执行：禁</w:t>
            </w:r>
            <w:r>
              <w:rPr>
                <w:spacing w:val="7"/>
                <w:sz w:val="20"/>
                <w:szCs w:val="20"/>
              </w:rPr>
              <w:t xml:space="preserve"> </w:t>
            </w:r>
            <w:r>
              <w:rPr>
                <w:spacing w:val="14"/>
                <w:sz w:val="20"/>
                <w:szCs w:val="20"/>
              </w:rPr>
              <w:t>止在居民区、学校、医疗</w:t>
            </w:r>
            <w:r>
              <w:rPr>
                <w:spacing w:val="7"/>
                <w:sz w:val="20"/>
                <w:szCs w:val="20"/>
              </w:rPr>
              <w:t xml:space="preserve"> </w:t>
            </w:r>
            <w:r>
              <w:rPr>
                <w:spacing w:val="14"/>
                <w:sz w:val="20"/>
                <w:szCs w:val="20"/>
              </w:rPr>
              <w:t>和养老机构等周边新建有</w:t>
            </w:r>
            <w:r>
              <w:rPr>
                <w:spacing w:val="7"/>
                <w:sz w:val="20"/>
                <w:szCs w:val="20"/>
              </w:rPr>
              <w:t xml:space="preserve"> </w:t>
            </w:r>
            <w:r>
              <w:rPr>
                <w:spacing w:val="14"/>
                <w:sz w:val="20"/>
                <w:szCs w:val="20"/>
              </w:rPr>
              <w:t>色金属冶炼、焦化等行业</w:t>
            </w:r>
            <w:r>
              <w:rPr>
                <w:spacing w:val="7"/>
                <w:sz w:val="20"/>
                <w:szCs w:val="20"/>
              </w:rPr>
              <w:t xml:space="preserve"> </w:t>
            </w:r>
            <w:r>
              <w:rPr>
                <w:spacing w:val="2"/>
                <w:sz w:val="20"/>
                <w:szCs w:val="20"/>
              </w:rPr>
              <w:t>企业。</w:t>
            </w:r>
          </w:p>
        </w:tc>
        <w:tc>
          <w:tcPr>
            <w:tcW w:w="2062" w:type="dxa"/>
            <w:vMerge w:val="restart"/>
            <w:tcBorders>
              <w:top w:val="single" w:color="000000" w:sz="10" w:space="0"/>
              <w:bottom w:val="nil"/>
              <w:right w:val="single" w:color="000000" w:sz="10" w:space="0"/>
            </w:tcBorders>
            <w:vAlign w:val="top"/>
          </w:tcPr>
          <w:p w14:paraId="62641927">
            <w:pPr>
              <w:pStyle w:val="6"/>
              <w:spacing w:before="31" w:line="249" w:lineRule="auto"/>
              <w:ind w:left="117" w:right="290" w:firstLine="2"/>
              <w:jc w:val="both"/>
              <w:rPr>
                <w:sz w:val="20"/>
                <w:szCs w:val="20"/>
              </w:rPr>
            </w:pPr>
            <w:r>
              <w:rPr>
                <w:spacing w:val="-4"/>
                <w:sz w:val="20"/>
                <w:szCs w:val="20"/>
              </w:rPr>
              <w:t>贮</w:t>
            </w:r>
            <w:r>
              <w:rPr>
                <w:spacing w:val="57"/>
                <w:sz w:val="20"/>
                <w:szCs w:val="20"/>
              </w:rPr>
              <w:t xml:space="preserve"> </w:t>
            </w:r>
            <w:r>
              <w:rPr>
                <w:spacing w:val="-4"/>
                <w:sz w:val="20"/>
                <w:szCs w:val="20"/>
              </w:rPr>
              <w:t>存</w:t>
            </w:r>
            <w:r>
              <w:rPr>
                <w:spacing w:val="56"/>
                <w:sz w:val="20"/>
                <w:szCs w:val="20"/>
              </w:rPr>
              <w:t xml:space="preserve"> </w:t>
            </w:r>
            <w:r>
              <w:rPr>
                <w:spacing w:val="-4"/>
                <w:sz w:val="20"/>
                <w:szCs w:val="20"/>
              </w:rPr>
              <w:t>库</w:t>
            </w:r>
            <w:r>
              <w:rPr>
                <w:spacing w:val="76"/>
                <w:sz w:val="20"/>
                <w:szCs w:val="20"/>
              </w:rPr>
              <w:t xml:space="preserve"> </w:t>
            </w:r>
            <w:r>
              <w:rPr>
                <w:spacing w:val="-4"/>
                <w:sz w:val="20"/>
                <w:szCs w:val="20"/>
              </w:rPr>
              <w:t>四</w:t>
            </w:r>
            <w:r>
              <w:rPr>
                <w:spacing w:val="57"/>
                <w:sz w:val="20"/>
                <w:szCs w:val="20"/>
              </w:rPr>
              <w:t xml:space="preserve"> </w:t>
            </w:r>
            <w:r>
              <w:rPr>
                <w:spacing w:val="-4"/>
                <w:sz w:val="20"/>
                <w:szCs w:val="20"/>
              </w:rPr>
              <w:t>周</w:t>
            </w:r>
            <w:r>
              <w:rPr>
                <w:sz w:val="20"/>
                <w:szCs w:val="20"/>
              </w:rPr>
              <w:t xml:space="preserve"> </w:t>
            </w:r>
            <w:r>
              <w:rPr>
                <w:spacing w:val="3"/>
                <w:sz w:val="20"/>
                <w:szCs w:val="20"/>
              </w:rPr>
              <w:t>0.4m×0.5m 导</w:t>
            </w:r>
            <w:r>
              <w:rPr>
                <w:spacing w:val="-7"/>
                <w:sz w:val="20"/>
                <w:szCs w:val="20"/>
              </w:rPr>
              <w:t xml:space="preserve"> </w:t>
            </w:r>
            <w:r>
              <w:rPr>
                <w:spacing w:val="3"/>
                <w:sz w:val="20"/>
                <w:szCs w:val="20"/>
              </w:rPr>
              <w:t>流</w:t>
            </w:r>
            <w:r>
              <w:rPr>
                <w:sz w:val="20"/>
                <w:szCs w:val="20"/>
              </w:rPr>
              <w:t xml:space="preserve"> </w:t>
            </w:r>
            <w:r>
              <w:rPr>
                <w:spacing w:val="3"/>
                <w:sz w:val="20"/>
                <w:szCs w:val="20"/>
              </w:rPr>
              <w:t>槽，于拆解车间外</w:t>
            </w:r>
            <w:r>
              <w:rPr>
                <w:spacing w:val="5"/>
                <w:sz w:val="20"/>
                <w:szCs w:val="20"/>
              </w:rPr>
              <w:t xml:space="preserve"> </w:t>
            </w:r>
            <w:r>
              <w:rPr>
                <w:spacing w:val="8"/>
                <w:sz w:val="20"/>
                <w:szCs w:val="20"/>
              </w:rPr>
              <w:t>侧西南角建设10m</w:t>
            </w:r>
            <w:r>
              <w:rPr>
                <w:spacing w:val="8"/>
                <w:position w:val="10"/>
                <w:sz w:val="10"/>
                <w:szCs w:val="10"/>
              </w:rPr>
              <w:t>3</w:t>
            </w:r>
            <w:r>
              <w:rPr>
                <w:position w:val="10"/>
                <w:sz w:val="10"/>
                <w:szCs w:val="10"/>
              </w:rPr>
              <w:t xml:space="preserve"> </w:t>
            </w:r>
            <w:r>
              <w:rPr>
                <w:spacing w:val="3"/>
                <w:sz w:val="20"/>
                <w:szCs w:val="20"/>
              </w:rPr>
              <w:t>事故收集池，配备</w:t>
            </w:r>
            <w:r>
              <w:rPr>
                <w:spacing w:val="5"/>
                <w:sz w:val="20"/>
                <w:szCs w:val="20"/>
              </w:rPr>
              <w:t xml:space="preserve"> </w:t>
            </w:r>
            <w:r>
              <w:rPr>
                <w:spacing w:val="4"/>
                <w:sz w:val="20"/>
                <w:szCs w:val="20"/>
              </w:rPr>
              <w:t>灭火器、消火栓、</w:t>
            </w:r>
            <w:r>
              <w:rPr>
                <w:spacing w:val="5"/>
                <w:sz w:val="20"/>
                <w:szCs w:val="20"/>
              </w:rPr>
              <w:t xml:space="preserve"> </w:t>
            </w:r>
            <w:r>
              <w:rPr>
                <w:spacing w:val="3"/>
                <w:sz w:val="20"/>
                <w:szCs w:val="20"/>
              </w:rPr>
              <w:t>消防沙；编制突发</w:t>
            </w:r>
            <w:r>
              <w:rPr>
                <w:spacing w:val="5"/>
                <w:sz w:val="20"/>
                <w:szCs w:val="20"/>
              </w:rPr>
              <w:t xml:space="preserve"> </w:t>
            </w:r>
            <w:r>
              <w:rPr>
                <w:spacing w:val="32"/>
                <w:sz w:val="20"/>
                <w:szCs w:val="20"/>
              </w:rPr>
              <w:t>环境事件应急预</w:t>
            </w:r>
            <w:r>
              <w:rPr>
                <w:spacing w:val="5"/>
                <w:sz w:val="20"/>
                <w:szCs w:val="20"/>
              </w:rPr>
              <w:t xml:space="preserve"> </w:t>
            </w:r>
            <w:r>
              <w:rPr>
                <w:spacing w:val="3"/>
                <w:sz w:val="20"/>
                <w:szCs w:val="20"/>
              </w:rPr>
              <w:t>案；定期进行突发</w:t>
            </w:r>
            <w:r>
              <w:rPr>
                <w:spacing w:val="5"/>
                <w:sz w:val="20"/>
                <w:szCs w:val="20"/>
              </w:rPr>
              <w:t xml:space="preserve"> </w:t>
            </w:r>
            <w:r>
              <w:rPr>
                <w:spacing w:val="32"/>
                <w:sz w:val="20"/>
                <w:szCs w:val="20"/>
              </w:rPr>
              <w:t>环境事件应急演</w:t>
            </w:r>
            <w:r>
              <w:rPr>
                <w:spacing w:val="5"/>
                <w:sz w:val="20"/>
                <w:szCs w:val="20"/>
              </w:rPr>
              <w:t xml:space="preserve"> </w:t>
            </w:r>
            <w:r>
              <w:rPr>
                <w:spacing w:val="1"/>
                <w:sz w:val="20"/>
                <w:szCs w:val="20"/>
              </w:rPr>
              <w:t>练。</w:t>
            </w:r>
          </w:p>
          <w:p w14:paraId="185F745D">
            <w:pPr>
              <w:pStyle w:val="6"/>
              <w:spacing w:before="21" w:line="247" w:lineRule="auto"/>
              <w:ind w:left="119" w:right="298" w:firstLine="423"/>
              <w:jc w:val="both"/>
              <w:rPr>
                <w:sz w:val="20"/>
                <w:szCs w:val="20"/>
              </w:rPr>
            </w:pPr>
            <w:r>
              <w:rPr>
                <w:spacing w:val="41"/>
                <w:sz w:val="20"/>
                <w:szCs w:val="20"/>
              </w:rPr>
              <w:t>项目不在水</w:t>
            </w:r>
            <w:r>
              <w:rPr>
                <w:sz w:val="20"/>
                <w:szCs w:val="20"/>
              </w:rPr>
              <w:t xml:space="preserve"> </w:t>
            </w:r>
            <w:r>
              <w:rPr>
                <w:spacing w:val="32"/>
                <w:sz w:val="20"/>
                <w:szCs w:val="20"/>
              </w:rPr>
              <w:t>环境工业污染重</w:t>
            </w:r>
            <w:r>
              <w:rPr>
                <w:spacing w:val="3"/>
                <w:sz w:val="20"/>
                <w:szCs w:val="20"/>
              </w:rPr>
              <w:t xml:space="preserve"> </w:t>
            </w:r>
            <w:r>
              <w:rPr>
                <w:spacing w:val="32"/>
                <w:sz w:val="20"/>
                <w:szCs w:val="20"/>
              </w:rPr>
              <w:t>点管控区及大气</w:t>
            </w:r>
            <w:r>
              <w:rPr>
                <w:spacing w:val="3"/>
                <w:sz w:val="20"/>
                <w:szCs w:val="20"/>
              </w:rPr>
              <w:t xml:space="preserve"> </w:t>
            </w:r>
            <w:r>
              <w:rPr>
                <w:spacing w:val="32"/>
                <w:sz w:val="20"/>
                <w:szCs w:val="20"/>
              </w:rPr>
              <w:t>环境布局敏感重</w:t>
            </w:r>
            <w:r>
              <w:rPr>
                <w:spacing w:val="3"/>
                <w:sz w:val="20"/>
                <w:szCs w:val="20"/>
              </w:rPr>
              <w:t xml:space="preserve"> </w:t>
            </w:r>
            <w:r>
              <w:rPr>
                <w:spacing w:val="6"/>
                <w:sz w:val="20"/>
                <w:szCs w:val="20"/>
              </w:rPr>
              <w:t>点管控区内。</w:t>
            </w:r>
          </w:p>
          <w:p w14:paraId="174E8E7F">
            <w:pPr>
              <w:pStyle w:val="6"/>
              <w:spacing w:before="25"/>
              <w:ind w:left="120" w:right="298" w:firstLine="419"/>
              <w:rPr>
                <w:sz w:val="20"/>
                <w:szCs w:val="20"/>
              </w:rPr>
            </w:pPr>
            <w:r>
              <w:rPr>
                <w:spacing w:val="41"/>
                <w:sz w:val="20"/>
                <w:szCs w:val="20"/>
              </w:rPr>
              <w:t>满足其环境</w:t>
            </w:r>
            <w:r>
              <w:rPr>
                <w:spacing w:val="2"/>
                <w:sz w:val="20"/>
                <w:szCs w:val="20"/>
              </w:rPr>
              <w:t xml:space="preserve"> </w:t>
            </w:r>
            <w:r>
              <w:rPr>
                <w:spacing w:val="6"/>
                <w:sz w:val="20"/>
                <w:szCs w:val="20"/>
              </w:rPr>
              <w:t>风险防控要求。</w:t>
            </w:r>
          </w:p>
          <w:p w14:paraId="6F199C67">
            <w:pPr>
              <w:spacing w:line="241" w:lineRule="auto"/>
              <w:rPr>
                <w:rFonts w:ascii="Arial"/>
                <w:sz w:val="21"/>
              </w:rPr>
            </w:pPr>
          </w:p>
          <w:p w14:paraId="78A27C8C">
            <w:pPr>
              <w:spacing w:line="241" w:lineRule="auto"/>
              <w:rPr>
                <w:rFonts w:ascii="Arial"/>
                <w:sz w:val="21"/>
              </w:rPr>
            </w:pPr>
          </w:p>
          <w:p w14:paraId="61C6CB62">
            <w:pPr>
              <w:spacing w:line="241" w:lineRule="auto"/>
              <w:rPr>
                <w:rFonts w:ascii="Arial"/>
                <w:sz w:val="21"/>
              </w:rPr>
            </w:pPr>
          </w:p>
          <w:p w14:paraId="0AA2251A">
            <w:pPr>
              <w:spacing w:line="241" w:lineRule="auto"/>
              <w:rPr>
                <w:rFonts w:ascii="Arial"/>
                <w:sz w:val="21"/>
              </w:rPr>
            </w:pPr>
          </w:p>
          <w:p w14:paraId="47EAC570">
            <w:pPr>
              <w:spacing w:line="241" w:lineRule="auto"/>
              <w:rPr>
                <w:rFonts w:ascii="Arial"/>
                <w:sz w:val="21"/>
              </w:rPr>
            </w:pPr>
          </w:p>
          <w:p w14:paraId="04D12C7B">
            <w:pPr>
              <w:spacing w:line="241" w:lineRule="auto"/>
              <w:rPr>
                <w:rFonts w:ascii="Arial"/>
                <w:sz w:val="21"/>
              </w:rPr>
            </w:pPr>
          </w:p>
          <w:p w14:paraId="616DE050">
            <w:pPr>
              <w:spacing w:line="241" w:lineRule="auto"/>
              <w:rPr>
                <w:rFonts w:ascii="Arial"/>
                <w:sz w:val="21"/>
              </w:rPr>
            </w:pPr>
          </w:p>
          <w:p w14:paraId="112A786F">
            <w:pPr>
              <w:spacing w:line="241" w:lineRule="auto"/>
              <w:rPr>
                <w:rFonts w:ascii="Arial"/>
                <w:sz w:val="21"/>
              </w:rPr>
            </w:pPr>
          </w:p>
          <w:p w14:paraId="6B0E077C">
            <w:pPr>
              <w:spacing w:line="241" w:lineRule="auto"/>
              <w:rPr>
                <w:rFonts w:ascii="Arial"/>
                <w:sz w:val="21"/>
              </w:rPr>
            </w:pPr>
          </w:p>
          <w:p w14:paraId="31BAA81C">
            <w:pPr>
              <w:spacing w:line="241" w:lineRule="auto"/>
              <w:rPr>
                <w:rFonts w:ascii="Arial"/>
                <w:sz w:val="21"/>
              </w:rPr>
            </w:pPr>
          </w:p>
          <w:p w14:paraId="531B7C69">
            <w:pPr>
              <w:spacing w:line="242" w:lineRule="auto"/>
              <w:rPr>
                <w:rFonts w:ascii="Arial"/>
                <w:sz w:val="21"/>
              </w:rPr>
            </w:pPr>
          </w:p>
          <w:p w14:paraId="4F2403B0">
            <w:pPr>
              <w:spacing w:line="242" w:lineRule="auto"/>
              <w:rPr>
                <w:rFonts w:ascii="Arial"/>
                <w:sz w:val="21"/>
              </w:rPr>
            </w:pPr>
          </w:p>
          <w:p w14:paraId="13ABCF2B">
            <w:pPr>
              <w:spacing w:line="242" w:lineRule="auto"/>
              <w:rPr>
                <w:rFonts w:ascii="Arial"/>
                <w:sz w:val="21"/>
              </w:rPr>
            </w:pPr>
          </w:p>
          <w:p w14:paraId="070B273F">
            <w:pPr>
              <w:spacing w:line="242" w:lineRule="auto"/>
              <w:rPr>
                <w:rFonts w:ascii="Arial"/>
                <w:sz w:val="21"/>
              </w:rPr>
            </w:pPr>
          </w:p>
          <w:p w14:paraId="6AEBE6C9">
            <w:pPr>
              <w:spacing w:line="242" w:lineRule="auto"/>
              <w:rPr>
                <w:rFonts w:ascii="Arial"/>
                <w:sz w:val="21"/>
              </w:rPr>
            </w:pPr>
          </w:p>
          <w:p w14:paraId="1A9A38FD">
            <w:pPr>
              <w:pStyle w:val="6"/>
              <w:spacing w:before="65" w:line="249" w:lineRule="auto"/>
              <w:ind w:left="120" w:right="298" w:firstLine="420"/>
              <w:jc w:val="both"/>
              <w:rPr>
                <w:sz w:val="20"/>
                <w:szCs w:val="20"/>
              </w:rPr>
            </w:pPr>
            <w:r>
              <w:rPr>
                <w:spacing w:val="41"/>
                <w:sz w:val="20"/>
                <w:szCs w:val="20"/>
              </w:rPr>
              <w:t>本项目不新</w:t>
            </w:r>
            <w:r>
              <w:rPr>
                <w:spacing w:val="2"/>
                <w:sz w:val="20"/>
                <w:szCs w:val="20"/>
              </w:rPr>
              <w:t xml:space="preserve"> </w:t>
            </w:r>
            <w:r>
              <w:rPr>
                <w:spacing w:val="3"/>
                <w:sz w:val="20"/>
                <w:szCs w:val="20"/>
              </w:rPr>
              <w:t xml:space="preserve">建燃煤锅炉，用水 </w:t>
            </w:r>
            <w:r>
              <w:rPr>
                <w:spacing w:val="32"/>
                <w:sz w:val="20"/>
                <w:szCs w:val="20"/>
              </w:rPr>
              <w:t>由市政供水管网</w:t>
            </w:r>
            <w:r>
              <w:rPr>
                <w:spacing w:val="2"/>
                <w:sz w:val="20"/>
                <w:szCs w:val="20"/>
              </w:rPr>
              <w:t xml:space="preserve"> </w:t>
            </w:r>
            <w:r>
              <w:rPr>
                <w:spacing w:val="3"/>
                <w:sz w:val="20"/>
                <w:szCs w:val="20"/>
              </w:rPr>
              <w:t>提供，无生产废水</w:t>
            </w:r>
            <w:r>
              <w:rPr>
                <w:spacing w:val="2"/>
                <w:sz w:val="20"/>
                <w:szCs w:val="20"/>
              </w:rPr>
              <w:t xml:space="preserve"> </w:t>
            </w:r>
            <w:r>
              <w:rPr>
                <w:spacing w:val="3"/>
                <w:sz w:val="20"/>
                <w:szCs w:val="20"/>
              </w:rPr>
              <w:t xml:space="preserve">外排。项目不在地 </w:t>
            </w:r>
            <w:r>
              <w:rPr>
                <w:spacing w:val="32"/>
                <w:sz w:val="20"/>
                <w:szCs w:val="20"/>
              </w:rPr>
              <w:t>下水超采区及高</w:t>
            </w:r>
            <w:r>
              <w:rPr>
                <w:spacing w:val="3"/>
                <w:sz w:val="20"/>
                <w:szCs w:val="20"/>
              </w:rPr>
              <w:t xml:space="preserve"> </w:t>
            </w:r>
            <w:r>
              <w:rPr>
                <w:spacing w:val="32"/>
                <w:sz w:val="20"/>
                <w:szCs w:val="20"/>
              </w:rPr>
              <w:t>污染燃料禁燃区</w:t>
            </w:r>
            <w:r>
              <w:rPr>
                <w:spacing w:val="2"/>
                <w:sz w:val="20"/>
                <w:szCs w:val="20"/>
              </w:rPr>
              <w:t xml:space="preserve"> </w:t>
            </w:r>
            <w:r>
              <w:rPr>
                <w:spacing w:val="3"/>
                <w:sz w:val="20"/>
                <w:szCs w:val="20"/>
              </w:rPr>
              <w:t>内。满足其资源利</w:t>
            </w:r>
            <w:r>
              <w:rPr>
                <w:spacing w:val="2"/>
                <w:sz w:val="20"/>
                <w:szCs w:val="20"/>
              </w:rPr>
              <w:t xml:space="preserve"> </w:t>
            </w:r>
            <w:r>
              <w:rPr>
                <w:spacing w:val="6"/>
                <w:sz w:val="20"/>
                <w:szCs w:val="20"/>
              </w:rPr>
              <w:t>用效率要求。</w:t>
            </w:r>
          </w:p>
        </w:tc>
      </w:tr>
      <w:tr w14:paraId="36C15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43" w:hRule="atLeast"/>
        </w:trPr>
        <w:tc>
          <w:tcPr>
            <w:tcW w:w="494" w:type="dxa"/>
            <w:vMerge w:val="continue"/>
            <w:tcBorders>
              <w:top w:val="nil"/>
              <w:left w:val="single" w:color="000000" w:sz="10" w:space="0"/>
              <w:bottom w:val="single" w:color="000000" w:sz="10" w:space="0"/>
            </w:tcBorders>
            <w:vAlign w:val="top"/>
          </w:tcPr>
          <w:p w14:paraId="6C39BAB2">
            <w:pPr>
              <w:rPr>
                <w:rFonts w:ascii="Arial"/>
                <w:sz w:val="21"/>
              </w:rPr>
            </w:pPr>
          </w:p>
        </w:tc>
        <w:tc>
          <w:tcPr>
            <w:tcW w:w="1811" w:type="dxa"/>
            <w:vMerge w:val="continue"/>
            <w:tcBorders>
              <w:top w:val="nil"/>
              <w:bottom w:val="single" w:color="000000" w:sz="10" w:space="0"/>
            </w:tcBorders>
            <w:vAlign w:val="top"/>
          </w:tcPr>
          <w:p w14:paraId="438DC090">
            <w:pPr>
              <w:rPr>
                <w:rFonts w:ascii="Arial"/>
                <w:sz w:val="21"/>
              </w:rPr>
            </w:pPr>
          </w:p>
        </w:tc>
        <w:tc>
          <w:tcPr>
            <w:tcW w:w="788" w:type="dxa"/>
            <w:vMerge w:val="continue"/>
            <w:tcBorders>
              <w:top w:val="nil"/>
              <w:bottom w:val="single" w:color="000000" w:sz="10" w:space="0"/>
            </w:tcBorders>
            <w:vAlign w:val="top"/>
          </w:tcPr>
          <w:p w14:paraId="0687CDEB">
            <w:pPr>
              <w:rPr>
                <w:rFonts w:ascii="Arial"/>
                <w:sz w:val="21"/>
              </w:rPr>
            </w:pPr>
          </w:p>
        </w:tc>
        <w:tc>
          <w:tcPr>
            <w:tcW w:w="761" w:type="dxa"/>
            <w:vMerge w:val="continue"/>
            <w:tcBorders>
              <w:top w:val="nil"/>
              <w:bottom w:val="single" w:color="000000" w:sz="10" w:space="0"/>
            </w:tcBorders>
            <w:vAlign w:val="top"/>
          </w:tcPr>
          <w:p w14:paraId="38213818">
            <w:pPr>
              <w:rPr>
                <w:rFonts w:ascii="Arial"/>
                <w:sz w:val="21"/>
              </w:rPr>
            </w:pPr>
          </w:p>
        </w:tc>
        <w:tc>
          <w:tcPr>
            <w:tcW w:w="425" w:type="dxa"/>
            <w:tcBorders>
              <w:bottom w:val="single" w:color="000000" w:sz="10" w:space="0"/>
            </w:tcBorders>
            <w:textDirection w:val="tbRlV"/>
            <w:vAlign w:val="top"/>
          </w:tcPr>
          <w:p w14:paraId="3D121233">
            <w:pPr>
              <w:pStyle w:val="6"/>
              <w:spacing w:before="108" w:line="216" w:lineRule="auto"/>
              <w:ind w:left="3037"/>
              <w:rPr>
                <w:sz w:val="20"/>
                <w:szCs w:val="20"/>
              </w:rPr>
            </w:pPr>
            <w:r>
              <w:rPr>
                <w:spacing w:val="8"/>
                <w:sz w:val="20"/>
                <w:szCs w:val="20"/>
              </w:rPr>
              <w:t>资</w:t>
            </w:r>
            <w:r>
              <w:rPr>
                <w:spacing w:val="-33"/>
                <w:sz w:val="20"/>
                <w:szCs w:val="20"/>
              </w:rPr>
              <w:t xml:space="preserve"> </w:t>
            </w:r>
            <w:r>
              <w:rPr>
                <w:spacing w:val="8"/>
                <w:sz w:val="20"/>
                <w:szCs w:val="20"/>
              </w:rPr>
              <w:t>源</w:t>
            </w:r>
            <w:r>
              <w:rPr>
                <w:spacing w:val="-35"/>
                <w:sz w:val="20"/>
                <w:szCs w:val="20"/>
              </w:rPr>
              <w:t xml:space="preserve"> </w:t>
            </w:r>
            <w:r>
              <w:rPr>
                <w:spacing w:val="8"/>
                <w:sz w:val="20"/>
                <w:szCs w:val="20"/>
              </w:rPr>
              <w:t>利</w:t>
            </w:r>
            <w:r>
              <w:rPr>
                <w:spacing w:val="-38"/>
                <w:sz w:val="20"/>
                <w:szCs w:val="20"/>
              </w:rPr>
              <w:t xml:space="preserve"> </w:t>
            </w:r>
            <w:r>
              <w:rPr>
                <w:spacing w:val="8"/>
                <w:sz w:val="20"/>
                <w:szCs w:val="20"/>
              </w:rPr>
              <w:t>用</w:t>
            </w:r>
            <w:r>
              <w:rPr>
                <w:spacing w:val="-35"/>
                <w:sz w:val="20"/>
                <w:szCs w:val="20"/>
              </w:rPr>
              <w:t xml:space="preserve"> </w:t>
            </w:r>
            <w:r>
              <w:rPr>
                <w:spacing w:val="8"/>
                <w:sz w:val="20"/>
                <w:szCs w:val="20"/>
              </w:rPr>
              <w:t>效</w:t>
            </w:r>
            <w:r>
              <w:rPr>
                <w:spacing w:val="-37"/>
                <w:sz w:val="20"/>
                <w:szCs w:val="20"/>
              </w:rPr>
              <w:t xml:space="preserve"> </w:t>
            </w:r>
            <w:r>
              <w:rPr>
                <w:spacing w:val="8"/>
                <w:sz w:val="20"/>
                <w:szCs w:val="20"/>
              </w:rPr>
              <w:t>率</w:t>
            </w:r>
            <w:r>
              <w:rPr>
                <w:spacing w:val="-36"/>
                <w:sz w:val="20"/>
                <w:szCs w:val="20"/>
              </w:rPr>
              <w:t xml:space="preserve"> </w:t>
            </w:r>
            <w:r>
              <w:rPr>
                <w:spacing w:val="8"/>
                <w:sz w:val="20"/>
                <w:szCs w:val="20"/>
              </w:rPr>
              <w:t>要</w:t>
            </w:r>
            <w:r>
              <w:rPr>
                <w:spacing w:val="-37"/>
                <w:sz w:val="20"/>
                <w:szCs w:val="20"/>
              </w:rPr>
              <w:t xml:space="preserve"> </w:t>
            </w:r>
            <w:r>
              <w:rPr>
                <w:spacing w:val="8"/>
                <w:sz w:val="20"/>
                <w:szCs w:val="20"/>
              </w:rPr>
              <w:t>求</w:t>
            </w:r>
          </w:p>
        </w:tc>
        <w:tc>
          <w:tcPr>
            <w:tcW w:w="2581" w:type="dxa"/>
            <w:tcBorders>
              <w:bottom w:val="single" w:color="000000" w:sz="10" w:space="0"/>
            </w:tcBorders>
            <w:vAlign w:val="top"/>
          </w:tcPr>
          <w:p w14:paraId="29B7B130">
            <w:pPr>
              <w:pStyle w:val="6"/>
              <w:spacing w:before="41"/>
              <w:ind w:left="116" w:right="102" w:firstLine="432"/>
              <w:rPr>
                <w:sz w:val="20"/>
                <w:szCs w:val="20"/>
              </w:rPr>
            </w:pPr>
            <w:r>
              <w:rPr>
                <w:rFonts w:ascii="Times New Roman" w:hAnsi="Times New Roman" w:eastAsia="Times New Roman" w:cs="Times New Roman"/>
                <w:spacing w:val="15"/>
                <w:sz w:val="20"/>
                <w:szCs w:val="20"/>
              </w:rPr>
              <w:t>1.</w:t>
            </w:r>
            <w:r>
              <w:rPr>
                <w:rFonts w:ascii="Times New Roman" w:hAnsi="Times New Roman" w:eastAsia="Times New Roman" w:cs="Times New Roman"/>
                <w:spacing w:val="-27"/>
                <w:sz w:val="20"/>
                <w:szCs w:val="20"/>
              </w:rPr>
              <w:t xml:space="preserve"> </w:t>
            </w:r>
            <w:r>
              <w:rPr>
                <w:spacing w:val="15"/>
                <w:sz w:val="20"/>
                <w:szCs w:val="20"/>
              </w:rPr>
              <w:t>推进污水再生利用</w:t>
            </w:r>
            <w:r>
              <w:rPr>
                <w:sz w:val="20"/>
                <w:szCs w:val="20"/>
              </w:rPr>
              <w:t xml:space="preserve"> </w:t>
            </w:r>
            <w:r>
              <w:rPr>
                <w:spacing w:val="5"/>
                <w:sz w:val="20"/>
                <w:szCs w:val="20"/>
              </w:rPr>
              <w:t>设施建设。</w:t>
            </w:r>
          </w:p>
          <w:p w14:paraId="74450145">
            <w:pPr>
              <w:pStyle w:val="6"/>
              <w:spacing w:before="23" w:line="247" w:lineRule="auto"/>
              <w:ind w:left="113" w:right="99" w:firstLine="416"/>
              <w:jc w:val="both"/>
              <w:rPr>
                <w:sz w:val="20"/>
                <w:szCs w:val="20"/>
              </w:rPr>
            </w:pPr>
            <w:r>
              <w:rPr>
                <w:rFonts w:ascii="Times New Roman" w:hAnsi="Times New Roman" w:eastAsia="Times New Roman" w:cs="Times New Roman"/>
                <w:spacing w:val="16"/>
                <w:sz w:val="20"/>
                <w:szCs w:val="20"/>
              </w:rPr>
              <w:t>2.</w:t>
            </w:r>
            <w:r>
              <w:rPr>
                <w:rFonts w:ascii="Times New Roman" w:hAnsi="Times New Roman" w:eastAsia="Times New Roman" w:cs="Times New Roman"/>
                <w:spacing w:val="-17"/>
                <w:sz w:val="20"/>
                <w:szCs w:val="20"/>
              </w:rPr>
              <w:t xml:space="preserve"> </w:t>
            </w:r>
            <w:r>
              <w:rPr>
                <w:spacing w:val="16"/>
                <w:sz w:val="20"/>
                <w:szCs w:val="20"/>
              </w:rPr>
              <w:t>公共建筑必须采用</w:t>
            </w:r>
            <w:r>
              <w:rPr>
                <w:sz w:val="20"/>
                <w:szCs w:val="20"/>
              </w:rPr>
              <w:t xml:space="preserve"> </w:t>
            </w:r>
            <w:r>
              <w:rPr>
                <w:spacing w:val="14"/>
                <w:sz w:val="20"/>
                <w:szCs w:val="20"/>
              </w:rPr>
              <w:t>节水器具，限期淘汰公共</w:t>
            </w:r>
            <w:r>
              <w:rPr>
                <w:spacing w:val="8"/>
                <w:sz w:val="20"/>
                <w:szCs w:val="20"/>
              </w:rPr>
              <w:t xml:space="preserve"> </w:t>
            </w:r>
            <w:r>
              <w:rPr>
                <w:spacing w:val="14"/>
                <w:sz w:val="20"/>
                <w:szCs w:val="20"/>
              </w:rPr>
              <w:t>建筑中不符合节水标准的</w:t>
            </w:r>
            <w:r>
              <w:rPr>
                <w:spacing w:val="8"/>
                <w:sz w:val="20"/>
                <w:szCs w:val="20"/>
              </w:rPr>
              <w:t xml:space="preserve"> </w:t>
            </w:r>
            <w:r>
              <w:rPr>
                <w:spacing w:val="14"/>
                <w:sz w:val="20"/>
                <w:szCs w:val="20"/>
              </w:rPr>
              <w:t>水嘴、便器水箱等生活用</w:t>
            </w:r>
            <w:r>
              <w:rPr>
                <w:spacing w:val="8"/>
                <w:sz w:val="20"/>
                <w:szCs w:val="20"/>
              </w:rPr>
              <w:t xml:space="preserve"> </w:t>
            </w:r>
            <w:r>
              <w:rPr>
                <w:spacing w:val="5"/>
                <w:sz w:val="20"/>
                <w:szCs w:val="20"/>
              </w:rPr>
              <w:t>水器具。</w:t>
            </w:r>
          </w:p>
          <w:p w14:paraId="5F32726D">
            <w:pPr>
              <w:pStyle w:val="6"/>
              <w:spacing w:before="19" w:line="250" w:lineRule="auto"/>
              <w:ind w:left="113" w:right="45" w:firstLine="420"/>
              <w:rPr>
                <w:sz w:val="20"/>
                <w:szCs w:val="20"/>
              </w:rPr>
            </w:pPr>
            <w:r>
              <w:rPr>
                <w:rFonts w:ascii="Times New Roman" w:hAnsi="Times New Roman" w:eastAsia="Times New Roman" w:cs="Times New Roman"/>
                <w:spacing w:val="16"/>
                <w:sz w:val="20"/>
                <w:szCs w:val="20"/>
              </w:rPr>
              <w:t>3.</w:t>
            </w:r>
            <w:r>
              <w:rPr>
                <w:rFonts w:ascii="Times New Roman" w:hAnsi="Times New Roman" w:eastAsia="Times New Roman" w:cs="Times New Roman"/>
                <w:spacing w:val="-21"/>
                <w:sz w:val="20"/>
                <w:szCs w:val="20"/>
              </w:rPr>
              <w:t xml:space="preserve"> </w:t>
            </w:r>
            <w:r>
              <w:rPr>
                <w:spacing w:val="16"/>
                <w:sz w:val="20"/>
                <w:szCs w:val="20"/>
              </w:rPr>
              <w:t>地下水超采区同时</w:t>
            </w:r>
            <w:r>
              <w:rPr>
                <w:sz w:val="20"/>
                <w:szCs w:val="20"/>
              </w:rPr>
              <w:t xml:space="preserve"> </w:t>
            </w:r>
            <w:r>
              <w:rPr>
                <w:spacing w:val="-7"/>
                <w:sz w:val="20"/>
                <w:szCs w:val="20"/>
              </w:rPr>
              <w:t>执行：</w:t>
            </w:r>
            <w:r>
              <w:rPr>
                <w:rFonts w:ascii="Times New Roman" w:hAnsi="Times New Roman" w:eastAsia="Times New Roman" w:cs="Times New Roman"/>
                <w:spacing w:val="-7"/>
                <w:sz w:val="20"/>
                <w:szCs w:val="20"/>
              </w:rPr>
              <w:t>1</w:t>
            </w:r>
            <w:r>
              <w:rPr>
                <w:spacing w:val="-7"/>
                <w:sz w:val="20"/>
                <w:szCs w:val="20"/>
              </w:rPr>
              <w:t>）地下水超采地区，</w:t>
            </w:r>
            <w:r>
              <w:rPr>
                <w:spacing w:val="7"/>
                <w:sz w:val="20"/>
                <w:szCs w:val="20"/>
              </w:rPr>
              <w:t xml:space="preserve"> </w:t>
            </w:r>
            <w:r>
              <w:rPr>
                <w:spacing w:val="14"/>
                <w:sz w:val="20"/>
                <w:szCs w:val="20"/>
              </w:rPr>
              <w:t>县级以上地方人民政府应</w:t>
            </w:r>
            <w:r>
              <w:rPr>
                <w:spacing w:val="8"/>
                <w:sz w:val="20"/>
                <w:szCs w:val="20"/>
              </w:rPr>
              <w:t xml:space="preserve"> </w:t>
            </w:r>
            <w:r>
              <w:rPr>
                <w:spacing w:val="14"/>
                <w:sz w:val="20"/>
                <w:szCs w:val="20"/>
              </w:rPr>
              <w:t>当采取措施，制定地下水</w:t>
            </w:r>
            <w:r>
              <w:rPr>
                <w:spacing w:val="8"/>
                <w:sz w:val="20"/>
                <w:szCs w:val="20"/>
              </w:rPr>
              <w:t xml:space="preserve"> </w:t>
            </w:r>
            <w:r>
              <w:rPr>
                <w:spacing w:val="14"/>
                <w:sz w:val="20"/>
                <w:szCs w:val="20"/>
              </w:rPr>
              <w:t>压采方案并严格落实，严</w:t>
            </w:r>
            <w:r>
              <w:rPr>
                <w:spacing w:val="8"/>
                <w:sz w:val="20"/>
                <w:szCs w:val="20"/>
              </w:rPr>
              <w:t xml:space="preserve"> </w:t>
            </w:r>
            <w:r>
              <w:rPr>
                <w:spacing w:val="5"/>
                <w:sz w:val="20"/>
                <w:szCs w:val="20"/>
              </w:rPr>
              <w:t>格控制开采地下水。</w:t>
            </w:r>
            <w:r>
              <w:rPr>
                <w:rFonts w:ascii="Times New Roman" w:hAnsi="Times New Roman" w:eastAsia="Times New Roman" w:cs="Times New Roman"/>
                <w:spacing w:val="5"/>
                <w:sz w:val="20"/>
                <w:szCs w:val="20"/>
              </w:rPr>
              <w:t>2</w:t>
            </w:r>
            <w:r>
              <w:rPr>
                <w:spacing w:val="5"/>
                <w:sz w:val="20"/>
                <w:szCs w:val="20"/>
              </w:rPr>
              <w:t>）禁</w:t>
            </w:r>
            <w:r>
              <w:rPr>
                <w:spacing w:val="2"/>
                <w:sz w:val="20"/>
                <w:szCs w:val="20"/>
              </w:rPr>
              <w:t xml:space="preserve"> </w:t>
            </w:r>
            <w:r>
              <w:rPr>
                <w:spacing w:val="14"/>
                <w:sz w:val="20"/>
                <w:szCs w:val="20"/>
              </w:rPr>
              <w:t>止地下水超采区工业建设</w:t>
            </w:r>
            <w:r>
              <w:rPr>
                <w:spacing w:val="8"/>
                <w:sz w:val="20"/>
                <w:szCs w:val="20"/>
              </w:rPr>
              <w:t xml:space="preserve"> </w:t>
            </w:r>
            <w:r>
              <w:rPr>
                <w:spacing w:val="14"/>
                <w:sz w:val="20"/>
                <w:szCs w:val="20"/>
              </w:rPr>
              <w:t>项目和服务业新增取用地</w:t>
            </w:r>
            <w:r>
              <w:rPr>
                <w:spacing w:val="8"/>
                <w:sz w:val="20"/>
                <w:szCs w:val="20"/>
              </w:rPr>
              <w:t xml:space="preserve"> </w:t>
            </w:r>
            <w:r>
              <w:rPr>
                <w:spacing w:val="16"/>
                <w:sz w:val="20"/>
                <w:szCs w:val="20"/>
              </w:rPr>
              <w:t>下水，逐步削减超采量，</w:t>
            </w:r>
            <w:r>
              <w:rPr>
                <w:spacing w:val="2"/>
                <w:sz w:val="20"/>
                <w:szCs w:val="20"/>
              </w:rPr>
              <w:t xml:space="preserve"> </w:t>
            </w:r>
            <w:r>
              <w:rPr>
                <w:spacing w:val="36"/>
                <w:sz w:val="20"/>
                <w:szCs w:val="20"/>
              </w:rPr>
              <w:t>逐渐实现地下水采补平</w:t>
            </w:r>
            <w:r>
              <w:rPr>
                <w:spacing w:val="2"/>
                <w:sz w:val="20"/>
                <w:szCs w:val="20"/>
              </w:rPr>
              <w:t xml:space="preserve"> </w:t>
            </w:r>
            <w:r>
              <w:rPr>
                <w:spacing w:val="14"/>
                <w:sz w:val="20"/>
                <w:szCs w:val="20"/>
              </w:rPr>
              <w:t>衡。确需新建、改扩建地</w:t>
            </w:r>
            <w:r>
              <w:rPr>
                <w:spacing w:val="8"/>
                <w:sz w:val="20"/>
                <w:szCs w:val="20"/>
              </w:rPr>
              <w:t xml:space="preserve"> </w:t>
            </w:r>
            <w:r>
              <w:rPr>
                <w:spacing w:val="14"/>
                <w:sz w:val="20"/>
                <w:szCs w:val="20"/>
              </w:rPr>
              <w:t>下水取水工程的，报省级</w:t>
            </w:r>
            <w:r>
              <w:rPr>
                <w:spacing w:val="8"/>
                <w:sz w:val="20"/>
                <w:szCs w:val="20"/>
              </w:rPr>
              <w:t xml:space="preserve"> 水行政主管部门批准。</w:t>
            </w:r>
          </w:p>
          <w:p w14:paraId="1FE8EBE8">
            <w:pPr>
              <w:pStyle w:val="6"/>
              <w:spacing w:before="24" w:line="249" w:lineRule="auto"/>
              <w:ind w:left="112" w:right="28" w:firstLine="416"/>
              <w:rPr>
                <w:sz w:val="20"/>
                <w:szCs w:val="20"/>
              </w:rPr>
            </w:pPr>
            <w:r>
              <w:rPr>
                <w:rFonts w:ascii="Times New Roman" w:hAnsi="Times New Roman" w:eastAsia="Times New Roman" w:cs="Times New Roman"/>
                <w:spacing w:val="16"/>
                <w:sz w:val="20"/>
                <w:szCs w:val="20"/>
              </w:rPr>
              <w:t>4.</w:t>
            </w:r>
            <w:r>
              <w:rPr>
                <w:rFonts w:ascii="Times New Roman" w:hAnsi="Times New Roman" w:eastAsia="Times New Roman" w:cs="Times New Roman"/>
                <w:spacing w:val="-16"/>
                <w:sz w:val="20"/>
                <w:szCs w:val="20"/>
              </w:rPr>
              <w:t xml:space="preserve"> </w:t>
            </w:r>
            <w:r>
              <w:rPr>
                <w:spacing w:val="16"/>
                <w:sz w:val="20"/>
                <w:szCs w:val="20"/>
              </w:rPr>
              <w:t>高污染燃料禁燃区</w:t>
            </w:r>
            <w:r>
              <w:rPr>
                <w:sz w:val="20"/>
                <w:szCs w:val="20"/>
              </w:rPr>
              <w:t xml:space="preserve"> </w:t>
            </w:r>
            <w:r>
              <w:rPr>
                <w:spacing w:val="-6"/>
                <w:sz w:val="20"/>
                <w:szCs w:val="20"/>
              </w:rPr>
              <w:t>同时执行：</w:t>
            </w:r>
            <w:r>
              <w:rPr>
                <w:rFonts w:ascii="Times New Roman" w:hAnsi="Times New Roman" w:eastAsia="Times New Roman" w:cs="Times New Roman"/>
                <w:spacing w:val="-6"/>
                <w:sz w:val="20"/>
                <w:szCs w:val="20"/>
              </w:rPr>
              <w:t>1</w:t>
            </w:r>
            <w:r>
              <w:rPr>
                <w:spacing w:val="-6"/>
                <w:sz w:val="20"/>
                <w:szCs w:val="20"/>
              </w:rPr>
              <w:t>）在禁燃区内，</w:t>
            </w:r>
            <w:r>
              <w:rPr>
                <w:spacing w:val="11"/>
                <w:sz w:val="20"/>
                <w:szCs w:val="20"/>
              </w:rPr>
              <w:t xml:space="preserve"> </w:t>
            </w:r>
            <w:r>
              <w:rPr>
                <w:spacing w:val="14"/>
                <w:sz w:val="20"/>
                <w:szCs w:val="20"/>
              </w:rPr>
              <w:t>禁止销售、燃用高污染燃</w:t>
            </w:r>
            <w:r>
              <w:rPr>
                <w:spacing w:val="9"/>
                <w:sz w:val="20"/>
                <w:szCs w:val="20"/>
              </w:rPr>
              <w:t xml:space="preserve"> </w:t>
            </w:r>
            <w:r>
              <w:rPr>
                <w:spacing w:val="14"/>
                <w:sz w:val="20"/>
                <w:szCs w:val="20"/>
              </w:rPr>
              <w:t>料；禁止新建、扩建燃用</w:t>
            </w:r>
            <w:r>
              <w:rPr>
                <w:spacing w:val="9"/>
                <w:sz w:val="20"/>
                <w:szCs w:val="20"/>
              </w:rPr>
              <w:t xml:space="preserve"> </w:t>
            </w:r>
            <w:r>
              <w:rPr>
                <w:spacing w:val="10"/>
                <w:sz w:val="20"/>
                <w:szCs w:val="20"/>
              </w:rPr>
              <w:t>高污染燃料的设施，</w:t>
            </w:r>
            <w:r>
              <w:rPr>
                <w:spacing w:val="-47"/>
                <w:sz w:val="20"/>
                <w:szCs w:val="20"/>
              </w:rPr>
              <w:t xml:space="preserve"> </w:t>
            </w:r>
            <w:r>
              <w:rPr>
                <w:spacing w:val="10"/>
                <w:sz w:val="20"/>
                <w:szCs w:val="20"/>
              </w:rPr>
              <w:t>已建</w:t>
            </w:r>
            <w:r>
              <w:rPr>
                <w:sz w:val="20"/>
                <w:szCs w:val="20"/>
              </w:rPr>
              <w:t xml:space="preserve"> </w:t>
            </w:r>
            <w:r>
              <w:rPr>
                <w:spacing w:val="14"/>
                <w:sz w:val="20"/>
                <w:szCs w:val="20"/>
              </w:rPr>
              <w:t>成的，应当在城市人民政</w:t>
            </w:r>
            <w:r>
              <w:rPr>
                <w:spacing w:val="9"/>
                <w:sz w:val="20"/>
                <w:szCs w:val="20"/>
              </w:rPr>
              <w:t xml:space="preserve"> </w:t>
            </w:r>
            <w:r>
              <w:rPr>
                <w:spacing w:val="14"/>
                <w:sz w:val="20"/>
                <w:szCs w:val="20"/>
              </w:rPr>
              <w:t>府规定的期限内改用天然</w:t>
            </w:r>
            <w:r>
              <w:rPr>
                <w:spacing w:val="9"/>
                <w:sz w:val="20"/>
                <w:szCs w:val="20"/>
              </w:rPr>
              <w:t xml:space="preserve"> </w:t>
            </w:r>
            <w:r>
              <w:rPr>
                <w:spacing w:val="2"/>
                <w:sz w:val="20"/>
                <w:szCs w:val="20"/>
              </w:rPr>
              <w:t>气、页岩气、液化石油气、</w:t>
            </w:r>
            <w:r>
              <w:rPr>
                <w:spacing w:val="9"/>
                <w:sz w:val="20"/>
                <w:szCs w:val="20"/>
              </w:rPr>
              <w:t xml:space="preserve"> </w:t>
            </w:r>
            <w:r>
              <w:rPr>
                <w:spacing w:val="8"/>
                <w:sz w:val="20"/>
                <w:szCs w:val="20"/>
              </w:rPr>
              <w:t>电或者其他清洁能源。</w:t>
            </w:r>
            <w:r>
              <w:rPr>
                <w:rFonts w:ascii="Times New Roman" w:hAnsi="Times New Roman" w:eastAsia="Times New Roman" w:cs="Times New Roman"/>
                <w:spacing w:val="8"/>
                <w:sz w:val="20"/>
                <w:szCs w:val="20"/>
              </w:rPr>
              <w:t>2</w:t>
            </w:r>
            <w:r>
              <w:rPr>
                <w:spacing w:val="8"/>
                <w:sz w:val="20"/>
                <w:szCs w:val="20"/>
              </w:rPr>
              <w:t>）</w:t>
            </w:r>
            <w:r>
              <w:rPr>
                <w:sz w:val="20"/>
                <w:szCs w:val="20"/>
              </w:rPr>
              <w:t xml:space="preserve"> </w:t>
            </w:r>
            <w:r>
              <w:rPr>
                <w:spacing w:val="13"/>
                <w:sz w:val="20"/>
                <w:szCs w:val="20"/>
              </w:rPr>
              <w:t>城市建设应当统筹规划，</w:t>
            </w:r>
          </w:p>
        </w:tc>
        <w:tc>
          <w:tcPr>
            <w:tcW w:w="2062" w:type="dxa"/>
            <w:vMerge w:val="continue"/>
            <w:tcBorders>
              <w:top w:val="nil"/>
              <w:bottom w:val="single" w:color="000000" w:sz="10" w:space="0"/>
              <w:right w:val="single" w:color="000000" w:sz="10" w:space="0"/>
            </w:tcBorders>
            <w:vAlign w:val="top"/>
          </w:tcPr>
          <w:p w14:paraId="51CFF72A">
            <w:pPr>
              <w:rPr>
                <w:rFonts w:ascii="Arial"/>
                <w:sz w:val="21"/>
              </w:rPr>
            </w:pPr>
          </w:p>
        </w:tc>
      </w:tr>
    </w:tbl>
    <w:p w14:paraId="1BAB440C">
      <w:pPr>
        <w:pStyle w:val="2"/>
      </w:pPr>
    </w:p>
    <w:p w14:paraId="1AA897B0">
      <w:pPr>
        <w:sectPr>
          <w:footerReference r:id="rId9" w:type="default"/>
          <w:pgSz w:w="11906" w:h="16839"/>
          <w:pgMar w:top="1270" w:right="1479" w:bottom="1261"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06AA02A4">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959" w:hRule="atLeast"/>
        </w:trPr>
        <w:tc>
          <w:tcPr>
            <w:tcW w:w="494" w:type="dxa"/>
            <w:tcBorders>
              <w:right w:val="single" w:color="000000" w:sz="2" w:space="0"/>
            </w:tcBorders>
            <w:vAlign w:val="top"/>
          </w:tcPr>
          <w:p w14:paraId="2FD9CC3E">
            <w:pPr>
              <w:rPr>
                <w:rFonts w:ascii="Arial"/>
                <w:sz w:val="21"/>
              </w:rPr>
            </w:pPr>
          </w:p>
        </w:tc>
        <w:tc>
          <w:tcPr>
            <w:tcW w:w="8428" w:type="dxa"/>
            <w:tcBorders>
              <w:left w:val="single" w:color="000000" w:sz="2" w:space="0"/>
            </w:tcBorders>
            <w:vAlign w:val="top"/>
          </w:tcPr>
          <w:p w14:paraId="15626717">
            <w:pPr>
              <w:spacing w:line="144" w:lineRule="auto"/>
              <w:rPr>
                <w:rFonts w:ascii="Arial"/>
                <w:sz w:val="2"/>
              </w:rPr>
            </w:pPr>
          </w:p>
          <w:tbl>
            <w:tblPr>
              <w:tblStyle w:val="5"/>
              <w:tblW w:w="8036" w:type="dxa"/>
              <w:tblInd w:w="18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6"/>
              <w:gridCol w:w="790"/>
              <w:gridCol w:w="763"/>
              <w:gridCol w:w="425"/>
              <w:gridCol w:w="2589"/>
              <w:gridCol w:w="1853"/>
            </w:tblGrid>
            <w:tr w14:paraId="767C8E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64" w:hRule="atLeast"/>
              </w:trPr>
              <w:tc>
                <w:tcPr>
                  <w:tcW w:w="1616" w:type="dxa"/>
                  <w:tcBorders>
                    <w:top w:val="nil"/>
                    <w:left w:val="nil"/>
                    <w:bottom w:val="single" w:color="000000" w:sz="10" w:space="0"/>
                  </w:tcBorders>
                  <w:vAlign w:val="top"/>
                </w:tcPr>
                <w:p w14:paraId="24C3B87A">
                  <w:pPr>
                    <w:rPr>
                      <w:rFonts w:ascii="Arial"/>
                      <w:sz w:val="21"/>
                    </w:rPr>
                  </w:pPr>
                </w:p>
              </w:tc>
              <w:tc>
                <w:tcPr>
                  <w:tcW w:w="790" w:type="dxa"/>
                  <w:tcBorders>
                    <w:top w:val="nil"/>
                    <w:bottom w:val="single" w:color="000000" w:sz="10" w:space="0"/>
                  </w:tcBorders>
                  <w:vAlign w:val="top"/>
                </w:tcPr>
                <w:p w14:paraId="5D5DC02B">
                  <w:pPr>
                    <w:rPr>
                      <w:rFonts w:ascii="Arial"/>
                      <w:sz w:val="21"/>
                    </w:rPr>
                  </w:pPr>
                </w:p>
              </w:tc>
              <w:tc>
                <w:tcPr>
                  <w:tcW w:w="763" w:type="dxa"/>
                  <w:tcBorders>
                    <w:top w:val="nil"/>
                    <w:bottom w:val="single" w:color="000000" w:sz="10" w:space="0"/>
                  </w:tcBorders>
                  <w:vAlign w:val="top"/>
                </w:tcPr>
                <w:p w14:paraId="0B30BB3A">
                  <w:pPr>
                    <w:rPr>
                      <w:rFonts w:ascii="Arial"/>
                      <w:sz w:val="21"/>
                    </w:rPr>
                  </w:pPr>
                </w:p>
              </w:tc>
              <w:tc>
                <w:tcPr>
                  <w:tcW w:w="425" w:type="dxa"/>
                  <w:tcBorders>
                    <w:top w:val="nil"/>
                    <w:bottom w:val="single" w:color="000000" w:sz="10" w:space="0"/>
                  </w:tcBorders>
                  <w:vAlign w:val="top"/>
                </w:tcPr>
                <w:p w14:paraId="66116784">
                  <w:pPr>
                    <w:rPr>
                      <w:rFonts w:ascii="Arial"/>
                      <w:sz w:val="21"/>
                    </w:rPr>
                  </w:pPr>
                </w:p>
              </w:tc>
              <w:tc>
                <w:tcPr>
                  <w:tcW w:w="2589" w:type="dxa"/>
                  <w:tcBorders>
                    <w:top w:val="nil"/>
                    <w:bottom w:val="single" w:color="000000" w:sz="10" w:space="0"/>
                  </w:tcBorders>
                  <w:vAlign w:val="top"/>
                </w:tcPr>
                <w:p w14:paraId="0EA43581">
                  <w:pPr>
                    <w:pStyle w:val="6"/>
                    <w:spacing w:before="13" w:line="247" w:lineRule="auto"/>
                    <w:ind w:left="114" w:right="105"/>
                    <w:rPr>
                      <w:sz w:val="20"/>
                      <w:szCs w:val="20"/>
                    </w:rPr>
                  </w:pPr>
                  <w:r>
                    <w:rPr>
                      <w:spacing w:val="14"/>
                      <w:sz w:val="20"/>
                      <w:szCs w:val="20"/>
                    </w:rPr>
                    <w:t>在燃煤供热地区，推进热</w:t>
                  </w:r>
                  <w:r>
                    <w:rPr>
                      <w:spacing w:val="9"/>
                      <w:sz w:val="20"/>
                      <w:szCs w:val="20"/>
                    </w:rPr>
                    <w:t xml:space="preserve"> </w:t>
                  </w:r>
                  <w:r>
                    <w:rPr>
                      <w:spacing w:val="14"/>
                      <w:sz w:val="20"/>
                      <w:szCs w:val="20"/>
                    </w:rPr>
                    <w:t>电联产和集中供热。在集</w:t>
                  </w:r>
                  <w:r>
                    <w:rPr>
                      <w:spacing w:val="8"/>
                      <w:sz w:val="20"/>
                      <w:szCs w:val="20"/>
                    </w:rPr>
                    <w:t xml:space="preserve"> </w:t>
                  </w:r>
                  <w:r>
                    <w:rPr>
                      <w:spacing w:val="14"/>
                      <w:sz w:val="20"/>
                      <w:szCs w:val="20"/>
                    </w:rPr>
                    <w:t>中供热管网覆盖地区，禁</w:t>
                  </w:r>
                  <w:r>
                    <w:rPr>
                      <w:spacing w:val="8"/>
                      <w:sz w:val="20"/>
                      <w:szCs w:val="20"/>
                    </w:rPr>
                    <w:t xml:space="preserve"> </w:t>
                  </w:r>
                  <w:r>
                    <w:rPr>
                      <w:spacing w:val="14"/>
                      <w:sz w:val="20"/>
                      <w:szCs w:val="20"/>
                    </w:rPr>
                    <w:t>止新建、扩建分散燃煤供</w:t>
                  </w:r>
                  <w:r>
                    <w:rPr>
                      <w:spacing w:val="8"/>
                      <w:sz w:val="20"/>
                      <w:szCs w:val="20"/>
                    </w:rPr>
                    <w:t xml:space="preserve"> </w:t>
                  </w:r>
                  <w:r>
                    <w:rPr>
                      <w:spacing w:val="9"/>
                      <w:sz w:val="20"/>
                      <w:szCs w:val="20"/>
                    </w:rPr>
                    <w:t>热锅炉；</w:t>
                  </w:r>
                  <w:r>
                    <w:rPr>
                      <w:spacing w:val="-37"/>
                      <w:sz w:val="20"/>
                      <w:szCs w:val="20"/>
                    </w:rPr>
                    <w:t xml:space="preserve"> </w:t>
                  </w:r>
                  <w:r>
                    <w:rPr>
                      <w:spacing w:val="9"/>
                      <w:sz w:val="20"/>
                      <w:szCs w:val="20"/>
                    </w:rPr>
                    <w:t>已建成的不能达</w:t>
                  </w:r>
                  <w:r>
                    <w:rPr>
                      <w:sz w:val="20"/>
                      <w:szCs w:val="20"/>
                    </w:rPr>
                    <w:t xml:space="preserve"> </w:t>
                  </w:r>
                  <w:r>
                    <w:rPr>
                      <w:spacing w:val="14"/>
                      <w:sz w:val="20"/>
                      <w:szCs w:val="20"/>
                    </w:rPr>
                    <w:t>标排放的燃煤供热锅炉，</w:t>
                  </w:r>
                  <w:r>
                    <w:rPr>
                      <w:spacing w:val="8"/>
                      <w:sz w:val="20"/>
                      <w:szCs w:val="20"/>
                    </w:rPr>
                    <w:t xml:space="preserve"> </w:t>
                  </w:r>
                  <w:r>
                    <w:rPr>
                      <w:spacing w:val="14"/>
                      <w:sz w:val="20"/>
                      <w:szCs w:val="20"/>
                    </w:rPr>
                    <w:t>应当在城市人民政府规定</w:t>
                  </w:r>
                  <w:r>
                    <w:rPr>
                      <w:spacing w:val="8"/>
                      <w:sz w:val="20"/>
                      <w:szCs w:val="20"/>
                    </w:rPr>
                    <w:t xml:space="preserve"> </w:t>
                  </w:r>
                  <w:r>
                    <w:rPr>
                      <w:spacing w:val="7"/>
                      <w:sz w:val="20"/>
                      <w:szCs w:val="20"/>
                    </w:rPr>
                    <w:t>的期限内拆除。</w:t>
                  </w:r>
                </w:p>
              </w:tc>
              <w:tc>
                <w:tcPr>
                  <w:tcW w:w="1853" w:type="dxa"/>
                  <w:tcBorders>
                    <w:top w:val="nil"/>
                    <w:bottom w:val="single" w:color="000000" w:sz="10" w:space="0"/>
                    <w:right w:val="nil"/>
                  </w:tcBorders>
                  <w:vAlign w:val="top"/>
                </w:tcPr>
                <w:p w14:paraId="5F845B6A">
                  <w:pPr>
                    <w:rPr>
                      <w:rFonts w:ascii="Arial"/>
                      <w:sz w:val="21"/>
                    </w:rPr>
                  </w:pPr>
                </w:p>
              </w:tc>
            </w:tr>
          </w:tbl>
          <w:p w14:paraId="5CEAD020">
            <w:pPr>
              <w:pStyle w:val="6"/>
              <w:spacing w:before="177" w:line="219" w:lineRule="auto"/>
              <w:ind w:left="585"/>
            </w:pPr>
            <w:r>
              <w:rPr>
                <w:spacing w:val="1"/>
              </w:rPr>
              <w:t>综上所述，本项目符合《大庆市生态环境准入清单》（</w:t>
            </w:r>
            <w:r>
              <w:rPr>
                <w:rFonts w:ascii="Times New Roman" w:hAnsi="Times New Roman" w:eastAsia="Times New Roman" w:cs="Times New Roman"/>
                <w:spacing w:val="1"/>
              </w:rPr>
              <w:t>2023</w:t>
            </w:r>
            <w:r>
              <w:rPr>
                <w:spacing w:val="1"/>
              </w:rPr>
              <w:t>年版）中相关</w:t>
            </w:r>
          </w:p>
          <w:p w14:paraId="7770CC7C">
            <w:pPr>
              <w:pStyle w:val="6"/>
              <w:spacing w:before="196" w:line="219" w:lineRule="auto"/>
              <w:ind w:left="131"/>
            </w:pPr>
            <w:r>
              <w:rPr>
                <w:spacing w:val="-13"/>
              </w:rPr>
              <w:t>内容。</w:t>
            </w:r>
          </w:p>
          <w:p w14:paraId="61C6411E">
            <w:pPr>
              <w:pStyle w:val="6"/>
              <w:spacing w:before="132" w:line="219" w:lineRule="auto"/>
              <w:ind w:left="577"/>
            </w:pPr>
            <w:r>
              <w:rPr>
                <w:rFonts w:ascii="Times New Roman" w:hAnsi="Times New Roman" w:eastAsia="Times New Roman" w:cs="Times New Roman"/>
                <w:b/>
                <w:bCs/>
                <w:spacing w:val="-6"/>
              </w:rPr>
              <w:t>3</w:t>
            </w:r>
            <w:r>
              <w:rPr>
                <w:rFonts w:ascii="Times New Roman" w:hAnsi="Times New Roman" w:eastAsia="Times New Roman" w:cs="Times New Roman"/>
                <w:b/>
                <w:bCs/>
                <w:spacing w:val="-33"/>
              </w:rPr>
              <w:t xml:space="preserve"> </w:t>
            </w:r>
            <w:r>
              <w:rPr>
                <w:b/>
                <w:bCs/>
                <w:spacing w:val="-6"/>
              </w:rPr>
              <w:t>、与“三区三线</w:t>
            </w:r>
            <w:r>
              <w:rPr>
                <w:spacing w:val="-86"/>
              </w:rPr>
              <w:t xml:space="preserve"> </w:t>
            </w:r>
            <w:r>
              <w:rPr>
                <w:b/>
                <w:bCs/>
                <w:spacing w:val="-6"/>
              </w:rPr>
              <w:t>”的符合性分析</w:t>
            </w:r>
          </w:p>
          <w:p w14:paraId="037752EB">
            <w:pPr>
              <w:pStyle w:val="6"/>
              <w:spacing w:before="183" w:line="357" w:lineRule="auto"/>
              <w:ind w:left="90" w:right="35" w:firstLine="497"/>
            </w:pPr>
            <w:r>
              <w:rPr>
                <w:spacing w:val="-1"/>
              </w:rPr>
              <w:t>《关于建立国土空间规划体系并监督实施的若干意见》、《关于建立以国</w:t>
            </w:r>
            <w:r>
              <w:rPr>
                <w:spacing w:val="7"/>
              </w:rPr>
              <w:t xml:space="preserve">  </w:t>
            </w:r>
            <w:r>
              <w:t xml:space="preserve">家公园为主体的自然保护地体系指导意见》等文件指出：正确处理自然资源保  </w:t>
            </w:r>
            <w:r>
              <w:rPr>
                <w:spacing w:val="-1"/>
              </w:rPr>
              <w:t>护与开发的关系具有重大意义。其中，科学划定“三区三线</w:t>
            </w:r>
            <w:r>
              <w:rPr>
                <w:spacing w:val="-85"/>
              </w:rPr>
              <w:t xml:space="preserve"> </w:t>
            </w:r>
            <w:r>
              <w:rPr>
                <w:spacing w:val="-1"/>
              </w:rPr>
              <w:t>”，区划生产、生</w:t>
            </w:r>
            <w:r>
              <w:t xml:space="preserve">  活、生态“三生</w:t>
            </w:r>
            <w:r>
              <w:rPr>
                <w:spacing w:val="-86"/>
              </w:rPr>
              <w:t xml:space="preserve"> </w:t>
            </w:r>
            <w:r>
              <w:t xml:space="preserve">”空间，是协调自然资源科学保护与合理利用的基础性工作。 </w:t>
            </w:r>
            <w:r>
              <w:rPr>
                <w:spacing w:val="-4"/>
              </w:rPr>
              <w:t>“三区三线</w:t>
            </w:r>
            <w:r>
              <w:rPr>
                <w:spacing w:val="-88"/>
              </w:rPr>
              <w:t xml:space="preserve"> </w:t>
            </w:r>
            <w:r>
              <w:rPr>
                <w:spacing w:val="-4"/>
              </w:rPr>
              <w:t>”是指生态保护红线、永久基本农田保护区和城镇开</w:t>
            </w:r>
            <w:r>
              <w:rPr>
                <w:spacing w:val="-5"/>
              </w:rPr>
              <w:t>发边界管控区，</w:t>
            </w:r>
            <w:r>
              <w:t xml:space="preserve"> 这三个区域是我国土地空间生态保护和资源节约利用的战略性保障。而“三线  </w:t>
            </w:r>
            <w:r>
              <w:rPr>
                <w:spacing w:val="-1"/>
              </w:rPr>
              <w:t>一单</w:t>
            </w:r>
            <w:r>
              <w:rPr>
                <w:spacing w:val="-85"/>
              </w:rPr>
              <w:t xml:space="preserve"> </w:t>
            </w:r>
            <w:r>
              <w:rPr>
                <w:spacing w:val="-1"/>
              </w:rPr>
              <w:t>”则是指三条红线和一个总量控制单元。其中，三条红线分别是生态保护</w:t>
            </w:r>
            <w:r>
              <w:t xml:space="preserve">  红线、基本农田保护红线和城市建设用地增减挂钩红线，而总量控制单元则是  指城市建成区和工业园区内新建、改扩建项目。</w:t>
            </w:r>
          </w:p>
          <w:p w14:paraId="40AC3355">
            <w:pPr>
              <w:pStyle w:val="6"/>
              <w:spacing w:before="42" w:line="354" w:lineRule="auto"/>
              <w:ind w:left="90" w:right="97" w:firstLine="492"/>
            </w:pPr>
            <w:r>
              <w:rPr>
                <w:spacing w:val="1"/>
              </w:rPr>
              <w:t>本项目位于大庆市林甸县，根据《黑龙江省环境管控单元》（</w:t>
            </w:r>
            <w:r>
              <w:rPr>
                <w:rFonts w:ascii="Times New Roman" w:hAnsi="Times New Roman" w:eastAsia="Times New Roman" w:cs="Times New Roman"/>
                <w:spacing w:val="1"/>
              </w:rPr>
              <w:t>2023</w:t>
            </w:r>
            <w:r>
              <w:rPr>
                <w:spacing w:val="1"/>
              </w:rPr>
              <w:t>年</w:t>
            </w:r>
            <w:r>
              <w:t xml:space="preserve">版） </w:t>
            </w:r>
            <w:r>
              <w:rPr>
                <w:spacing w:val="-2"/>
              </w:rPr>
              <w:t>“三线一单</w:t>
            </w:r>
            <w:r>
              <w:rPr>
                <w:spacing w:val="-83"/>
              </w:rPr>
              <w:t xml:space="preserve"> </w:t>
            </w:r>
            <w:r>
              <w:rPr>
                <w:spacing w:val="-2"/>
              </w:rPr>
              <w:t>”分析内容，所在区域属于重点管控单元。“三区三线</w:t>
            </w:r>
            <w:r>
              <w:rPr>
                <w:spacing w:val="-88"/>
              </w:rPr>
              <w:t xml:space="preserve"> </w:t>
            </w:r>
            <w:r>
              <w:rPr>
                <w:spacing w:val="-2"/>
              </w:rPr>
              <w:t>”中，三区</w:t>
            </w:r>
            <w:r>
              <w:t xml:space="preserve"> 是指农业空间、生态空间、城镇空间三种类型的国土空间；三线分别对应在农</w:t>
            </w:r>
            <w:r>
              <w:rPr>
                <w:spacing w:val="1"/>
              </w:rPr>
              <w:t xml:space="preserve"> </w:t>
            </w:r>
            <w:r>
              <w:t>业空间、生态空间、城镇空间划定的永久基本农田保护红线、生态保护红线和</w:t>
            </w:r>
            <w:r>
              <w:rPr>
                <w:spacing w:val="1"/>
              </w:rPr>
              <w:t xml:space="preserve"> </w:t>
            </w:r>
            <w:r>
              <w:rPr>
                <w:spacing w:val="-1"/>
              </w:rPr>
              <w:t>城镇开发边界三条控制线。黑龙江省“三区三线</w:t>
            </w:r>
            <w:r>
              <w:rPr>
                <w:spacing w:val="-85"/>
              </w:rPr>
              <w:t xml:space="preserve"> </w:t>
            </w:r>
            <w:r>
              <w:rPr>
                <w:spacing w:val="-1"/>
              </w:rPr>
              <w:t>”划定成果通过自然资源部质</w:t>
            </w:r>
            <w:r>
              <w:t xml:space="preserve"> </w:t>
            </w:r>
            <w:r>
              <w:rPr>
                <w:spacing w:val="-3"/>
              </w:rPr>
              <w:t>检，并于</w:t>
            </w:r>
            <w:r>
              <w:rPr>
                <w:spacing w:val="-55"/>
              </w:rPr>
              <w:t xml:space="preserve"> </w:t>
            </w:r>
            <w:r>
              <w:rPr>
                <w:rFonts w:ascii="Times New Roman" w:hAnsi="Times New Roman" w:eastAsia="Times New Roman" w:cs="Times New Roman"/>
                <w:spacing w:val="-3"/>
              </w:rPr>
              <w:t xml:space="preserve">2022 </w:t>
            </w:r>
            <w:r>
              <w:rPr>
                <w:spacing w:val="-3"/>
              </w:rPr>
              <w:t>年</w:t>
            </w:r>
            <w:r>
              <w:rPr>
                <w:spacing w:val="-32"/>
              </w:rPr>
              <w:t xml:space="preserve"> </w:t>
            </w:r>
            <w:r>
              <w:rPr>
                <w:rFonts w:ascii="Times New Roman" w:hAnsi="Times New Roman" w:eastAsia="Times New Roman" w:cs="Times New Roman"/>
                <w:spacing w:val="-3"/>
              </w:rPr>
              <w:t xml:space="preserve">11 </w:t>
            </w:r>
            <w:r>
              <w:rPr>
                <w:spacing w:val="-3"/>
              </w:rPr>
              <w:t>月</w:t>
            </w:r>
            <w:r>
              <w:rPr>
                <w:spacing w:val="-32"/>
              </w:rPr>
              <w:t xml:space="preserve"> </w:t>
            </w:r>
            <w:r>
              <w:rPr>
                <w:rFonts w:ascii="Times New Roman" w:hAnsi="Times New Roman" w:eastAsia="Times New Roman" w:cs="Times New Roman"/>
                <w:spacing w:val="-3"/>
              </w:rPr>
              <w:t xml:space="preserve">1  </w:t>
            </w:r>
            <w:r>
              <w:rPr>
                <w:spacing w:val="-3"/>
              </w:rPr>
              <w:t>日经自然资源部正式批准启用。根据</w:t>
            </w:r>
            <w:r>
              <w:rPr>
                <w:spacing w:val="-4"/>
              </w:rPr>
              <w:t>《黑龙江省生态</w:t>
            </w:r>
            <w:r>
              <w:t xml:space="preserve"> </w:t>
            </w:r>
            <w:r>
              <w:rPr>
                <w:spacing w:val="-5"/>
              </w:rPr>
              <w:t>环境分区管控动态更新成果（</w:t>
            </w:r>
            <w:r>
              <w:rPr>
                <w:rFonts w:ascii="Times New Roman" w:hAnsi="Times New Roman" w:eastAsia="Times New Roman" w:cs="Times New Roman"/>
                <w:spacing w:val="-5"/>
              </w:rPr>
              <w:t>2023</w:t>
            </w:r>
            <w:r>
              <w:rPr>
                <w:spacing w:val="-5"/>
              </w:rPr>
              <w:t>年版）》中《黑龙江省环境管控单元》（</w:t>
            </w:r>
            <w:r>
              <w:rPr>
                <w:rFonts w:ascii="Times New Roman" w:hAnsi="Times New Roman" w:eastAsia="Times New Roman" w:cs="Times New Roman"/>
                <w:spacing w:val="-5"/>
              </w:rPr>
              <w:t>2023</w:t>
            </w:r>
            <w:r>
              <w:rPr>
                <w:rFonts w:ascii="Times New Roman" w:hAnsi="Times New Roman" w:eastAsia="Times New Roman" w:cs="Times New Roman"/>
                <w:spacing w:val="18"/>
                <w:w w:val="101"/>
              </w:rPr>
              <w:t xml:space="preserve"> </w:t>
            </w:r>
            <w:r>
              <w:rPr>
                <w:spacing w:val="2"/>
              </w:rPr>
              <w:t>年版）、《黑龙江省生态环境总体准入要求》（</w:t>
            </w:r>
            <w:r>
              <w:rPr>
                <w:rFonts w:ascii="Times New Roman" w:hAnsi="Times New Roman" w:eastAsia="Times New Roman" w:cs="Times New Roman"/>
                <w:spacing w:val="2"/>
              </w:rPr>
              <w:t>2023</w:t>
            </w:r>
            <w:r>
              <w:rPr>
                <w:spacing w:val="1"/>
              </w:rPr>
              <w:t>年版）和《大庆市生态环</w:t>
            </w:r>
            <w:r>
              <w:t xml:space="preserve"> </w:t>
            </w:r>
            <w:r>
              <w:rPr>
                <w:spacing w:val="-1"/>
              </w:rPr>
              <w:t>境准入清单》（</w:t>
            </w:r>
            <w:r>
              <w:rPr>
                <w:rFonts w:ascii="Times New Roman" w:hAnsi="Times New Roman" w:eastAsia="Times New Roman" w:cs="Times New Roman"/>
                <w:spacing w:val="-1"/>
              </w:rPr>
              <w:t xml:space="preserve">2023 </w:t>
            </w:r>
            <w:r>
              <w:rPr>
                <w:spacing w:val="-1"/>
              </w:rPr>
              <w:t>年版</w:t>
            </w:r>
            <w:r>
              <w:rPr>
                <w:spacing w:val="-2"/>
              </w:rPr>
              <w:t>），</w:t>
            </w:r>
            <w:r>
              <w:rPr>
                <w:spacing w:val="-1"/>
              </w:rPr>
              <w:t>本项目不在“大庆市</w:t>
            </w:r>
            <w:r>
              <w:rPr>
                <w:spacing w:val="-2"/>
              </w:rPr>
              <w:t>生态红线图（</w:t>
            </w:r>
            <w:r>
              <w:rPr>
                <w:rFonts w:ascii="Times New Roman" w:hAnsi="Times New Roman" w:eastAsia="Times New Roman" w:cs="Times New Roman"/>
                <w:spacing w:val="-2"/>
              </w:rPr>
              <w:t xml:space="preserve">2023 </w:t>
            </w:r>
            <w:r>
              <w:rPr>
                <w:spacing w:val="-2"/>
              </w:rPr>
              <w:t>年）”生</w:t>
            </w:r>
            <w:r>
              <w:t xml:space="preserve"> </w:t>
            </w:r>
            <w:r>
              <w:rPr>
                <w:spacing w:val="-1"/>
              </w:rPr>
              <w:t>态红线范围内；根据《自然资源部办公厅关于依据“三区三线</w:t>
            </w:r>
            <w:r>
              <w:rPr>
                <w:spacing w:val="-85"/>
              </w:rPr>
              <w:t xml:space="preserve"> </w:t>
            </w:r>
            <w:r>
              <w:rPr>
                <w:spacing w:val="-1"/>
              </w:rPr>
              <w:t>”划定成果报批</w:t>
            </w:r>
            <w:r>
              <w:t xml:space="preserve"> </w:t>
            </w:r>
            <w:r>
              <w:rPr>
                <w:spacing w:val="-1"/>
              </w:rPr>
              <w:t>建设项目用地用海有关事宜的函》（自然资办函〔</w:t>
            </w:r>
            <w:r>
              <w:rPr>
                <w:rFonts w:ascii="Times New Roman" w:hAnsi="Times New Roman" w:eastAsia="Times New Roman" w:cs="Times New Roman"/>
                <w:spacing w:val="-1"/>
              </w:rPr>
              <w:t>2022</w:t>
            </w:r>
            <w:r>
              <w:rPr>
                <w:spacing w:val="-1"/>
              </w:rPr>
              <w:t>〕</w:t>
            </w:r>
            <w:r>
              <w:rPr>
                <w:rFonts w:ascii="Times New Roman" w:hAnsi="Times New Roman" w:eastAsia="Times New Roman" w:cs="Times New Roman"/>
                <w:spacing w:val="-1"/>
              </w:rPr>
              <w:t>2072</w:t>
            </w:r>
            <w:r>
              <w:rPr>
                <w:rFonts w:ascii="Times New Roman" w:hAnsi="Times New Roman" w:eastAsia="Times New Roman" w:cs="Times New Roman"/>
                <w:spacing w:val="15"/>
              </w:rPr>
              <w:t xml:space="preserve"> </w:t>
            </w:r>
            <w:r>
              <w:rPr>
                <w:spacing w:val="-1"/>
              </w:rPr>
              <w:t>号</w:t>
            </w:r>
            <w:r>
              <w:rPr>
                <w:spacing w:val="11"/>
              </w:rPr>
              <w:t>），</w:t>
            </w:r>
            <w:r>
              <w:rPr>
                <w:spacing w:val="-1"/>
              </w:rPr>
              <w:t>本项目位</w:t>
            </w:r>
            <w:r>
              <w:t xml:space="preserve"> 于重点管控单元，且本项目所在区域内无自然保护区、风景名胜区、水源地保</w:t>
            </w:r>
            <w:r>
              <w:rPr>
                <w:spacing w:val="1"/>
              </w:rPr>
              <w:t xml:space="preserve"> </w:t>
            </w:r>
            <w:r>
              <w:t>护区、野生动植物保护区及重要湿地分布，本项目选址不在特殊重要生态功能</w:t>
            </w:r>
          </w:p>
        </w:tc>
      </w:tr>
    </w:tbl>
    <w:p w14:paraId="71FB9D47">
      <w:pPr>
        <w:pStyle w:val="2"/>
      </w:pPr>
    </w:p>
    <w:p w14:paraId="678C7E31">
      <w:pPr>
        <w:sectPr>
          <w:footerReference r:id="rId10"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05679C75">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23" w:hRule="atLeast"/>
        </w:trPr>
        <w:tc>
          <w:tcPr>
            <w:tcW w:w="494" w:type="dxa"/>
            <w:tcBorders>
              <w:right w:val="single" w:color="000000" w:sz="2" w:space="0"/>
            </w:tcBorders>
            <w:vAlign w:val="top"/>
          </w:tcPr>
          <w:p w14:paraId="510E3E21">
            <w:pPr>
              <w:rPr>
                <w:rFonts w:ascii="Arial"/>
                <w:sz w:val="21"/>
              </w:rPr>
            </w:pPr>
          </w:p>
        </w:tc>
        <w:tc>
          <w:tcPr>
            <w:tcW w:w="8428" w:type="dxa"/>
            <w:tcBorders>
              <w:left w:val="single" w:color="000000" w:sz="2" w:space="0"/>
            </w:tcBorders>
            <w:vAlign w:val="top"/>
          </w:tcPr>
          <w:p w14:paraId="21E91B1F">
            <w:pPr>
              <w:pStyle w:val="6"/>
              <w:spacing w:before="101" w:line="219" w:lineRule="auto"/>
              <w:ind w:left="120"/>
            </w:pPr>
            <w:r>
              <w:rPr>
                <w:spacing w:val="-3"/>
              </w:rPr>
              <w:t>区域内，因此项目建设符合“三区三线</w:t>
            </w:r>
            <w:r>
              <w:rPr>
                <w:spacing w:val="-86"/>
              </w:rPr>
              <w:t xml:space="preserve"> </w:t>
            </w:r>
            <w:r>
              <w:rPr>
                <w:spacing w:val="-3"/>
              </w:rPr>
              <w:t>”要求。</w:t>
            </w:r>
          </w:p>
          <w:p w14:paraId="47467D3E">
            <w:pPr>
              <w:pStyle w:val="6"/>
              <w:spacing w:before="104" w:line="219" w:lineRule="auto"/>
              <w:ind w:left="579"/>
            </w:pPr>
            <w:r>
              <w:rPr>
                <w:rFonts w:ascii="Times New Roman" w:hAnsi="Times New Roman" w:eastAsia="Times New Roman" w:cs="Times New Roman"/>
                <w:b/>
                <w:bCs/>
                <w:spacing w:val="-3"/>
              </w:rPr>
              <w:t>4</w:t>
            </w:r>
            <w:r>
              <w:rPr>
                <w:rFonts w:ascii="Times New Roman" w:hAnsi="Times New Roman" w:eastAsia="Times New Roman" w:cs="Times New Roman"/>
                <w:b/>
                <w:bCs/>
                <w:spacing w:val="-34"/>
              </w:rPr>
              <w:t xml:space="preserve"> </w:t>
            </w:r>
            <w:r>
              <w:rPr>
                <w:b/>
                <w:bCs/>
                <w:spacing w:val="-3"/>
              </w:rPr>
              <w:t>、与《黑龙江省大气污染防治条例》符合性分析</w:t>
            </w:r>
          </w:p>
          <w:p w14:paraId="40A85666">
            <w:pPr>
              <w:pStyle w:val="6"/>
              <w:spacing w:before="180" w:line="355" w:lineRule="auto"/>
              <w:ind w:left="101" w:right="97" w:firstLine="480"/>
              <w:jc w:val="both"/>
            </w:pPr>
            <w:r>
              <w:rPr>
                <w:spacing w:val="-3"/>
              </w:rPr>
              <w:t>根据</w:t>
            </w:r>
            <w:r>
              <w:rPr>
                <w:spacing w:val="-64"/>
              </w:rPr>
              <w:t xml:space="preserve"> </w:t>
            </w:r>
            <w:r>
              <w:rPr>
                <w:rFonts w:ascii="Times New Roman" w:hAnsi="Times New Roman" w:eastAsia="Times New Roman" w:cs="Times New Roman"/>
                <w:spacing w:val="-3"/>
              </w:rPr>
              <w:t xml:space="preserve">2018 </w:t>
            </w:r>
            <w:r>
              <w:rPr>
                <w:spacing w:val="-3"/>
              </w:rPr>
              <w:t>年</w:t>
            </w:r>
            <w:r>
              <w:rPr>
                <w:spacing w:val="-42"/>
              </w:rPr>
              <w:t xml:space="preserve"> </w:t>
            </w:r>
            <w:r>
              <w:rPr>
                <w:rFonts w:ascii="Times New Roman" w:hAnsi="Times New Roman" w:eastAsia="Times New Roman" w:cs="Times New Roman"/>
                <w:spacing w:val="-3"/>
              </w:rPr>
              <w:t xml:space="preserve">12 </w:t>
            </w:r>
            <w:r>
              <w:rPr>
                <w:spacing w:val="-3"/>
              </w:rPr>
              <w:t>月</w:t>
            </w:r>
            <w:r>
              <w:rPr>
                <w:spacing w:val="-64"/>
              </w:rPr>
              <w:t xml:space="preserve"> </w:t>
            </w:r>
            <w:r>
              <w:rPr>
                <w:rFonts w:ascii="Times New Roman" w:hAnsi="Times New Roman" w:eastAsia="Times New Roman" w:cs="Times New Roman"/>
                <w:spacing w:val="-3"/>
              </w:rPr>
              <w:t>27</w:t>
            </w:r>
            <w:r>
              <w:rPr>
                <w:rFonts w:ascii="Times New Roman" w:hAnsi="Times New Roman" w:eastAsia="Times New Roman" w:cs="Times New Roman"/>
                <w:spacing w:val="41"/>
              </w:rPr>
              <w:t xml:space="preserve"> </w:t>
            </w:r>
            <w:r>
              <w:rPr>
                <w:spacing w:val="-3"/>
              </w:rPr>
              <w:t>日黑龙江省第十三届人民代表大会</w:t>
            </w:r>
            <w:r>
              <w:rPr>
                <w:spacing w:val="-4"/>
              </w:rPr>
              <w:t>常务委员会第八次</w:t>
            </w:r>
            <w:r>
              <w:t xml:space="preserve"> </w:t>
            </w:r>
            <w:r>
              <w:rPr>
                <w:spacing w:val="1"/>
              </w:rPr>
              <w:t>会议《黑龙江省人民代表大会常务委员会关于修改〈黑龙江省大气污染防治条</w:t>
            </w:r>
            <w:r>
              <w:rPr>
                <w:spacing w:val="18"/>
              </w:rPr>
              <w:t xml:space="preserve"> </w:t>
            </w:r>
            <w:r>
              <w:rPr>
                <w:spacing w:val="1"/>
              </w:rPr>
              <w:t>例〉的决定》修正，“第十条企业事业单位和其他生产经营者建设对大气环境</w:t>
            </w:r>
            <w:r>
              <w:rPr>
                <w:spacing w:val="18"/>
              </w:rPr>
              <w:t xml:space="preserve"> </w:t>
            </w:r>
            <w:r>
              <w:rPr>
                <w:spacing w:val="1"/>
              </w:rPr>
              <w:t>有影响的项目，应当依法进行环境影响评价、公开环境影响评价文件；向大气</w:t>
            </w:r>
            <w:r>
              <w:rPr>
                <w:spacing w:val="18"/>
              </w:rPr>
              <w:t xml:space="preserve"> </w:t>
            </w:r>
            <w:r>
              <w:rPr>
                <w:spacing w:val="1"/>
              </w:rPr>
              <w:t>排放污染物的，应当符合大气污染物排放标准，遵守重点大气污染物排放总量</w:t>
            </w:r>
            <w:r>
              <w:rPr>
                <w:spacing w:val="18"/>
              </w:rPr>
              <w:t xml:space="preserve"> </w:t>
            </w:r>
            <w:r>
              <w:rPr>
                <w:spacing w:val="-2"/>
              </w:rPr>
              <w:t>控制要求</w:t>
            </w:r>
            <w:r>
              <w:rPr>
                <w:spacing w:val="-85"/>
              </w:rPr>
              <w:t xml:space="preserve"> </w:t>
            </w:r>
            <w:r>
              <w:rPr>
                <w:spacing w:val="-2"/>
              </w:rPr>
              <w:t>”。</w:t>
            </w:r>
          </w:p>
          <w:p w14:paraId="66EFE1B8">
            <w:pPr>
              <w:pStyle w:val="6"/>
              <w:spacing w:before="32" w:line="347" w:lineRule="auto"/>
              <w:ind w:left="102" w:right="97" w:firstLine="480"/>
            </w:pPr>
            <w:r>
              <w:rPr>
                <w:spacing w:val="1"/>
              </w:rPr>
              <w:t>本项目环境影响评价文件将在当地生态环境局官方网站进行公示，运行期</w:t>
            </w:r>
            <w:r>
              <w:rPr>
                <w:spacing w:val="18"/>
              </w:rPr>
              <w:t xml:space="preserve"> </w:t>
            </w:r>
            <w:r>
              <w:rPr>
                <w:spacing w:val="-1"/>
              </w:rPr>
              <w:t>排放的大气污染物经污染防治设施治理后能够实现达标排放。</w:t>
            </w:r>
          </w:p>
          <w:p w14:paraId="7A23530D">
            <w:pPr>
              <w:pStyle w:val="6"/>
              <w:spacing w:before="28" w:line="356" w:lineRule="auto"/>
              <w:ind w:left="102" w:right="97" w:firstLine="480"/>
            </w:pPr>
            <w:r>
              <w:rPr>
                <w:spacing w:val="1"/>
              </w:rPr>
              <w:t>燃煤电厂、燃煤供热锅炉以及其他燃煤单位，应当采用清洁生产工艺，配</w:t>
            </w:r>
            <w:r>
              <w:rPr>
                <w:spacing w:val="18"/>
              </w:rPr>
              <w:t xml:space="preserve"> </w:t>
            </w:r>
            <w:r>
              <w:rPr>
                <w:spacing w:val="1"/>
              </w:rPr>
              <w:t>套建设除尘、脱硫、脱硝等装置或者采用技术改造等措施，减少大气污染物的</w:t>
            </w:r>
            <w:r>
              <w:rPr>
                <w:spacing w:val="17"/>
              </w:rPr>
              <w:t xml:space="preserve"> </w:t>
            </w:r>
            <w:r>
              <w:rPr>
                <w:spacing w:val="1"/>
              </w:rPr>
              <w:t>产生和排放，排放的大气污染物应当达到规定标准。设区的市级城市建成区内</w:t>
            </w:r>
            <w:r>
              <w:rPr>
                <w:spacing w:val="17"/>
              </w:rPr>
              <w:t xml:space="preserve"> </w:t>
            </w:r>
            <w:r>
              <w:rPr>
                <w:spacing w:val="1"/>
              </w:rPr>
              <w:t>禁止新建额定蒸发量低于每小时二十吨或者额定功率于十四兆瓦的燃煤锅炉；</w:t>
            </w:r>
            <w:r>
              <w:rPr>
                <w:spacing w:val="15"/>
              </w:rPr>
              <w:t xml:space="preserve"> </w:t>
            </w:r>
            <w:r>
              <w:rPr>
                <w:spacing w:val="1"/>
              </w:rPr>
              <w:t>已经建成的额定蒸发量每小时十吨以下或者额定功率七兆瓦以下的燃煤锅炉，</w:t>
            </w:r>
            <w:r>
              <w:rPr>
                <w:spacing w:val="17"/>
              </w:rPr>
              <w:t xml:space="preserve"> </w:t>
            </w:r>
            <w:r>
              <w:rPr>
                <w:spacing w:val="1"/>
              </w:rPr>
              <w:t>应当在国家规定的期限内淘汰。国家对新建和淘汰燃煤锅炉另有规定的，从其</w:t>
            </w:r>
            <w:r>
              <w:rPr>
                <w:spacing w:val="17"/>
              </w:rPr>
              <w:t xml:space="preserve"> </w:t>
            </w:r>
            <w:r>
              <w:rPr>
                <w:spacing w:val="-4"/>
              </w:rPr>
              <w:t>规定。</w:t>
            </w:r>
          </w:p>
          <w:p w14:paraId="006398B5">
            <w:pPr>
              <w:pStyle w:val="6"/>
              <w:spacing w:before="32" w:line="345" w:lineRule="auto"/>
              <w:ind w:left="102" w:right="97" w:firstLine="480"/>
            </w:pPr>
            <w:r>
              <w:rPr>
                <w:spacing w:val="1"/>
              </w:rPr>
              <w:t>本项目生产不用热，冬季取暖采用电取暖，不涉及燃煤锅炉等设备，符合</w:t>
            </w:r>
            <w:r>
              <w:rPr>
                <w:spacing w:val="18"/>
              </w:rPr>
              <w:t xml:space="preserve"> </w:t>
            </w:r>
            <w:r>
              <w:rPr>
                <w:spacing w:val="-2"/>
              </w:rPr>
              <w:t>相关要求。</w:t>
            </w:r>
          </w:p>
          <w:p w14:paraId="7DD10225">
            <w:pPr>
              <w:pStyle w:val="6"/>
              <w:spacing w:before="36" w:line="350" w:lineRule="auto"/>
              <w:ind w:left="103" w:right="97" w:firstLine="467"/>
              <w:jc w:val="both"/>
            </w:pPr>
            <w:r>
              <w:rPr>
                <w:spacing w:val="2"/>
              </w:rPr>
              <w:t>“第十一条向大气排放污染物的企业事业单位和其他生产经营者，应当配</w:t>
            </w:r>
            <w:r>
              <w:t xml:space="preserve"> </w:t>
            </w:r>
            <w:r>
              <w:rPr>
                <w:spacing w:val="1"/>
              </w:rPr>
              <w:t>套建设大气污染防治设施。配套建设的大气污染防治设施，应当与主体工程同</w:t>
            </w:r>
            <w:r>
              <w:rPr>
                <w:spacing w:val="16"/>
              </w:rPr>
              <w:t xml:space="preserve"> </w:t>
            </w:r>
            <w:r>
              <w:rPr>
                <w:spacing w:val="-1"/>
              </w:rPr>
              <w:t>时设计、同时施工、同时投产使用，不得擅自拆除或者闲置</w:t>
            </w:r>
            <w:r>
              <w:rPr>
                <w:spacing w:val="-71"/>
              </w:rPr>
              <w:t xml:space="preserve"> </w:t>
            </w:r>
            <w:r>
              <w:rPr>
                <w:spacing w:val="-1"/>
              </w:rPr>
              <w:t>”。</w:t>
            </w:r>
          </w:p>
          <w:p w14:paraId="49E64688">
            <w:pPr>
              <w:pStyle w:val="6"/>
              <w:spacing w:before="35" w:line="345" w:lineRule="auto"/>
              <w:ind w:left="106" w:right="97" w:firstLine="477"/>
            </w:pPr>
            <w:r>
              <w:rPr>
                <w:spacing w:val="1"/>
              </w:rPr>
              <w:t>本项目将按法律要求，污染防治设施与主体设施同步建设与运行，确保运</w:t>
            </w:r>
            <w:r>
              <w:rPr>
                <w:spacing w:val="18"/>
              </w:rPr>
              <w:t xml:space="preserve"> </w:t>
            </w:r>
            <w:r>
              <w:rPr>
                <w:spacing w:val="-1"/>
              </w:rPr>
              <w:t>行期大气污染物达标排放。符合《黑龙江省大气污染防治条例》要求。</w:t>
            </w:r>
          </w:p>
          <w:p w14:paraId="1B950F18">
            <w:pPr>
              <w:pStyle w:val="6"/>
              <w:spacing w:before="38" w:line="210" w:lineRule="auto"/>
              <w:ind w:left="581"/>
            </w:pPr>
            <w:r>
              <w:rPr>
                <w:rFonts w:ascii="Times New Roman" w:hAnsi="Times New Roman" w:eastAsia="Times New Roman" w:cs="Times New Roman"/>
                <w:b/>
                <w:bCs/>
                <w:spacing w:val="-3"/>
              </w:rPr>
              <w:t>5</w:t>
            </w:r>
            <w:r>
              <w:rPr>
                <w:rFonts w:ascii="Times New Roman" w:hAnsi="Times New Roman" w:eastAsia="Times New Roman" w:cs="Times New Roman"/>
                <w:b/>
                <w:bCs/>
                <w:spacing w:val="-22"/>
              </w:rPr>
              <w:t xml:space="preserve"> </w:t>
            </w:r>
            <w:r>
              <w:rPr>
                <w:b/>
                <w:bCs/>
                <w:spacing w:val="-3"/>
              </w:rPr>
              <w:t>、与《黑龙江省大气污染防治行动计划实施细则》</w:t>
            </w:r>
            <w:r>
              <w:rPr>
                <w:rFonts w:ascii="Times New Roman" w:hAnsi="Times New Roman" w:eastAsia="Times New Roman" w:cs="Times New Roman"/>
                <w:b/>
                <w:bCs/>
                <w:spacing w:val="-3"/>
              </w:rPr>
              <w:t>[2014]1</w:t>
            </w:r>
            <w:r>
              <w:rPr>
                <w:rFonts w:ascii="Times New Roman" w:hAnsi="Times New Roman" w:eastAsia="Times New Roman" w:cs="Times New Roman"/>
                <w:b/>
                <w:bCs/>
                <w:spacing w:val="15"/>
              </w:rPr>
              <w:t xml:space="preserve"> </w:t>
            </w:r>
            <w:r>
              <w:rPr>
                <w:b/>
                <w:bCs/>
                <w:spacing w:val="-3"/>
              </w:rPr>
              <w:t>号符合性分析</w:t>
            </w:r>
          </w:p>
          <w:p w14:paraId="5A73959E">
            <w:pPr>
              <w:pStyle w:val="6"/>
              <w:spacing w:before="189" w:line="354" w:lineRule="auto"/>
              <w:ind w:left="101" w:right="97" w:firstLine="483"/>
              <w:jc w:val="both"/>
            </w:pPr>
            <w:r>
              <w:rPr>
                <w:spacing w:val="-3"/>
              </w:rPr>
              <w:t>为认真贯彻落实</w:t>
            </w:r>
            <w:r>
              <w:rPr>
                <w:spacing w:val="-51"/>
              </w:rPr>
              <w:t xml:space="preserve"> </w:t>
            </w:r>
            <w:r>
              <w:rPr>
                <w:rFonts w:ascii="Times New Roman" w:hAnsi="Times New Roman" w:eastAsia="Times New Roman" w:cs="Times New Roman"/>
                <w:spacing w:val="-3"/>
              </w:rPr>
              <w:t xml:space="preserve">2013 </w:t>
            </w:r>
            <w:r>
              <w:rPr>
                <w:spacing w:val="-3"/>
              </w:rPr>
              <w:t>年</w:t>
            </w:r>
            <w:r>
              <w:rPr>
                <w:spacing w:val="-50"/>
              </w:rPr>
              <w:t xml:space="preserve"> </w:t>
            </w:r>
            <w:r>
              <w:rPr>
                <w:rFonts w:ascii="Times New Roman" w:hAnsi="Times New Roman" w:eastAsia="Times New Roman" w:cs="Times New Roman"/>
                <w:spacing w:val="-3"/>
              </w:rPr>
              <w:t>9</w:t>
            </w:r>
            <w:r>
              <w:rPr>
                <w:rFonts w:ascii="Times New Roman" w:hAnsi="Times New Roman" w:eastAsia="Times New Roman" w:cs="Times New Roman"/>
                <w:spacing w:val="15"/>
              </w:rPr>
              <w:t xml:space="preserve"> </w:t>
            </w:r>
            <w:r>
              <w:rPr>
                <w:spacing w:val="-3"/>
              </w:rPr>
              <w:t>月国务院印发的《大气污染防治行动计划》中要</w:t>
            </w:r>
            <w:r>
              <w:t xml:space="preserve"> 求</w:t>
            </w:r>
            <w:r>
              <w:rPr>
                <w:spacing w:val="-41"/>
              </w:rPr>
              <w:t>，（</w:t>
            </w:r>
            <w:r>
              <w:t>一）加大综合治理力度，全面推进大气污染</w:t>
            </w:r>
            <w:r>
              <w:rPr>
                <w:spacing w:val="-1"/>
              </w:rPr>
              <w:t>物减排。</w:t>
            </w:r>
            <w:r>
              <w:rPr>
                <w:rFonts w:ascii="Times New Roman" w:hAnsi="Times New Roman" w:eastAsia="Times New Roman" w:cs="Times New Roman"/>
                <w:spacing w:val="-1"/>
              </w:rPr>
              <w:t>1</w:t>
            </w:r>
            <w:r>
              <w:rPr>
                <w:rFonts w:ascii="Times New Roman" w:hAnsi="Times New Roman" w:eastAsia="Times New Roman" w:cs="Times New Roman"/>
                <w:spacing w:val="-33"/>
              </w:rPr>
              <w:t xml:space="preserve"> </w:t>
            </w:r>
            <w:r>
              <w:rPr>
                <w:spacing w:val="-1"/>
              </w:rPr>
              <w:t>、加大集中供热工</w:t>
            </w:r>
            <w:r>
              <w:t xml:space="preserve"> 程建设，淘汰分散燃煤小锅炉。积极推进“三供两治</w:t>
            </w:r>
            <w:r>
              <w:rPr>
                <w:spacing w:val="-68"/>
              </w:rPr>
              <w:t xml:space="preserve"> </w:t>
            </w:r>
            <w:r>
              <w:t xml:space="preserve">”工程项目建设，加大城 </w:t>
            </w:r>
            <w:r>
              <w:rPr>
                <w:spacing w:val="1"/>
              </w:rPr>
              <w:t>市及周边现有燃煤发电机组的供热改造力度，推进大型集中供热企业接收分散</w:t>
            </w:r>
            <w:r>
              <w:rPr>
                <w:spacing w:val="18"/>
              </w:rPr>
              <w:t xml:space="preserve"> </w:t>
            </w:r>
            <w:r>
              <w:rPr>
                <w:spacing w:val="1"/>
              </w:rPr>
              <w:t>供热小锅炉，拔除小烟筒。积极推进城镇供热锅炉并网工作，加快完善热网和</w:t>
            </w:r>
          </w:p>
        </w:tc>
      </w:tr>
    </w:tbl>
    <w:p w14:paraId="26FFE85E">
      <w:pPr>
        <w:pStyle w:val="2"/>
        <w:spacing w:line="222" w:lineRule="exact"/>
        <w:rPr>
          <w:sz w:val="19"/>
        </w:rPr>
      </w:pPr>
    </w:p>
    <w:p w14:paraId="46AAE5E0">
      <w:pPr>
        <w:spacing w:line="222" w:lineRule="exact"/>
        <w:rPr>
          <w:sz w:val="19"/>
          <w:szCs w:val="19"/>
        </w:rPr>
        <w:sectPr>
          <w:footerReference r:id="rId11" w:type="default"/>
          <w:pgSz w:w="11906" w:h="16839"/>
          <w:pgMar w:top="1270" w:right="1479" w:bottom="1261"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349F564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22" w:hRule="atLeast"/>
        </w:trPr>
        <w:tc>
          <w:tcPr>
            <w:tcW w:w="494" w:type="dxa"/>
            <w:tcBorders>
              <w:right w:val="single" w:color="000000" w:sz="2" w:space="0"/>
            </w:tcBorders>
            <w:vAlign w:val="top"/>
          </w:tcPr>
          <w:p w14:paraId="6EDBBD03">
            <w:pPr>
              <w:rPr>
                <w:rFonts w:ascii="Arial"/>
                <w:sz w:val="21"/>
              </w:rPr>
            </w:pPr>
          </w:p>
        </w:tc>
        <w:tc>
          <w:tcPr>
            <w:tcW w:w="8428" w:type="dxa"/>
            <w:tcBorders>
              <w:left w:val="single" w:color="000000" w:sz="2" w:space="0"/>
            </w:tcBorders>
            <w:vAlign w:val="top"/>
          </w:tcPr>
          <w:p w14:paraId="6E022FB6">
            <w:pPr>
              <w:pStyle w:val="6"/>
              <w:spacing w:before="14" w:line="358" w:lineRule="auto"/>
              <w:ind w:left="101" w:right="97" w:firstLine="5"/>
            </w:pPr>
            <w:r>
              <w:rPr>
                <w:spacing w:val="1"/>
              </w:rPr>
              <w:t>热源基础设施建设及供热老旧管网改造，提高集中供热管网输送能力，扩大集</w:t>
            </w:r>
            <w:r>
              <w:rPr>
                <w:spacing w:val="13"/>
              </w:rPr>
              <w:t xml:space="preserve"> </w:t>
            </w:r>
            <w:r>
              <w:rPr>
                <w:spacing w:val="1"/>
              </w:rPr>
              <w:t>中供热面积，供热供气管网覆盖不到的城乡结合部，要改用电、新能源、洁净</w:t>
            </w:r>
            <w:r>
              <w:rPr>
                <w:spacing w:val="18"/>
              </w:rPr>
              <w:t xml:space="preserve"> </w:t>
            </w:r>
            <w:r>
              <w:rPr>
                <w:spacing w:val="3"/>
              </w:rPr>
              <w:t>煤或再生能源，推广应用高效节能环保型锅炉</w:t>
            </w:r>
            <w:r>
              <w:rPr>
                <w:spacing w:val="-17"/>
              </w:rPr>
              <w:t>；（</w:t>
            </w:r>
            <w:r>
              <w:rPr>
                <w:spacing w:val="3"/>
              </w:rPr>
              <w:t>二</w:t>
            </w:r>
            <w:r>
              <w:rPr>
                <w:spacing w:val="2"/>
              </w:rPr>
              <w:t>）突出重点，加强重点行</w:t>
            </w:r>
            <w:r>
              <w:rPr>
                <w:spacing w:val="1"/>
              </w:rPr>
              <w:t xml:space="preserve"> </w:t>
            </w:r>
            <w:r>
              <w:rPr>
                <w:spacing w:val="-2"/>
              </w:rPr>
              <w:t>业大气污染治理。加强对燃煤锅炉及窑炉等治理。规模在</w:t>
            </w:r>
            <w:r>
              <w:rPr>
                <w:spacing w:val="-55"/>
              </w:rPr>
              <w:t xml:space="preserve"> </w:t>
            </w:r>
            <w:r>
              <w:rPr>
                <w:rFonts w:ascii="Times New Roman" w:hAnsi="Times New Roman" w:eastAsia="Times New Roman" w:cs="Times New Roman"/>
                <w:spacing w:val="-2"/>
              </w:rPr>
              <w:t xml:space="preserve">20 </w:t>
            </w:r>
            <w:r>
              <w:rPr>
                <w:spacing w:val="-2"/>
              </w:rPr>
              <w:t>蒸吨及以上的燃煤</w:t>
            </w:r>
            <w:r>
              <w:t xml:space="preserve"> </w:t>
            </w:r>
            <w:r>
              <w:rPr>
                <w:spacing w:val="1"/>
              </w:rPr>
              <w:t>锅炉要实施烟气脱硫，确保达标排放。综合考虑加大动力煤洗选力度、清洁能</w:t>
            </w:r>
            <w:r>
              <w:rPr>
                <w:spacing w:val="18"/>
              </w:rPr>
              <w:t xml:space="preserve"> </w:t>
            </w:r>
            <w:r>
              <w:t>源替代等多种措施。冲天炉完成电炉改造，或实施每小时</w:t>
            </w:r>
            <w:r>
              <w:rPr>
                <w:spacing w:val="-31"/>
              </w:rPr>
              <w:t xml:space="preserve"> </w:t>
            </w:r>
            <w:r>
              <w:rPr>
                <w:rFonts w:ascii="Times New Roman" w:hAnsi="Times New Roman" w:eastAsia="Times New Roman" w:cs="Times New Roman"/>
              </w:rPr>
              <w:t>5</w:t>
            </w:r>
            <w:r>
              <w:rPr>
                <w:rFonts w:ascii="Times New Roman" w:hAnsi="Times New Roman" w:eastAsia="Times New Roman" w:cs="Times New Roman"/>
                <w:spacing w:val="21"/>
              </w:rPr>
              <w:t xml:space="preserve"> </w:t>
            </w:r>
            <w:r>
              <w:t xml:space="preserve">吨以上热风炉和湿 </w:t>
            </w:r>
            <w:r>
              <w:rPr>
                <w:spacing w:val="1"/>
              </w:rPr>
              <w:t>式除尘器改造，实现稳定达标排放。燃煤窑炉完成煤气发生炉、水煤浆燃烧器</w:t>
            </w:r>
            <w:r>
              <w:rPr>
                <w:spacing w:val="18"/>
              </w:rPr>
              <w:t xml:space="preserve"> </w:t>
            </w:r>
            <w:r>
              <w:rPr>
                <w:spacing w:val="1"/>
              </w:rPr>
              <w:t>等技术改造或使用清洁能源，实现达标排放。（四）严格节能环保准入，积极</w:t>
            </w:r>
            <w:r>
              <w:rPr>
                <w:spacing w:val="18"/>
              </w:rPr>
              <w:t xml:space="preserve"> </w:t>
            </w:r>
            <w:r>
              <w:rPr>
                <w:spacing w:val="1"/>
              </w:rPr>
              <w:t>调整产业结构严格产业环境准入。严控高污染、高耗能行业新增产能，全省不</w:t>
            </w:r>
            <w:r>
              <w:rPr>
                <w:spacing w:val="18"/>
              </w:rPr>
              <w:t xml:space="preserve"> </w:t>
            </w:r>
            <w:r>
              <w:rPr>
                <w:spacing w:val="1"/>
              </w:rPr>
              <w:t>再审批新增加产能的钢铁、水泥、平板玻璃、电解铝等严重过剩产能项目。建</w:t>
            </w:r>
            <w:r>
              <w:rPr>
                <w:spacing w:val="18"/>
              </w:rPr>
              <w:t xml:space="preserve"> </w:t>
            </w:r>
            <w:r>
              <w:t>成区以外的市辖区范围内禁止新建、扩建除“上大压小</w:t>
            </w:r>
            <w:r>
              <w:rPr>
                <w:spacing w:val="-68"/>
              </w:rPr>
              <w:t xml:space="preserve"> </w:t>
            </w:r>
            <w:r>
              <w:t xml:space="preserve">”和热电联产以外的燃 </w:t>
            </w:r>
            <w:r>
              <w:rPr>
                <w:spacing w:val="-2"/>
              </w:rPr>
              <w:t>煤电厂，禁止新建火电、石化、有色金属冶炼、化工以及燃煤锅炉等项目。 将</w:t>
            </w:r>
            <w:r>
              <w:rPr>
                <w:spacing w:val="2"/>
              </w:rPr>
              <w:t xml:space="preserve"> </w:t>
            </w:r>
            <w:r>
              <w:rPr>
                <w:spacing w:val="1"/>
              </w:rPr>
              <w:t>二氧化硫、氮氧化物、烟粉尘、挥发性有机物排放总量控制要求作为项目环境</w:t>
            </w:r>
            <w:r>
              <w:rPr>
                <w:spacing w:val="18"/>
              </w:rPr>
              <w:t xml:space="preserve"> </w:t>
            </w:r>
            <w:r>
              <w:rPr>
                <w:spacing w:val="1"/>
              </w:rPr>
              <w:t>影响评价审批的前置条件。对未通过能评、环评审查的项目，有关部门不得审</w:t>
            </w:r>
            <w:r>
              <w:rPr>
                <w:spacing w:val="18"/>
              </w:rPr>
              <w:t xml:space="preserve"> </w:t>
            </w:r>
            <w:r>
              <w:rPr>
                <w:spacing w:val="1"/>
              </w:rPr>
              <w:t>批、核准、备案，不得提供土地，不得批准开工建设，不得发放生产许可证、</w:t>
            </w:r>
            <w:r>
              <w:rPr>
                <w:spacing w:val="18"/>
              </w:rPr>
              <w:t xml:space="preserve"> </w:t>
            </w:r>
            <w:r>
              <w:rPr>
                <w:spacing w:val="1"/>
              </w:rPr>
              <w:t>安全生产许可证、排污许可证，金融机构不得提供任何形式的新增授信支持，</w:t>
            </w:r>
            <w:r>
              <w:rPr>
                <w:spacing w:val="18"/>
              </w:rPr>
              <w:t xml:space="preserve"> </w:t>
            </w:r>
            <w:r>
              <w:rPr>
                <w:spacing w:val="1"/>
              </w:rPr>
              <w:t>有关单位不得供电、供水。本项目为废旧农机具拆解项目，不属于高耗能、高</w:t>
            </w:r>
            <w:r>
              <w:rPr>
                <w:spacing w:val="18"/>
              </w:rPr>
              <w:t xml:space="preserve"> </w:t>
            </w:r>
            <w:r>
              <w:rPr>
                <w:spacing w:val="1"/>
              </w:rPr>
              <w:t>污染行业，不属于两高项目，建成后冬季取暖采用电取暖，不使用煤炭作为燃</w:t>
            </w:r>
            <w:r>
              <w:rPr>
                <w:spacing w:val="18"/>
              </w:rPr>
              <w:t xml:space="preserve"> </w:t>
            </w:r>
            <w:r>
              <w:rPr>
                <w:spacing w:val="-5"/>
              </w:rPr>
              <w:t>料。</w:t>
            </w:r>
          </w:p>
          <w:p w14:paraId="5423076C">
            <w:pPr>
              <w:pStyle w:val="6"/>
              <w:spacing w:before="35" w:line="350" w:lineRule="auto"/>
              <w:ind w:left="103" w:right="97" w:firstLine="478"/>
              <w:jc w:val="both"/>
            </w:pPr>
            <w:r>
              <w:rPr>
                <w:rFonts w:ascii="Times New Roman" w:hAnsi="Times New Roman" w:eastAsia="Times New Roman" w:cs="Times New Roman"/>
                <w:b/>
                <w:bCs/>
                <w:spacing w:val="3"/>
              </w:rPr>
              <w:t>6</w:t>
            </w:r>
            <w:r>
              <w:rPr>
                <w:rFonts w:ascii="Times New Roman" w:hAnsi="Times New Roman" w:eastAsia="Times New Roman" w:cs="Times New Roman"/>
                <w:b/>
                <w:bCs/>
                <w:spacing w:val="-26"/>
              </w:rPr>
              <w:t xml:space="preserve"> </w:t>
            </w:r>
            <w:r>
              <w:rPr>
                <w:b/>
                <w:bCs/>
                <w:spacing w:val="3"/>
              </w:rPr>
              <w:t>、与《黑龙江省城乡固体废物分类治理布局规划（</w:t>
            </w:r>
            <w:r>
              <w:rPr>
                <w:rFonts w:ascii="Times New Roman" w:hAnsi="Times New Roman" w:eastAsia="Times New Roman" w:cs="Times New Roman"/>
                <w:b/>
                <w:bCs/>
                <w:spacing w:val="3"/>
              </w:rPr>
              <w:t xml:space="preserve">2019-2035  </w:t>
            </w:r>
            <w:r>
              <w:rPr>
                <w:b/>
                <w:bCs/>
                <w:spacing w:val="3"/>
              </w:rPr>
              <w:t>年）</w:t>
            </w:r>
            <w:r>
              <w:rPr>
                <w:rFonts w:ascii="Times New Roman" w:hAnsi="Times New Roman" w:eastAsia="Times New Roman" w:cs="Times New Roman"/>
                <w:b/>
                <w:bCs/>
                <w:spacing w:val="3"/>
              </w:rPr>
              <w:t>20</w:t>
            </w:r>
            <w:r>
              <w:rPr>
                <w:rFonts w:ascii="Times New Roman" w:hAnsi="Times New Roman" w:eastAsia="Times New Roman" w:cs="Times New Roman"/>
                <w:b/>
                <w:bCs/>
                <w:spacing w:val="2"/>
              </w:rPr>
              <w:t>21</w:t>
            </w:r>
            <w:r>
              <w:rPr>
                <w:rFonts w:ascii="Times New Roman" w:hAnsi="Times New Roman" w:eastAsia="Times New Roman" w:cs="Times New Roman"/>
                <w:b/>
                <w:bCs/>
              </w:rPr>
              <w:t xml:space="preserve">  </w:t>
            </w:r>
            <w:r>
              <w:rPr>
                <w:b/>
                <w:bCs/>
                <w:spacing w:val="4"/>
              </w:rPr>
              <w:t>年修订版》、《黑龙江省大庆市城乡固体废物分类治理</w:t>
            </w:r>
            <w:r>
              <w:rPr>
                <w:b/>
                <w:bCs/>
                <w:spacing w:val="3"/>
              </w:rPr>
              <w:t>专项规划（</w:t>
            </w:r>
            <w:r>
              <w:rPr>
                <w:rFonts w:ascii="Times New Roman" w:hAnsi="Times New Roman" w:eastAsia="Times New Roman" w:cs="Times New Roman"/>
                <w:b/>
                <w:bCs/>
                <w:spacing w:val="3"/>
              </w:rPr>
              <w:t>2019-2035</w:t>
            </w:r>
            <w:r>
              <w:rPr>
                <w:rFonts w:ascii="Times New Roman" w:hAnsi="Times New Roman" w:eastAsia="Times New Roman" w:cs="Times New Roman"/>
                <w:b/>
                <w:bCs/>
              </w:rPr>
              <w:t xml:space="preserve">  </w:t>
            </w:r>
            <w:r>
              <w:rPr>
                <w:b/>
                <w:bCs/>
                <w:spacing w:val="-3"/>
              </w:rPr>
              <w:t>年）》的符合性分析</w:t>
            </w:r>
          </w:p>
          <w:p w14:paraId="4164D01C">
            <w:pPr>
              <w:pStyle w:val="6"/>
              <w:spacing w:before="30" w:line="354" w:lineRule="auto"/>
              <w:ind w:left="101" w:right="97" w:firstLine="486"/>
              <w:jc w:val="both"/>
            </w:pPr>
            <w:r>
              <w:t>《黑龙江省城乡固体废物分类治理布局规划（</w:t>
            </w:r>
            <w:r>
              <w:rPr>
                <w:rFonts w:ascii="Times New Roman" w:hAnsi="Times New Roman" w:eastAsia="Times New Roman" w:cs="Times New Roman"/>
              </w:rPr>
              <w:t>20</w:t>
            </w:r>
            <w:r>
              <w:rPr>
                <w:rFonts w:ascii="Times New Roman" w:hAnsi="Times New Roman" w:eastAsia="Times New Roman" w:cs="Times New Roman"/>
                <w:spacing w:val="-1"/>
              </w:rPr>
              <w:t xml:space="preserve">19-2035 </w:t>
            </w:r>
            <w:r>
              <w:rPr>
                <w:spacing w:val="-1"/>
              </w:rPr>
              <w:t>年）</w:t>
            </w:r>
            <w:r>
              <w:rPr>
                <w:rFonts w:ascii="Times New Roman" w:hAnsi="Times New Roman" w:eastAsia="Times New Roman" w:cs="Times New Roman"/>
                <w:spacing w:val="-1"/>
              </w:rPr>
              <w:t xml:space="preserve">2021 </w:t>
            </w:r>
            <w:r>
              <w:rPr>
                <w:spacing w:val="-1"/>
              </w:rPr>
              <w:t>年修订</w:t>
            </w:r>
            <w:r>
              <w:t xml:space="preserve">  </w:t>
            </w:r>
            <w:r>
              <w:rPr>
                <w:spacing w:val="-5"/>
              </w:rPr>
              <w:t>版》中一般工业固体废物布局原则：</w:t>
            </w:r>
            <w:r>
              <w:rPr>
                <w:rFonts w:ascii="Times New Roman" w:hAnsi="Times New Roman" w:eastAsia="Times New Roman" w:cs="Times New Roman"/>
                <w:spacing w:val="-5"/>
              </w:rPr>
              <w:t>1.</w:t>
            </w:r>
            <w:r>
              <w:rPr>
                <w:rFonts w:ascii="Times New Roman" w:hAnsi="Times New Roman" w:eastAsia="Times New Roman" w:cs="Times New Roman"/>
                <w:spacing w:val="-8"/>
              </w:rPr>
              <w:t xml:space="preserve"> </w:t>
            </w:r>
            <w:r>
              <w:rPr>
                <w:spacing w:val="-5"/>
              </w:rPr>
              <w:t>以资源化利用为主，优先考虑纳入静脉产</w:t>
            </w:r>
            <w:r>
              <w:t xml:space="preserve"> </w:t>
            </w:r>
            <w:r>
              <w:rPr>
                <w:spacing w:val="-1"/>
              </w:rPr>
              <w:t>业园，综合利用建材类产品辐射半径不超过</w:t>
            </w:r>
            <w:r>
              <w:rPr>
                <w:spacing w:val="-55"/>
              </w:rPr>
              <w:t xml:space="preserve"> </w:t>
            </w:r>
            <w:r>
              <w:rPr>
                <w:rFonts w:ascii="Times New Roman" w:hAnsi="Times New Roman" w:eastAsia="Times New Roman" w:cs="Times New Roman"/>
                <w:spacing w:val="-1"/>
              </w:rPr>
              <w:t>200km</w:t>
            </w:r>
            <w:r>
              <w:rPr>
                <w:rFonts w:ascii="Times New Roman" w:hAnsi="Times New Roman" w:eastAsia="Times New Roman" w:cs="Times New Roman"/>
                <w:spacing w:val="-26"/>
              </w:rPr>
              <w:t xml:space="preserve"> </w:t>
            </w:r>
            <w:r>
              <w:rPr>
                <w:spacing w:val="-1"/>
              </w:rPr>
              <w:t>。</w:t>
            </w:r>
            <w:r>
              <w:rPr>
                <w:rFonts w:ascii="Times New Roman" w:hAnsi="Times New Roman" w:eastAsia="Times New Roman" w:cs="Times New Roman"/>
                <w:spacing w:val="-1"/>
              </w:rPr>
              <w:t>2</w:t>
            </w:r>
            <w:r>
              <w:rPr>
                <w:rFonts w:ascii="Times New Roman" w:hAnsi="Times New Roman" w:eastAsia="Times New Roman" w:cs="Times New Roman"/>
                <w:spacing w:val="-2"/>
              </w:rPr>
              <w:t>.</w:t>
            </w:r>
            <w:r>
              <w:rPr>
                <w:spacing w:val="-2"/>
              </w:rPr>
              <w:t>跨区域统筹建设资源化</w:t>
            </w:r>
            <w:r>
              <w:t xml:space="preserve">  利用项目，以园区、基地为载体，综合利用产业集聚模</w:t>
            </w:r>
            <w:r>
              <w:rPr>
                <w:spacing w:val="-1"/>
              </w:rPr>
              <w:t>式发展，多种固废协同</w:t>
            </w:r>
            <w:r>
              <w:t xml:space="preserve"> </w:t>
            </w:r>
            <w:r>
              <w:rPr>
                <w:spacing w:val="-2"/>
              </w:rPr>
              <w:t xml:space="preserve">利用。 </w:t>
            </w:r>
            <w:r>
              <w:rPr>
                <w:rFonts w:ascii="Times New Roman" w:hAnsi="Times New Roman" w:eastAsia="Times New Roman" w:cs="Times New Roman"/>
                <w:spacing w:val="-2"/>
              </w:rPr>
              <w:t>3.</w:t>
            </w:r>
            <w:r>
              <w:rPr>
                <w:rFonts w:ascii="Times New Roman" w:hAnsi="Times New Roman" w:eastAsia="Times New Roman" w:cs="Times New Roman"/>
                <w:spacing w:val="-8"/>
              </w:rPr>
              <w:t xml:space="preserve"> </w:t>
            </w:r>
            <w:r>
              <w:rPr>
                <w:spacing w:val="-2"/>
              </w:rPr>
              <w:t>以产业布局、人口、距离以及资源化利用项目统筹设置。</w:t>
            </w:r>
          </w:p>
          <w:p w14:paraId="0669F0DF">
            <w:pPr>
              <w:pStyle w:val="6"/>
              <w:spacing w:before="36" w:line="350" w:lineRule="auto"/>
              <w:ind w:left="101" w:right="97" w:firstLine="486"/>
              <w:jc w:val="both"/>
            </w:pPr>
            <w:r>
              <w:rPr>
                <w:spacing w:val="-2"/>
              </w:rPr>
              <w:t>《黑龙江省大庆市城乡固体废物分类治理专项</w:t>
            </w:r>
            <w:r>
              <w:rPr>
                <w:spacing w:val="-3"/>
              </w:rPr>
              <w:t>规划（</w:t>
            </w:r>
            <w:r>
              <w:rPr>
                <w:rFonts w:ascii="Times New Roman" w:hAnsi="Times New Roman" w:eastAsia="Times New Roman" w:cs="Times New Roman"/>
                <w:spacing w:val="-3"/>
              </w:rPr>
              <w:t xml:space="preserve">2019-2035 </w:t>
            </w:r>
            <w:r>
              <w:rPr>
                <w:spacing w:val="-3"/>
              </w:rPr>
              <w:t>年）》近期</w:t>
            </w:r>
            <w:r>
              <w:t xml:space="preserve"> 规划目标：加强中小型工业企业一般工业固体废物排放</w:t>
            </w:r>
            <w:r>
              <w:rPr>
                <w:spacing w:val="-1"/>
              </w:rPr>
              <w:t>监管力度，加大一般工</w:t>
            </w:r>
            <w:r>
              <w:t xml:space="preserve"> 业固体废物收集率、处置率和利用率，降低贮存量，基</w:t>
            </w:r>
            <w:r>
              <w:rPr>
                <w:spacing w:val="-1"/>
              </w:rPr>
              <w:t>本建成覆盖全市的一般</w:t>
            </w:r>
          </w:p>
        </w:tc>
      </w:tr>
    </w:tbl>
    <w:p w14:paraId="726D5EE2">
      <w:pPr>
        <w:pStyle w:val="2"/>
        <w:spacing w:line="222" w:lineRule="exact"/>
        <w:rPr>
          <w:sz w:val="19"/>
        </w:rPr>
      </w:pPr>
    </w:p>
    <w:p w14:paraId="3CFC5252">
      <w:pPr>
        <w:spacing w:line="222" w:lineRule="exact"/>
        <w:rPr>
          <w:sz w:val="19"/>
          <w:szCs w:val="19"/>
        </w:rPr>
        <w:sectPr>
          <w:footerReference r:id="rId12"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2EB8CCBE">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PrEx>
        <w:trPr>
          <w:trHeight w:val="14022" w:hRule="atLeast"/>
        </w:trPr>
        <w:tc>
          <w:tcPr>
            <w:tcW w:w="494" w:type="dxa"/>
            <w:tcBorders>
              <w:right w:val="single" w:color="000000" w:sz="2" w:space="0"/>
            </w:tcBorders>
            <w:vAlign w:val="top"/>
          </w:tcPr>
          <w:p w14:paraId="6D5F3844">
            <w:pPr>
              <w:rPr>
                <w:rFonts w:ascii="Arial"/>
                <w:sz w:val="21"/>
              </w:rPr>
            </w:pPr>
          </w:p>
        </w:tc>
        <w:tc>
          <w:tcPr>
            <w:tcW w:w="8428" w:type="dxa"/>
            <w:tcBorders>
              <w:left w:val="single" w:color="000000" w:sz="2" w:space="0"/>
            </w:tcBorders>
            <w:vAlign w:val="top"/>
          </w:tcPr>
          <w:p w14:paraId="77594342">
            <w:pPr>
              <w:pStyle w:val="6"/>
              <w:spacing w:before="19" w:line="354" w:lineRule="auto"/>
              <w:ind w:left="102" w:right="35" w:firstLine="2"/>
            </w:pPr>
            <w:r>
              <w:rPr>
                <w:spacing w:val="-4"/>
              </w:rPr>
              <w:t>工业固体废物资源化和无害化处理处置体系。规</w:t>
            </w:r>
            <w:r>
              <w:rPr>
                <w:spacing w:val="-5"/>
              </w:rPr>
              <w:t>划近期资源化利用率达到</w:t>
            </w:r>
            <w:r>
              <w:rPr>
                <w:spacing w:val="-51"/>
              </w:rPr>
              <w:t xml:space="preserve"> </w:t>
            </w:r>
            <w:r>
              <w:rPr>
                <w:rFonts w:ascii="Times New Roman" w:hAnsi="Times New Roman" w:eastAsia="Times New Roman" w:cs="Times New Roman"/>
                <w:spacing w:val="-5"/>
              </w:rPr>
              <w:t>75%</w:t>
            </w:r>
            <w:r>
              <w:rPr>
                <w:spacing w:val="-5"/>
              </w:rPr>
              <w:t>，</w:t>
            </w:r>
            <w:r>
              <w:t xml:space="preserve"> </w:t>
            </w:r>
            <w:r>
              <w:rPr>
                <w:spacing w:val="-2"/>
              </w:rPr>
              <w:t>利用处置率达到</w:t>
            </w:r>
            <w:r>
              <w:rPr>
                <w:spacing w:val="-34"/>
              </w:rPr>
              <w:t xml:space="preserve"> </w:t>
            </w:r>
            <w:r>
              <w:rPr>
                <w:rFonts w:ascii="Times New Roman" w:hAnsi="Times New Roman" w:eastAsia="Times New Roman" w:cs="Times New Roman"/>
                <w:spacing w:val="-2"/>
              </w:rPr>
              <w:t>80%</w:t>
            </w:r>
            <w:r>
              <w:rPr>
                <w:rFonts w:ascii="Times New Roman" w:hAnsi="Times New Roman" w:eastAsia="Times New Roman" w:cs="Times New Roman"/>
                <w:spacing w:val="-28"/>
              </w:rPr>
              <w:t xml:space="preserve"> </w:t>
            </w:r>
            <w:r>
              <w:rPr>
                <w:spacing w:val="-2"/>
              </w:rPr>
              <w:t>。中期规划目标：进一步加强对一般工业固体废物分类收</w:t>
            </w:r>
            <w:r>
              <w:t xml:space="preserve">  集、贮存、运输、利用、处置监管力度，提高再生资源回收行业标准化水平，</w:t>
            </w:r>
            <w:r>
              <w:rPr>
                <w:spacing w:val="18"/>
              </w:rPr>
              <w:t xml:space="preserve"> </w:t>
            </w:r>
            <w:r>
              <w:rPr>
                <w:spacing w:val="-2"/>
              </w:rPr>
              <w:t>积极推进再生资源行业技术进步。规划中期资源化利用率达到</w:t>
            </w:r>
            <w:r>
              <w:rPr>
                <w:spacing w:val="-30"/>
              </w:rPr>
              <w:t xml:space="preserve"> </w:t>
            </w:r>
            <w:r>
              <w:rPr>
                <w:rFonts w:ascii="Times New Roman" w:hAnsi="Times New Roman" w:eastAsia="Times New Roman" w:cs="Times New Roman"/>
                <w:spacing w:val="-2"/>
              </w:rPr>
              <w:t>80%</w:t>
            </w:r>
            <w:r>
              <w:rPr>
                <w:rFonts w:ascii="Times New Roman" w:hAnsi="Times New Roman" w:eastAsia="Times New Roman" w:cs="Times New Roman"/>
                <w:spacing w:val="-32"/>
              </w:rPr>
              <w:t xml:space="preserve"> </w:t>
            </w:r>
            <w:r>
              <w:rPr>
                <w:spacing w:val="-2"/>
              </w:rPr>
              <w:t>，利用处置</w:t>
            </w:r>
            <w:r>
              <w:t xml:space="preserve">  </w:t>
            </w:r>
            <w:r>
              <w:rPr>
                <w:spacing w:val="-3"/>
              </w:rPr>
              <w:t>率达到</w:t>
            </w:r>
            <w:r>
              <w:rPr>
                <w:spacing w:val="-50"/>
              </w:rPr>
              <w:t xml:space="preserve"> </w:t>
            </w:r>
            <w:r>
              <w:rPr>
                <w:rFonts w:ascii="Times New Roman" w:hAnsi="Times New Roman" w:eastAsia="Times New Roman" w:cs="Times New Roman"/>
                <w:spacing w:val="-3"/>
              </w:rPr>
              <w:t>90%</w:t>
            </w:r>
            <w:r>
              <w:rPr>
                <w:spacing w:val="-3"/>
              </w:rPr>
              <w:t>。</w:t>
            </w:r>
          </w:p>
          <w:p w14:paraId="454DCDDD">
            <w:pPr>
              <w:pStyle w:val="6"/>
              <w:spacing w:before="37" w:line="357" w:lineRule="auto"/>
              <w:ind w:left="100" w:right="17" w:firstLine="480"/>
              <w:jc w:val="both"/>
            </w:pPr>
            <w:r>
              <w:rPr>
                <w:spacing w:val="-4"/>
              </w:rPr>
              <w:t>选址条件：</w:t>
            </w:r>
            <w:r>
              <w:rPr>
                <w:rFonts w:ascii="Times New Roman" w:hAnsi="Times New Roman" w:eastAsia="Times New Roman" w:cs="Times New Roman"/>
                <w:spacing w:val="-4"/>
              </w:rPr>
              <w:t>1.</w:t>
            </w:r>
            <w:r>
              <w:rPr>
                <w:spacing w:val="-4"/>
              </w:rPr>
              <w:t>位于城市主导风向下风向，交通运输便利，地下水源下游，离</w:t>
            </w:r>
            <w:r>
              <w:rPr>
                <w:spacing w:val="8"/>
              </w:rPr>
              <w:t xml:space="preserve"> </w:t>
            </w:r>
            <w:r>
              <w:rPr>
                <w:spacing w:val="-4"/>
              </w:rPr>
              <w:t>产废量较大企业距离近，与静脉产业园位置相同。</w:t>
            </w:r>
            <w:r>
              <w:rPr>
                <w:rFonts w:ascii="Times New Roman" w:hAnsi="Times New Roman" w:eastAsia="Times New Roman" w:cs="Times New Roman"/>
                <w:spacing w:val="-4"/>
              </w:rPr>
              <w:t>2.</w:t>
            </w:r>
            <w:r>
              <w:rPr>
                <w:spacing w:val="-4"/>
              </w:rPr>
              <w:t>远离居民区，与居民区距离</w:t>
            </w:r>
            <w:r>
              <w:rPr>
                <w:spacing w:val="17"/>
              </w:rPr>
              <w:t xml:space="preserve"> </w:t>
            </w:r>
            <w:r>
              <w:rPr>
                <w:spacing w:val="-4"/>
              </w:rPr>
              <w:t>满足环保要求。</w:t>
            </w:r>
            <w:r>
              <w:rPr>
                <w:rFonts w:ascii="Times New Roman" w:hAnsi="Times New Roman" w:eastAsia="Times New Roman" w:cs="Times New Roman"/>
                <w:spacing w:val="-4"/>
              </w:rPr>
              <w:t>3.</w:t>
            </w:r>
            <w:r>
              <w:rPr>
                <w:spacing w:val="-4"/>
              </w:rPr>
              <w:t>有可靠的电力供应，具备满足工程建设的工程地质条件和水文</w:t>
            </w:r>
            <w:r>
              <w:rPr>
                <w:spacing w:val="17"/>
              </w:rPr>
              <w:t xml:space="preserve"> </w:t>
            </w:r>
            <w:r>
              <w:rPr>
                <w:spacing w:val="-8"/>
              </w:rPr>
              <w:t>地质条件，不受洪水或内涝威胁。</w:t>
            </w:r>
            <w:r>
              <w:rPr>
                <w:rFonts w:ascii="Times New Roman" w:hAnsi="Times New Roman" w:eastAsia="Times New Roman" w:cs="Times New Roman"/>
                <w:spacing w:val="-8"/>
              </w:rPr>
              <w:t>4.</w:t>
            </w:r>
            <w:r>
              <w:rPr>
                <w:spacing w:val="-8"/>
              </w:rPr>
              <w:t>尽量远离生态保护红线区域，设定防护距离。</w:t>
            </w:r>
            <w:r>
              <w:rPr>
                <w:spacing w:val="10"/>
              </w:rPr>
              <w:t xml:space="preserve"> </w:t>
            </w:r>
            <w:r>
              <w:rPr>
                <w:spacing w:val="-4"/>
              </w:rPr>
              <w:t>符合与“三区三线</w:t>
            </w:r>
            <w:r>
              <w:rPr>
                <w:spacing w:val="-89"/>
              </w:rPr>
              <w:t xml:space="preserve"> </w:t>
            </w:r>
            <w:r>
              <w:rPr>
                <w:spacing w:val="-4"/>
              </w:rPr>
              <w:t>”配套的综合利用空间管控措施</w:t>
            </w:r>
            <w:r>
              <w:rPr>
                <w:spacing w:val="-5"/>
              </w:rPr>
              <w:t>要求。</w:t>
            </w:r>
            <w:r>
              <w:rPr>
                <w:rFonts w:ascii="Times New Roman" w:hAnsi="Times New Roman" w:eastAsia="Times New Roman" w:cs="Times New Roman"/>
                <w:spacing w:val="-5"/>
              </w:rPr>
              <w:t>5.</w:t>
            </w:r>
            <w:r>
              <w:rPr>
                <w:spacing w:val="-5"/>
              </w:rPr>
              <w:t>既可以靠近原料供应</w:t>
            </w:r>
            <w:r>
              <w:t xml:space="preserve"> </w:t>
            </w:r>
            <w:r>
              <w:rPr>
                <w:spacing w:val="-4"/>
              </w:rPr>
              <w:t>地，也可以靠近产品市场，土地价格低。</w:t>
            </w:r>
            <w:r>
              <w:rPr>
                <w:rFonts w:ascii="Times New Roman" w:hAnsi="Times New Roman" w:eastAsia="Times New Roman" w:cs="Times New Roman"/>
                <w:spacing w:val="-4"/>
              </w:rPr>
              <w:t>6.</w:t>
            </w:r>
            <w:r>
              <w:rPr>
                <w:spacing w:val="-4"/>
              </w:rPr>
              <w:t>应避开地下水主要补给区和饮用水源</w:t>
            </w:r>
            <w:r>
              <w:rPr>
                <w:spacing w:val="17"/>
              </w:rPr>
              <w:t xml:space="preserve"> </w:t>
            </w:r>
            <w:r>
              <w:rPr>
                <w:spacing w:val="-4"/>
              </w:rPr>
              <w:t>含水层建设。禁止在河、湖、水库最高水位线以下的滩地和洪泛区建设。</w:t>
            </w:r>
            <w:r>
              <w:rPr>
                <w:rFonts w:ascii="Times New Roman" w:hAnsi="Times New Roman" w:eastAsia="Times New Roman" w:cs="Times New Roman"/>
                <w:spacing w:val="-4"/>
              </w:rPr>
              <w:t>7.</w:t>
            </w:r>
            <w:r>
              <w:rPr>
                <w:spacing w:val="-4"/>
              </w:rPr>
              <w:t>禁止</w:t>
            </w:r>
            <w:r>
              <w:rPr>
                <w:spacing w:val="17"/>
              </w:rPr>
              <w:t xml:space="preserve"> </w:t>
            </w:r>
            <w:r>
              <w:rPr>
                <w:spacing w:val="-4"/>
              </w:rPr>
              <w:t>选在自然保护区、风景名胜区和其它需要特别保护的区域。</w:t>
            </w:r>
            <w:r>
              <w:rPr>
                <w:rFonts w:ascii="Times New Roman" w:hAnsi="Times New Roman" w:eastAsia="Times New Roman" w:cs="Times New Roman"/>
                <w:spacing w:val="-4"/>
              </w:rPr>
              <w:t>8.</w:t>
            </w:r>
            <w:r>
              <w:rPr>
                <w:spacing w:val="-4"/>
              </w:rPr>
              <w:t>应选在满足承载力</w:t>
            </w:r>
            <w:r>
              <w:rPr>
                <w:spacing w:val="17"/>
              </w:rPr>
              <w:t xml:space="preserve"> </w:t>
            </w:r>
            <w:r>
              <w:t>要求的基础上，以避免地基下沉的影响，特别是不均匀或</w:t>
            </w:r>
            <w:r>
              <w:rPr>
                <w:spacing w:val="-1"/>
              </w:rPr>
              <w:t>局部下沉的影响。应</w:t>
            </w:r>
            <w:r>
              <w:t xml:space="preserve">  </w:t>
            </w:r>
            <w:r>
              <w:rPr>
                <w:spacing w:val="-4"/>
              </w:rPr>
              <w:t>避开断层、断层破碎带、溶洞区，以及天然滑坡或泥石流影响区。</w:t>
            </w:r>
            <w:r>
              <w:rPr>
                <w:rFonts w:ascii="Times New Roman" w:hAnsi="Times New Roman" w:eastAsia="Times New Roman" w:cs="Times New Roman"/>
                <w:spacing w:val="-4"/>
              </w:rPr>
              <w:t>9.</w:t>
            </w:r>
            <w:r>
              <w:rPr>
                <w:spacing w:val="-4"/>
              </w:rPr>
              <w:t>根据所在地</w:t>
            </w:r>
            <w:r>
              <w:rPr>
                <w:spacing w:val="17"/>
              </w:rPr>
              <w:t xml:space="preserve"> </w:t>
            </w:r>
            <w:r>
              <w:rPr>
                <w:spacing w:val="-2"/>
              </w:rPr>
              <w:t>区的环境功能区类别，综合评价其对周围环境、居住人群的身体健康、</w:t>
            </w:r>
            <w:r>
              <w:rPr>
                <w:spacing w:val="-61"/>
              </w:rPr>
              <w:t xml:space="preserve"> </w:t>
            </w:r>
            <w:r>
              <w:rPr>
                <w:spacing w:val="-2"/>
              </w:rPr>
              <w:t>日常生</w:t>
            </w:r>
            <w:r>
              <w:t xml:space="preserve">  活和生产活动的影响，确定其与常住居民居住场所、农用</w:t>
            </w:r>
            <w:r>
              <w:rPr>
                <w:spacing w:val="-1"/>
              </w:rPr>
              <w:t>地、地表水体、高速</w:t>
            </w:r>
            <w:r>
              <w:t xml:space="preserve">  公路、交通主干道（国道或省道）、铁路、飞机场、军事</w:t>
            </w:r>
            <w:r>
              <w:rPr>
                <w:spacing w:val="-1"/>
              </w:rPr>
              <w:t>基地等敏感对象间合</w:t>
            </w:r>
            <w:r>
              <w:t xml:space="preserve">  </w:t>
            </w:r>
            <w:r>
              <w:rPr>
                <w:spacing w:val="-1"/>
              </w:rPr>
              <w:t>理的位置关系。</w:t>
            </w:r>
            <w:r>
              <w:rPr>
                <w:rFonts w:ascii="Times New Roman" w:hAnsi="Times New Roman" w:eastAsia="Times New Roman" w:cs="Times New Roman"/>
                <w:spacing w:val="-1"/>
              </w:rPr>
              <w:t>10.</w:t>
            </w:r>
            <w:r>
              <w:rPr>
                <w:spacing w:val="-1"/>
              </w:rPr>
              <w:t>符合国家环保要求。</w:t>
            </w:r>
          </w:p>
          <w:p w14:paraId="732351F9">
            <w:pPr>
              <w:pStyle w:val="6"/>
              <w:spacing w:before="37" w:line="356" w:lineRule="auto"/>
              <w:ind w:left="101" w:right="97" w:firstLine="481"/>
            </w:pPr>
            <w:r>
              <w:rPr>
                <w:spacing w:val="1"/>
              </w:rPr>
              <w:t>本项目主要将报废农机具进行回收拆解利用，通过拆解，切割等工艺将报</w:t>
            </w:r>
            <w:r>
              <w:rPr>
                <w:spacing w:val="18"/>
              </w:rPr>
              <w:t xml:space="preserve"> </w:t>
            </w:r>
            <w:r>
              <w:rPr>
                <w:spacing w:val="1"/>
              </w:rPr>
              <w:t>废农机拆解成各零部件材料，将拆解产物中一般工业固体废物分类回收利用，</w:t>
            </w:r>
            <w:r>
              <w:rPr>
                <w:spacing w:val="18"/>
              </w:rPr>
              <w:t xml:space="preserve"> </w:t>
            </w:r>
            <w:r>
              <w:rPr>
                <w:spacing w:val="1"/>
              </w:rPr>
              <w:t>危险废物分类暂存，委托具有相关资质的单位回收处理。本项目产生的固体废</w:t>
            </w:r>
            <w:r>
              <w:rPr>
                <w:spacing w:val="18"/>
              </w:rPr>
              <w:t xml:space="preserve"> </w:t>
            </w:r>
            <w:r>
              <w:rPr>
                <w:spacing w:val="1"/>
              </w:rPr>
              <w:t>物均放置在封闭成品库房、危险废物贮存库内，周围交通便利，有可靠的电力</w:t>
            </w:r>
            <w:r>
              <w:rPr>
                <w:spacing w:val="18"/>
              </w:rPr>
              <w:t xml:space="preserve"> </w:t>
            </w:r>
            <w:r>
              <w:rPr>
                <w:spacing w:val="1"/>
              </w:rPr>
              <w:t>供应，具备满足工程建设的工程地质条件和水文地质条件，不受洪水或内涝威</w:t>
            </w:r>
            <w:r>
              <w:rPr>
                <w:spacing w:val="18"/>
              </w:rPr>
              <w:t xml:space="preserve"> </w:t>
            </w:r>
            <w:r>
              <w:rPr>
                <w:spacing w:val="1"/>
              </w:rPr>
              <w:t>胁。项目周边无自然保护区、风景名胜区和其它需要特别保护的区域，不涉及</w:t>
            </w:r>
            <w:r>
              <w:rPr>
                <w:spacing w:val="18"/>
              </w:rPr>
              <w:t xml:space="preserve"> </w:t>
            </w:r>
            <w:r>
              <w:rPr>
                <w:spacing w:val="1"/>
              </w:rPr>
              <w:t>生态保护红线，产生的各类污染物经处理后不会对周围环境造成影响。本项目</w:t>
            </w:r>
            <w:r>
              <w:rPr>
                <w:spacing w:val="18"/>
              </w:rPr>
              <w:t xml:space="preserve"> </w:t>
            </w:r>
            <w:r>
              <w:rPr>
                <w:spacing w:val="-4"/>
              </w:rPr>
              <w:t>建设符合《黑龙江省城乡固体废物分类治理布局规划（</w:t>
            </w:r>
            <w:r>
              <w:rPr>
                <w:rFonts w:ascii="Times New Roman" w:hAnsi="Times New Roman" w:eastAsia="Times New Roman" w:cs="Times New Roman"/>
                <w:spacing w:val="-4"/>
              </w:rPr>
              <w:t xml:space="preserve">2019-2035  </w:t>
            </w:r>
            <w:r>
              <w:rPr>
                <w:spacing w:val="-4"/>
              </w:rPr>
              <w:t>年）》、《黑</w:t>
            </w:r>
            <w:r>
              <w:rPr>
                <w:spacing w:val="17"/>
              </w:rPr>
              <w:t xml:space="preserve"> </w:t>
            </w:r>
            <w:r>
              <w:t>龙江省大庆市城乡固体废物分类治理专项规划（</w:t>
            </w:r>
            <w:r>
              <w:rPr>
                <w:rFonts w:ascii="Times New Roman" w:hAnsi="Times New Roman" w:eastAsia="Times New Roman" w:cs="Times New Roman"/>
              </w:rPr>
              <w:t>2019-</w:t>
            </w:r>
            <w:r>
              <w:rPr>
                <w:rFonts w:ascii="Times New Roman" w:hAnsi="Times New Roman" w:eastAsia="Times New Roman" w:cs="Times New Roman"/>
                <w:spacing w:val="-1"/>
              </w:rPr>
              <w:t xml:space="preserve">2035 </w:t>
            </w:r>
            <w:r>
              <w:rPr>
                <w:spacing w:val="-1"/>
              </w:rPr>
              <w:t>年）》要求。</w:t>
            </w:r>
          </w:p>
          <w:p w14:paraId="7C63382B">
            <w:pPr>
              <w:pStyle w:val="6"/>
              <w:spacing w:before="34" w:line="346" w:lineRule="auto"/>
              <w:ind w:left="105" w:right="97" w:firstLine="479"/>
            </w:pPr>
            <w:r>
              <w:rPr>
                <w:rFonts w:ascii="Calibri" w:hAnsi="Calibri" w:eastAsia="Calibri" w:cs="Calibri"/>
                <w:spacing w:val="-5"/>
              </w:rPr>
              <w:t>7</w:t>
            </w:r>
            <w:r>
              <w:rPr>
                <w:rFonts w:ascii="Calibri" w:hAnsi="Calibri" w:eastAsia="Calibri" w:cs="Calibri"/>
                <w:spacing w:val="-27"/>
              </w:rPr>
              <w:t xml:space="preserve"> </w:t>
            </w:r>
            <w:r>
              <w:rPr>
                <w:spacing w:val="-5"/>
              </w:rPr>
              <w:t>、</w:t>
            </w:r>
            <w:r>
              <w:rPr>
                <w:b/>
                <w:bCs/>
                <w:spacing w:val="-5"/>
              </w:rPr>
              <w:t>与《重点行业挥发性有机物综合治理方案</w:t>
            </w:r>
            <w:r>
              <w:rPr>
                <w:b/>
                <w:bCs/>
                <w:spacing w:val="-6"/>
              </w:rPr>
              <w:t>》及《黑龙江省重点行业挥发</w:t>
            </w:r>
            <w:r>
              <w:t xml:space="preserve"> </w:t>
            </w:r>
            <w:r>
              <w:rPr>
                <w:b/>
                <w:bCs/>
                <w:spacing w:val="-3"/>
              </w:rPr>
              <w:t>性有机物综合治理行动方案》符合性分析</w:t>
            </w:r>
          </w:p>
        </w:tc>
      </w:tr>
    </w:tbl>
    <w:p w14:paraId="08F659EF">
      <w:pPr>
        <w:pStyle w:val="2"/>
        <w:spacing w:line="222" w:lineRule="exact"/>
        <w:rPr>
          <w:sz w:val="19"/>
        </w:rPr>
      </w:pPr>
    </w:p>
    <w:p w14:paraId="2888125A">
      <w:pPr>
        <w:spacing w:line="222" w:lineRule="exact"/>
        <w:rPr>
          <w:sz w:val="19"/>
          <w:szCs w:val="19"/>
        </w:rPr>
        <w:sectPr>
          <w:footerReference r:id="rId13"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4783FBF8">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1870" w:hRule="atLeast"/>
        </w:trPr>
        <w:tc>
          <w:tcPr>
            <w:tcW w:w="494" w:type="dxa"/>
            <w:tcBorders>
              <w:right w:val="single" w:color="000000" w:sz="2" w:space="0"/>
            </w:tcBorders>
            <w:vAlign w:val="top"/>
          </w:tcPr>
          <w:p w14:paraId="49CC4F8A">
            <w:pPr>
              <w:rPr>
                <w:rFonts w:ascii="Arial"/>
                <w:sz w:val="21"/>
              </w:rPr>
            </w:pPr>
          </w:p>
        </w:tc>
        <w:tc>
          <w:tcPr>
            <w:tcW w:w="8428" w:type="dxa"/>
            <w:tcBorders>
              <w:left w:val="single" w:color="000000" w:sz="2" w:space="0"/>
            </w:tcBorders>
            <w:vAlign w:val="top"/>
          </w:tcPr>
          <w:p w14:paraId="0CB46C82">
            <w:pPr>
              <w:pStyle w:val="6"/>
              <w:spacing w:before="35" w:line="227" w:lineRule="auto"/>
              <w:ind w:left="546"/>
              <w:rPr>
                <w:sz w:val="20"/>
                <w:szCs w:val="20"/>
              </w:rPr>
            </w:pPr>
            <w:r>
              <w:rPr>
                <w:b/>
                <w:bCs/>
                <w:spacing w:val="7"/>
                <w:sz w:val="20"/>
                <w:szCs w:val="20"/>
              </w:rPr>
              <w:t>表</w:t>
            </w:r>
            <w:r>
              <w:rPr>
                <w:spacing w:val="-12"/>
                <w:sz w:val="20"/>
                <w:szCs w:val="20"/>
              </w:rPr>
              <w:t xml:space="preserve"> </w:t>
            </w:r>
            <w:r>
              <w:rPr>
                <w:b/>
                <w:bCs/>
                <w:spacing w:val="7"/>
                <w:sz w:val="20"/>
                <w:szCs w:val="20"/>
              </w:rPr>
              <w:t>1-8</w:t>
            </w:r>
            <w:r>
              <w:rPr>
                <w:spacing w:val="7"/>
                <w:sz w:val="20"/>
                <w:szCs w:val="20"/>
              </w:rPr>
              <w:t xml:space="preserve">  </w:t>
            </w:r>
            <w:r>
              <w:rPr>
                <w:b/>
                <w:bCs/>
                <w:spacing w:val="7"/>
                <w:sz w:val="20"/>
                <w:szCs w:val="20"/>
              </w:rPr>
              <w:t>与《重点行业挥发性有机物综合治理方案》及《黑龙江省重点行业挥发性有</w:t>
            </w:r>
          </w:p>
          <w:p w14:paraId="2FC0A354">
            <w:pPr>
              <w:pStyle w:val="6"/>
              <w:spacing w:before="66" w:line="227" w:lineRule="auto"/>
              <w:ind w:left="2421"/>
              <w:rPr>
                <w:sz w:val="20"/>
                <w:szCs w:val="20"/>
              </w:rPr>
            </w:pPr>
            <w:r>
              <w:rPr>
                <w:b/>
                <w:bCs/>
                <w:spacing w:val="8"/>
                <w:sz w:val="20"/>
                <w:szCs w:val="20"/>
              </w:rPr>
              <w:t>机物综合治理行动方案》的符合性分析</w:t>
            </w:r>
          </w:p>
          <w:p w14:paraId="48135FE1">
            <w:pPr>
              <w:spacing w:line="15" w:lineRule="exact"/>
            </w:pPr>
          </w:p>
          <w:tbl>
            <w:tblPr>
              <w:tblStyle w:val="5"/>
              <w:tblW w:w="8212" w:type="dxa"/>
              <w:tblInd w:w="9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4"/>
              <w:gridCol w:w="902"/>
              <w:gridCol w:w="686"/>
              <w:gridCol w:w="4463"/>
              <w:gridCol w:w="1817"/>
            </w:tblGrid>
            <w:tr w14:paraId="365AED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trPr>
              <w:tc>
                <w:tcPr>
                  <w:tcW w:w="344" w:type="dxa"/>
                  <w:tcBorders>
                    <w:left w:val="nil"/>
                  </w:tcBorders>
                  <w:textDirection w:val="tbRlV"/>
                  <w:vAlign w:val="top"/>
                </w:tcPr>
                <w:p w14:paraId="48D4BA75">
                  <w:pPr>
                    <w:pStyle w:val="6"/>
                    <w:spacing w:before="66" w:line="218" w:lineRule="auto"/>
                    <w:ind w:left="82"/>
                    <w:rPr>
                      <w:sz w:val="20"/>
                      <w:szCs w:val="20"/>
                    </w:rPr>
                  </w:pPr>
                  <w:r>
                    <w:rPr>
                      <w:b/>
                      <w:bCs/>
                      <w:spacing w:val="6"/>
                      <w:sz w:val="20"/>
                      <w:szCs w:val="20"/>
                    </w:rPr>
                    <w:t>序</w:t>
                  </w:r>
                  <w:r>
                    <w:rPr>
                      <w:spacing w:val="10"/>
                      <w:sz w:val="20"/>
                      <w:szCs w:val="20"/>
                    </w:rPr>
                    <w:t xml:space="preserve"> </w:t>
                  </w:r>
                  <w:r>
                    <w:rPr>
                      <w:b/>
                      <w:bCs/>
                      <w:spacing w:val="6"/>
                      <w:sz w:val="20"/>
                      <w:szCs w:val="20"/>
                    </w:rPr>
                    <w:t>号</w:t>
                  </w:r>
                </w:p>
              </w:tc>
              <w:tc>
                <w:tcPr>
                  <w:tcW w:w="1588" w:type="dxa"/>
                  <w:gridSpan w:val="2"/>
                  <w:vAlign w:val="top"/>
                </w:tcPr>
                <w:p w14:paraId="2D7FC824">
                  <w:pPr>
                    <w:pStyle w:val="6"/>
                    <w:spacing w:before="240" w:line="228" w:lineRule="auto"/>
                    <w:ind w:left="589"/>
                    <w:rPr>
                      <w:sz w:val="20"/>
                      <w:szCs w:val="20"/>
                    </w:rPr>
                  </w:pPr>
                  <w:r>
                    <w:rPr>
                      <w:b/>
                      <w:bCs/>
                      <w:spacing w:val="3"/>
                      <w:sz w:val="20"/>
                      <w:szCs w:val="20"/>
                    </w:rPr>
                    <w:t>类别</w:t>
                  </w:r>
                </w:p>
              </w:tc>
              <w:tc>
                <w:tcPr>
                  <w:tcW w:w="4463" w:type="dxa"/>
                  <w:vAlign w:val="top"/>
                </w:tcPr>
                <w:p w14:paraId="57237730">
                  <w:pPr>
                    <w:pStyle w:val="6"/>
                    <w:spacing w:before="240" w:line="229" w:lineRule="auto"/>
                    <w:ind w:left="2025"/>
                    <w:rPr>
                      <w:sz w:val="20"/>
                      <w:szCs w:val="20"/>
                    </w:rPr>
                  </w:pPr>
                  <w:r>
                    <w:rPr>
                      <w:b/>
                      <w:bCs/>
                      <w:spacing w:val="3"/>
                      <w:sz w:val="20"/>
                      <w:szCs w:val="20"/>
                    </w:rPr>
                    <w:t>要求</w:t>
                  </w:r>
                </w:p>
              </w:tc>
              <w:tc>
                <w:tcPr>
                  <w:tcW w:w="1817" w:type="dxa"/>
                  <w:tcBorders>
                    <w:right w:val="nil"/>
                  </w:tcBorders>
                  <w:vAlign w:val="top"/>
                </w:tcPr>
                <w:p w14:paraId="3585161E">
                  <w:pPr>
                    <w:pStyle w:val="6"/>
                    <w:spacing w:before="240" w:line="227" w:lineRule="auto"/>
                    <w:ind w:left="282"/>
                    <w:rPr>
                      <w:sz w:val="20"/>
                      <w:szCs w:val="20"/>
                    </w:rPr>
                  </w:pPr>
                  <w:r>
                    <w:rPr>
                      <w:b/>
                      <w:bCs/>
                      <w:spacing w:val="6"/>
                      <w:sz w:val="20"/>
                      <w:szCs w:val="20"/>
                    </w:rPr>
                    <w:t>本项目符合性</w:t>
                  </w:r>
                </w:p>
              </w:tc>
            </w:tr>
            <w:tr w14:paraId="2A5B2E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2" w:hRule="atLeast"/>
              </w:trPr>
              <w:tc>
                <w:tcPr>
                  <w:tcW w:w="344" w:type="dxa"/>
                  <w:tcBorders>
                    <w:left w:val="nil"/>
                  </w:tcBorders>
                  <w:vAlign w:val="top"/>
                </w:tcPr>
                <w:p w14:paraId="63F1227A">
                  <w:pPr>
                    <w:spacing w:line="251" w:lineRule="auto"/>
                    <w:rPr>
                      <w:rFonts w:ascii="Arial"/>
                      <w:sz w:val="21"/>
                    </w:rPr>
                  </w:pPr>
                </w:p>
                <w:p w14:paraId="0B6DF659">
                  <w:pPr>
                    <w:spacing w:line="251" w:lineRule="auto"/>
                    <w:rPr>
                      <w:rFonts w:ascii="Arial"/>
                      <w:sz w:val="21"/>
                    </w:rPr>
                  </w:pPr>
                </w:p>
                <w:p w14:paraId="4D19AE9A">
                  <w:pPr>
                    <w:spacing w:line="251" w:lineRule="auto"/>
                    <w:rPr>
                      <w:rFonts w:ascii="Arial"/>
                      <w:sz w:val="21"/>
                    </w:rPr>
                  </w:pPr>
                </w:p>
                <w:p w14:paraId="19CEDEB2">
                  <w:pPr>
                    <w:spacing w:line="251" w:lineRule="auto"/>
                    <w:rPr>
                      <w:rFonts w:ascii="Arial"/>
                      <w:sz w:val="21"/>
                    </w:rPr>
                  </w:pPr>
                </w:p>
                <w:p w14:paraId="47B13DDD">
                  <w:pPr>
                    <w:spacing w:line="251" w:lineRule="auto"/>
                    <w:rPr>
                      <w:rFonts w:ascii="Arial"/>
                      <w:sz w:val="21"/>
                    </w:rPr>
                  </w:pPr>
                </w:p>
                <w:p w14:paraId="21625A7F">
                  <w:pPr>
                    <w:spacing w:line="251" w:lineRule="auto"/>
                    <w:rPr>
                      <w:rFonts w:ascii="Arial"/>
                      <w:sz w:val="21"/>
                    </w:rPr>
                  </w:pPr>
                </w:p>
                <w:p w14:paraId="29EF1B06">
                  <w:pPr>
                    <w:spacing w:line="251" w:lineRule="auto"/>
                    <w:rPr>
                      <w:rFonts w:ascii="Arial"/>
                      <w:sz w:val="21"/>
                    </w:rPr>
                  </w:pPr>
                </w:p>
                <w:p w14:paraId="3F41D86D">
                  <w:pPr>
                    <w:spacing w:line="251" w:lineRule="auto"/>
                    <w:rPr>
                      <w:rFonts w:ascii="Arial"/>
                      <w:sz w:val="21"/>
                    </w:rPr>
                  </w:pPr>
                </w:p>
                <w:p w14:paraId="4C62436A">
                  <w:pPr>
                    <w:spacing w:line="252" w:lineRule="auto"/>
                    <w:rPr>
                      <w:rFonts w:ascii="Arial"/>
                      <w:sz w:val="21"/>
                    </w:rPr>
                  </w:pPr>
                </w:p>
                <w:p w14:paraId="06AC76F0">
                  <w:pPr>
                    <w:spacing w:line="252" w:lineRule="auto"/>
                    <w:rPr>
                      <w:rFonts w:ascii="Arial"/>
                      <w:sz w:val="21"/>
                    </w:rPr>
                  </w:pPr>
                </w:p>
                <w:p w14:paraId="64E96EA8">
                  <w:pPr>
                    <w:spacing w:line="252" w:lineRule="auto"/>
                    <w:rPr>
                      <w:rFonts w:ascii="Arial"/>
                      <w:sz w:val="21"/>
                    </w:rPr>
                  </w:pPr>
                </w:p>
                <w:p w14:paraId="35C716F4">
                  <w:pPr>
                    <w:spacing w:before="61" w:line="185" w:lineRule="auto"/>
                    <w:ind w:left="136"/>
                    <w:rPr>
                      <w:rFonts w:ascii="Calibri" w:hAnsi="Calibri" w:eastAsia="Calibri" w:cs="Calibri"/>
                      <w:sz w:val="20"/>
                      <w:szCs w:val="20"/>
                    </w:rPr>
                  </w:pPr>
                  <w:r>
                    <w:rPr>
                      <w:rFonts w:ascii="Calibri" w:hAnsi="Calibri" w:eastAsia="Calibri" w:cs="Calibri"/>
                      <w:sz w:val="20"/>
                      <w:szCs w:val="20"/>
                    </w:rPr>
                    <w:t>1</w:t>
                  </w:r>
                </w:p>
              </w:tc>
              <w:tc>
                <w:tcPr>
                  <w:tcW w:w="902" w:type="dxa"/>
                  <w:vAlign w:val="top"/>
                </w:tcPr>
                <w:p w14:paraId="66282700">
                  <w:pPr>
                    <w:spacing w:line="267" w:lineRule="auto"/>
                    <w:rPr>
                      <w:rFonts w:ascii="Arial"/>
                      <w:sz w:val="21"/>
                    </w:rPr>
                  </w:pPr>
                </w:p>
                <w:p w14:paraId="5C3EB36D">
                  <w:pPr>
                    <w:spacing w:line="267" w:lineRule="auto"/>
                    <w:rPr>
                      <w:rFonts w:ascii="Arial"/>
                      <w:sz w:val="21"/>
                    </w:rPr>
                  </w:pPr>
                </w:p>
                <w:p w14:paraId="12D98203">
                  <w:pPr>
                    <w:spacing w:line="267" w:lineRule="auto"/>
                    <w:rPr>
                      <w:rFonts w:ascii="Arial"/>
                      <w:sz w:val="21"/>
                    </w:rPr>
                  </w:pPr>
                </w:p>
                <w:p w14:paraId="4C16263C">
                  <w:pPr>
                    <w:spacing w:line="267" w:lineRule="auto"/>
                    <w:rPr>
                      <w:rFonts w:ascii="Arial"/>
                      <w:sz w:val="21"/>
                    </w:rPr>
                  </w:pPr>
                </w:p>
                <w:p w14:paraId="1FDB1A7C">
                  <w:pPr>
                    <w:spacing w:line="267" w:lineRule="auto"/>
                    <w:rPr>
                      <w:rFonts w:ascii="Arial"/>
                      <w:sz w:val="21"/>
                    </w:rPr>
                  </w:pPr>
                </w:p>
                <w:p w14:paraId="085B0B85">
                  <w:pPr>
                    <w:spacing w:line="268" w:lineRule="auto"/>
                    <w:rPr>
                      <w:rFonts w:ascii="Arial"/>
                      <w:sz w:val="21"/>
                    </w:rPr>
                  </w:pPr>
                </w:p>
                <w:p w14:paraId="552CE749">
                  <w:pPr>
                    <w:pStyle w:val="6"/>
                    <w:spacing w:before="65" w:line="288" w:lineRule="auto"/>
                    <w:ind w:left="36" w:right="30" w:firstLine="6"/>
                    <w:jc w:val="both"/>
                    <w:rPr>
                      <w:sz w:val="20"/>
                      <w:szCs w:val="20"/>
                    </w:rPr>
                  </w:pPr>
                  <w:r>
                    <w:rPr>
                      <w:spacing w:val="6"/>
                      <w:sz w:val="20"/>
                      <w:szCs w:val="20"/>
                    </w:rPr>
                    <w:t>《重点行</w:t>
                  </w:r>
                  <w:r>
                    <w:rPr>
                      <w:sz w:val="20"/>
                      <w:szCs w:val="20"/>
                    </w:rPr>
                    <w:t xml:space="preserve"> </w:t>
                  </w:r>
                  <w:r>
                    <w:rPr>
                      <w:spacing w:val="7"/>
                      <w:sz w:val="20"/>
                      <w:szCs w:val="20"/>
                    </w:rPr>
                    <w:t>业挥发性</w:t>
                  </w:r>
                  <w:r>
                    <w:rPr>
                      <w:spacing w:val="1"/>
                      <w:sz w:val="20"/>
                      <w:szCs w:val="20"/>
                    </w:rPr>
                    <w:t xml:space="preserve"> </w:t>
                  </w:r>
                  <w:r>
                    <w:rPr>
                      <w:spacing w:val="7"/>
                      <w:sz w:val="20"/>
                      <w:szCs w:val="20"/>
                    </w:rPr>
                    <w:t>有机物综</w:t>
                  </w:r>
                  <w:r>
                    <w:rPr>
                      <w:spacing w:val="1"/>
                      <w:sz w:val="20"/>
                      <w:szCs w:val="20"/>
                    </w:rPr>
                    <w:t xml:space="preserve"> </w:t>
                  </w:r>
                  <w:r>
                    <w:rPr>
                      <w:spacing w:val="7"/>
                      <w:sz w:val="20"/>
                      <w:szCs w:val="20"/>
                    </w:rPr>
                    <w:t>合治理方</w:t>
                  </w:r>
                </w:p>
                <w:p w14:paraId="0DF72024">
                  <w:pPr>
                    <w:pStyle w:val="6"/>
                    <w:spacing w:before="32" w:line="228" w:lineRule="auto"/>
                    <w:ind w:left="247"/>
                    <w:rPr>
                      <w:sz w:val="20"/>
                      <w:szCs w:val="20"/>
                    </w:rPr>
                  </w:pPr>
                  <w:r>
                    <w:rPr>
                      <w:spacing w:val="-1"/>
                      <w:sz w:val="20"/>
                      <w:szCs w:val="20"/>
                    </w:rPr>
                    <w:t>案》</w:t>
                  </w:r>
                </w:p>
                <w:p w14:paraId="6680B210">
                  <w:pPr>
                    <w:pStyle w:val="6"/>
                    <w:tabs>
                      <w:tab w:val="left" w:pos="221"/>
                    </w:tabs>
                    <w:spacing w:before="73" w:line="286" w:lineRule="auto"/>
                    <w:ind w:left="62" w:right="30" w:hanging="15"/>
                    <w:rPr>
                      <w:sz w:val="20"/>
                      <w:szCs w:val="20"/>
                    </w:rPr>
                  </w:pPr>
                  <w:r>
                    <w:rPr>
                      <w:spacing w:val="4"/>
                      <w:sz w:val="20"/>
                      <w:szCs w:val="20"/>
                    </w:rPr>
                    <w:t>（环大气</w:t>
                  </w:r>
                  <w:r>
                    <w:rPr>
                      <w:spacing w:val="2"/>
                      <w:sz w:val="20"/>
                      <w:szCs w:val="20"/>
                    </w:rPr>
                    <w:t xml:space="preserve"> </w:t>
                  </w:r>
                  <w:r>
                    <w:rPr>
                      <w:spacing w:val="-2"/>
                      <w:sz w:val="20"/>
                      <w:szCs w:val="20"/>
                    </w:rPr>
                    <w:t>〔</w:t>
                  </w:r>
                  <w:r>
                    <w:rPr>
                      <w:rFonts w:ascii="Calibri" w:hAnsi="Calibri" w:eastAsia="Calibri" w:cs="Calibri"/>
                      <w:spacing w:val="-2"/>
                      <w:sz w:val="20"/>
                      <w:szCs w:val="20"/>
                    </w:rPr>
                    <w:t>2019</w:t>
                  </w:r>
                  <w:r>
                    <w:rPr>
                      <w:spacing w:val="-2"/>
                      <w:sz w:val="20"/>
                      <w:szCs w:val="20"/>
                    </w:rPr>
                    <w:t>〕</w:t>
                  </w:r>
                  <w:r>
                    <w:rPr>
                      <w:spacing w:val="3"/>
                      <w:sz w:val="20"/>
                      <w:szCs w:val="20"/>
                    </w:rPr>
                    <w:t xml:space="preserve"> </w:t>
                  </w:r>
                  <w:r>
                    <w:rPr>
                      <w:rFonts w:ascii="Calibri" w:hAnsi="Calibri" w:eastAsia="Calibri" w:cs="Calibri"/>
                      <w:sz w:val="20"/>
                      <w:szCs w:val="20"/>
                    </w:rPr>
                    <w:tab/>
                  </w:r>
                  <w:r>
                    <w:rPr>
                      <w:rFonts w:ascii="Calibri" w:hAnsi="Calibri" w:eastAsia="Calibri" w:cs="Calibri"/>
                      <w:spacing w:val="-1"/>
                      <w:sz w:val="20"/>
                      <w:szCs w:val="20"/>
                    </w:rPr>
                    <w:t>53</w:t>
                  </w:r>
                  <w:r>
                    <w:rPr>
                      <w:rFonts w:ascii="Calibri" w:hAnsi="Calibri" w:eastAsia="Calibri" w:cs="Calibri"/>
                      <w:spacing w:val="21"/>
                      <w:w w:val="101"/>
                      <w:sz w:val="20"/>
                      <w:szCs w:val="20"/>
                    </w:rPr>
                    <w:t xml:space="preserve"> </w:t>
                  </w:r>
                  <w:r>
                    <w:rPr>
                      <w:spacing w:val="-1"/>
                      <w:sz w:val="20"/>
                      <w:szCs w:val="20"/>
                    </w:rPr>
                    <w:t>号</w:t>
                  </w:r>
                </w:p>
              </w:tc>
              <w:tc>
                <w:tcPr>
                  <w:tcW w:w="686" w:type="dxa"/>
                  <w:vAlign w:val="top"/>
                </w:tcPr>
                <w:p w14:paraId="4D56005B">
                  <w:pPr>
                    <w:rPr>
                      <w:rFonts w:ascii="Arial"/>
                      <w:sz w:val="21"/>
                    </w:rPr>
                  </w:pPr>
                </w:p>
                <w:p w14:paraId="71434C64">
                  <w:pPr>
                    <w:rPr>
                      <w:rFonts w:ascii="Arial"/>
                      <w:sz w:val="21"/>
                    </w:rPr>
                  </w:pPr>
                </w:p>
                <w:p w14:paraId="237EF7C2">
                  <w:pPr>
                    <w:rPr>
                      <w:rFonts w:ascii="Arial"/>
                      <w:sz w:val="21"/>
                    </w:rPr>
                  </w:pPr>
                </w:p>
                <w:p w14:paraId="0F2CB2F0">
                  <w:pPr>
                    <w:rPr>
                      <w:rFonts w:ascii="Arial"/>
                      <w:sz w:val="21"/>
                    </w:rPr>
                  </w:pPr>
                </w:p>
                <w:p w14:paraId="649AFCD9">
                  <w:pPr>
                    <w:rPr>
                      <w:rFonts w:ascii="Arial"/>
                      <w:sz w:val="21"/>
                    </w:rPr>
                  </w:pPr>
                </w:p>
                <w:p w14:paraId="018AFD57">
                  <w:pPr>
                    <w:rPr>
                      <w:rFonts w:ascii="Arial"/>
                      <w:sz w:val="21"/>
                    </w:rPr>
                  </w:pPr>
                </w:p>
                <w:p w14:paraId="0AB02310">
                  <w:pPr>
                    <w:rPr>
                      <w:rFonts w:ascii="Arial"/>
                      <w:sz w:val="21"/>
                    </w:rPr>
                  </w:pPr>
                </w:p>
                <w:p w14:paraId="7FFB31A8">
                  <w:pPr>
                    <w:spacing w:line="241" w:lineRule="auto"/>
                    <w:rPr>
                      <w:rFonts w:ascii="Arial"/>
                      <w:sz w:val="21"/>
                    </w:rPr>
                  </w:pPr>
                </w:p>
                <w:p w14:paraId="1EF754D2">
                  <w:pPr>
                    <w:pStyle w:val="6"/>
                    <w:spacing w:before="65" w:line="288" w:lineRule="auto"/>
                    <w:ind w:left="32" w:right="27" w:firstLine="10"/>
                    <w:jc w:val="both"/>
                    <w:rPr>
                      <w:sz w:val="20"/>
                      <w:szCs w:val="20"/>
                    </w:rPr>
                  </w:pPr>
                  <w:r>
                    <w:rPr>
                      <w:spacing w:val="-3"/>
                      <w:sz w:val="20"/>
                      <w:szCs w:val="20"/>
                    </w:rPr>
                    <w:t>（三）</w:t>
                  </w:r>
                  <w:r>
                    <w:rPr>
                      <w:sz w:val="20"/>
                      <w:szCs w:val="20"/>
                    </w:rPr>
                    <w:t xml:space="preserve"> </w:t>
                  </w:r>
                  <w:r>
                    <w:rPr>
                      <w:spacing w:val="6"/>
                      <w:sz w:val="20"/>
                      <w:szCs w:val="20"/>
                    </w:rPr>
                    <w:t>推进建</w:t>
                  </w:r>
                  <w:r>
                    <w:rPr>
                      <w:spacing w:val="1"/>
                      <w:sz w:val="20"/>
                      <w:szCs w:val="20"/>
                    </w:rPr>
                    <w:t xml:space="preserve"> </w:t>
                  </w:r>
                  <w:r>
                    <w:rPr>
                      <w:spacing w:val="6"/>
                      <w:sz w:val="20"/>
                      <w:szCs w:val="20"/>
                    </w:rPr>
                    <w:t>设适宜</w:t>
                  </w:r>
                  <w:r>
                    <w:rPr>
                      <w:spacing w:val="1"/>
                      <w:sz w:val="20"/>
                      <w:szCs w:val="20"/>
                    </w:rPr>
                    <w:t xml:space="preserve"> </w:t>
                  </w:r>
                  <w:r>
                    <w:rPr>
                      <w:spacing w:val="6"/>
                      <w:sz w:val="20"/>
                      <w:szCs w:val="20"/>
                    </w:rPr>
                    <w:t>高效的</w:t>
                  </w:r>
                </w:p>
                <w:p w14:paraId="27DE126D">
                  <w:pPr>
                    <w:pStyle w:val="6"/>
                    <w:spacing w:before="31" w:line="281" w:lineRule="auto"/>
                    <w:ind w:left="136" w:right="27" w:hanging="99"/>
                    <w:rPr>
                      <w:sz w:val="20"/>
                      <w:szCs w:val="20"/>
                    </w:rPr>
                  </w:pPr>
                  <w:r>
                    <w:rPr>
                      <w:spacing w:val="5"/>
                      <w:sz w:val="20"/>
                      <w:szCs w:val="20"/>
                    </w:rPr>
                    <w:t>治污设</w:t>
                  </w:r>
                  <w:r>
                    <w:rPr>
                      <w:sz w:val="20"/>
                      <w:szCs w:val="20"/>
                    </w:rPr>
                    <w:t xml:space="preserve"> 施。</w:t>
                  </w:r>
                </w:p>
              </w:tc>
              <w:tc>
                <w:tcPr>
                  <w:tcW w:w="4463" w:type="dxa"/>
                  <w:vAlign w:val="top"/>
                </w:tcPr>
                <w:p w14:paraId="6B00F729">
                  <w:pPr>
                    <w:pStyle w:val="6"/>
                    <w:spacing w:before="77" w:line="291" w:lineRule="auto"/>
                    <w:ind w:left="32" w:firstLine="4"/>
                    <w:rPr>
                      <w:sz w:val="20"/>
                      <w:szCs w:val="20"/>
                    </w:rPr>
                  </w:pPr>
                  <w:r>
                    <w:rPr>
                      <w:spacing w:val="8"/>
                      <w:sz w:val="20"/>
                      <w:szCs w:val="20"/>
                    </w:rPr>
                    <w:t>企业新建治污设施或对现有治污设施实施改造，</w:t>
                  </w:r>
                  <w:r>
                    <w:rPr>
                      <w:spacing w:val="3"/>
                      <w:sz w:val="20"/>
                      <w:szCs w:val="20"/>
                    </w:rPr>
                    <w:t xml:space="preserve"> </w:t>
                  </w:r>
                  <w:r>
                    <w:rPr>
                      <w:spacing w:val="7"/>
                      <w:sz w:val="20"/>
                      <w:szCs w:val="20"/>
                    </w:rPr>
                    <w:t xml:space="preserve">应依据排放废气的浓度、组分、风量，温度、湿 </w:t>
                  </w:r>
                  <w:r>
                    <w:rPr>
                      <w:spacing w:val="1"/>
                      <w:sz w:val="20"/>
                      <w:szCs w:val="20"/>
                    </w:rPr>
                    <w:t>度、压力，以及生产工况等，合理选择治理技术。</w:t>
                  </w:r>
                  <w:r>
                    <w:rPr>
                      <w:spacing w:val="2"/>
                      <w:sz w:val="20"/>
                      <w:szCs w:val="20"/>
                    </w:rPr>
                    <w:t xml:space="preserve"> </w:t>
                  </w:r>
                  <w:r>
                    <w:rPr>
                      <w:spacing w:val="14"/>
                      <w:sz w:val="20"/>
                      <w:szCs w:val="20"/>
                    </w:rPr>
                    <w:t>鼓励企业采用多种技术的组合工艺，提高</w:t>
                  </w:r>
                  <w:r>
                    <w:rPr>
                      <w:spacing w:val="-29"/>
                      <w:sz w:val="20"/>
                      <w:szCs w:val="20"/>
                    </w:rPr>
                    <w:t xml:space="preserve"> </w:t>
                  </w:r>
                  <w:r>
                    <w:rPr>
                      <w:rFonts w:ascii="Calibri" w:hAnsi="Calibri" w:eastAsia="Calibri" w:cs="Calibri"/>
                      <w:sz w:val="20"/>
                      <w:szCs w:val="20"/>
                    </w:rPr>
                    <w:t xml:space="preserve">VOCs  </w:t>
                  </w:r>
                  <w:r>
                    <w:rPr>
                      <w:spacing w:val="7"/>
                      <w:sz w:val="20"/>
                      <w:szCs w:val="20"/>
                    </w:rPr>
                    <w:t>治理效率。低浓度、大风量废气，宜采用沸石转</w:t>
                  </w:r>
                  <w:r>
                    <w:rPr>
                      <w:spacing w:val="5"/>
                      <w:sz w:val="20"/>
                      <w:szCs w:val="20"/>
                    </w:rPr>
                    <w:t xml:space="preserve"> </w:t>
                  </w:r>
                  <w:r>
                    <w:rPr>
                      <w:spacing w:val="7"/>
                      <w:sz w:val="20"/>
                      <w:szCs w:val="20"/>
                    </w:rPr>
                    <w:t xml:space="preserve">轮吸附、活性炭吸附、减风增浓等浓缩技术，提 </w:t>
                  </w:r>
                  <w:r>
                    <w:rPr>
                      <w:spacing w:val="11"/>
                      <w:sz w:val="20"/>
                      <w:szCs w:val="20"/>
                    </w:rPr>
                    <w:t>高</w:t>
                  </w:r>
                  <w:r>
                    <w:rPr>
                      <w:spacing w:val="-40"/>
                      <w:sz w:val="20"/>
                      <w:szCs w:val="20"/>
                    </w:rPr>
                    <w:t xml:space="preserve"> </w:t>
                  </w:r>
                  <w:r>
                    <w:rPr>
                      <w:rFonts w:ascii="Calibri" w:hAnsi="Calibri" w:eastAsia="Calibri" w:cs="Calibri"/>
                      <w:sz w:val="20"/>
                      <w:szCs w:val="20"/>
                    </w:rPr>
                    <w:t>VOCs</w:t>
                  </w:r>
                  <w:r>
                    <w:rPr>
                      <w:rFonts w:ascii="Calibri" w:hAnsi="Calibri" w:eastAsia="Calibri" w:cs="Calibri"/>
                      <w:spacing w:val="20"/>
                      <w:w w:val="101"/>
                      <w:sz w:val="20"/>
                      <w:szCs w:val="20"/>
                    </w:rPr>
                    <w:t xml:space="preserve"> </w:t>
                  </w:r>
                  <w:r>
                    <w:rPr>
                      <w:spacing w:val="11"/>
                      <w:sz w:val="20"/>
                      <w:szCs w:val="20"/>
                    </w:rPr>
                    <w:t>浓度后净化处理；高浓度废气，优先进</w:t>
                  </w:r>
                  <w:r>
                    <w:rPr>
                      <w:sz w:val="20"/>
                      <w:szCs w:val="20"/>
                    </w:rPr>
                    <w:t xml:space="preserve"> </w:t>
                  </w:r>
                  <w:r>
                    <w:rPr>
                      <w:spacing w:val="7"/>
                      <w:sz w:val="20"/>
                      <w:szCs w:val="20"/>
                    </w:rPr>
                    <w:t xml:space="preserve">行溶剂回收，难以回收的，宜采用高温焚烧、催 </w:t>
                  </w:r>
                  <w:r>
                    <w:rPr>
                      <w:spacing w:val="10"/>
                      <w:sz w:val="20"/>
                      <w:szCs w:val="20"/>
                    </w:rPr>
                    <w:t>化燃烧等技术。油气（溶剂）</w:t>
                  </w:r>
                  <w:r>
                    <w:rPr>
                      <w:spacing w:val="-54"/>
                      <w:sz w:val="20"/>
                      <w:szCs w:val="20"/>
                    </w:rPr>
                    <w:t xml:space="preserve"> </w:t>
                  </w:r>
                  <w:r>
                    <w:rPr>
                      <w:spacing w:val="10"/>
                      <w:sz w:val="20"/>
                      <w:szCs w:val="20"/>
                    </w:rPr>
                    <w:t>回收宜采用冷凝</w:t>
                  </w:r>
                  <w:r>
                    <w:rPr>
                      <w:rFonts w:ascii="Calibri" w:hAnsi="Calibri" w:eastAsia="Calibri" w:cs="Calibri"/>
                      <w:spacing w:val="10"/>
                      <w:sz w:val="20"/>
                      <w:szCs w:val="20"/>
                    </w:rPr>
                    <w:t>+</w:t>
                  </w:r>
                  <w:r>
                    <w:rPr>
                      <w:rFonts w:ascii="Calibri" w:hAnsi="Calibri" w:eastAsia="Calibri" w:cs="Calibri"/>
                      <w:sz w:val="20"/>
                      <w:szCs w:val="20"/>
                    </w:rPr>
                    <w:t xml:space="preserve">  </w:t>
                  </w:r>
                  <w:r>
                    <w:rPr>
                      <w:spacing w:val="7"/>
                      <w:sz w:val="20"/>
                      <w:szCs w:val="20"/>
                    </w:rPr>
                    <w:t>吸附、吸附</w:t>
                  </w:r>
                  <w:r>
                    <w:rPr>
                      <w:rFonts w:ascii="Calibri" w:hAnsi="Calibri" w:eastAsia="Calibri" w:cs="Calibri"/>
                      <w:spacing w:val="7"/>
                      <w:sz w:val="20"/>
                      <w:szCs w:val="20"/>
                    </w:rPr>
                    <w:t>+</w:t>
                  </w:r>
                  <w:r>
                    <w:rPr>
                      <w:spacing w:val="7"/>
                      <w:sz w:val="20"/>
                      <w:szCs w:val="20"/>
                    </w:rPr>
                    <w:t>吸收、膜分离</w:t>
                  </w:r>
                  <w:r>
                    <w:rPr>
                      <w:rFonts w:ascii="Calibri" w:hAnsi="Calibri" w:eastAsia="Calibri" w:cs="Calibri"/>
                      <w:spacing w:val="7"/>
                      <w:sz w:val="20"/>
                      <w:szCs w:val="20"/>
                    </w:rPr>
                    <w:t>+</w:t>
                  </w:r>
                  <w:r>
                    <w:rPr>
                      <w:spacing w:val="7"/>
                      <w:sz w:val="20"/>
                      <w:szCs w:val="20"/>
                    </w:rPr>
                    <w:t>吸附等技术。低温等</w:t>
                  </w:r>
                  <w:r>
                    <w:rPr>
                      <w:spacing w:val="1"/>
                      <w:sz w:val="20"/>
                      <w:szCs w:val="20"/>
                    </w:rPr>
                    <w:t xml:space="preserve"> </w:t>
                  </w:r>
                  <w:r>
                    <w:rPr>
                      <w:spacing w:val="7"/>
                      <w:sz w:val="20"/>
                      <w:szCs w:val="20"/>
                    </w:rPr>
                    <w:t>离子、光催化、光氧化技术主要适用于恶臭异味</w:t>
                  </w:r>
                  <w:r>
                    <w:rPr>
                      <w:spacing w:val="5"/>
                      <w:sz w:val="20"/>
                      <w:szCs w:val="20"/>
                    </w:rPr>
                    <w:t xml:space="preserve"> </w:t>
                  </w:r>
                  <w:r>
                    <w:rPr>
                      <w:spacing w:val="10"/>
                      <w:sz w:val="20"/>
                      <w:szCs w:val="20"/>
                    </w:rPr>
                    <w:t>等治理；生物法主要适用于低浓度</w:t>
                  </w:r>
                  <w:r>
                    <w:rPr>
                      <w:spacing w:val="-23"/>
                      <w:sz w:val="20"/>
                      <w:szCs w:val="20"/>
                    </w:rPr>
                    <w:t xml:space="preserve"> </w:t>
                  </w:r>
                  <w:r>
                    <w:rPr>
                      <w:rFonts w:ascii="Calibri" w:hAnsi="Calibri" w:eastAsia="Calibri" w:cs="Calibri"/>
                      <w:sz w:val="20"/>
                      <w:szCs w:val="20"/>
                    </w:rPr>
                    <w:t>VOCs</w:t>
                  </w:r>
                  <w:r>
                    <w:rPr>
                      <w:rFonts w:ascii="Calibri" w:hAnsi="Calibri" w:eastAsia="Calibri" w:cs="Calibri"/>
                      <w:spacing w:val="19"/>
                      <w:sz w:val="20"/>
                      <w:szCs w:val="20"/>
                    </w:rPr>
                    <w:t xml:space="preserve"> </w:t>
                  </w:r>
                  <w:r>
                    <w:rPr>
                      <w:spacing w:val="10"/>
                      <w:sz w:val="20"/>
                      <w:szCs w:val="20"/>
                    </w:rPr>
                    <w:t>废气治</w:t>
                  </w:r>
                  <w:r>
                    <w:rPr>
                      <w:sz w:val="20"/>
                      <w:szCs w:val="20"/>
                    </w:rPr>
                    <w:t xml:space="preserve"> </w:t>
                  </w:r>
                  <w:r>
                    <w:rPr>
                      <w:spacing w:val="14"/>
                      <w:sz w:val="20"/>
                      <w:szCs w:val="20"/>
                    </w:rPr>
                    <w:t>理和恶臭异味治理。非水溶性的</w:t>
                  </w:r>
                  <w:r>
                    <w:rPr>
                      <w:rFonts w:ascii="Calibri" w:hAnsi="Calibri" w:eastAsia="Calibri" w:cs="Calibri"/>
                      <w:sz w:val="20"/>
                      <w:szCs w:val="20"/>
                    </w:rPr>
                    <w:t>VOCs</w:t>
                  </w:r>
                  <w:r>
                    <w:rPr>
                      <w:rFonts w:ascii="Calibri" w:hAnsi="Calibri" w:eastAsia="Calibri" w:cs="Calibri"/>
                      <w:spacing w:val="24"/>
                      <w:sz w:val="20"/>
                      <w:szCs w:val="20"/>
                    </w:rPr>
                    <w:t xml:space="preserve"> </w:t>
                  </w:r>
                  <w:r>
                    <w:rPr>
                      <w:spacing w:val="14"/>
                      <w:sz w:val="20"/>
                      <w:szCs w:val="20"/>
                    </w:rPr>
                    <w:t>废气禁止</w:t>
                  </w:r>
                  <w:r>
                    <w:rPr>
                      <w:sz w:val="20"/>
                      <w:szCs w:val="20"/>
                    </w:rPr>
                    <w:t xml:space="preserve"> </w:t>
                  </w:r>
                  <w:r>
                    <w:rPr>
                      <w:spacing w:val="7"/>
                      <w:sz w:val="20"/>
                      <w:szCs w:val="20"/>
                    </w:rPr>
                    <w:t>采用水或水溶液喷淋吸收处理。采用一次性活性 炭吸附技术的，应定期更换活性炭，废旧活性炭 应再生或处理处置。有条件的工业园区和产业集</w:t>
                  </w:r>
                  <w:r>
                    <w:rPr>
                      <w:spacing w:val="5"/>
                      <w:sz w:val="20"/>
                      <w:szCs w:val="20"/>
                    </w:rPr>
                    <w:t xml:space="preserve"> </w:t>
                  </w:r>
                  <w:r>
                    <w:rPr>
                      <w:spacing w:val="7"/>
                      <w:sz w:val="20"/>
                      <w:szCs w:val="20"/>
                    </w:rPr>
                    <w:t>群等，推广集中喷涂、溶剂集中回收、活性炭集</w:t>
                  </w:r>
                  <w:r>
                    <w:rPr>
                      <w:spacing w:val="5"/>
                      <w:sz w:val="20"/>
                      <w:szCs w:val="20"/>
                    </w:rPr>
                    <w:t xml:space="preserve"> </w:t>
                  </w:r>
                  <w:r>
                    <w:rPr>
                      <w:spacing w:val="3"/>
                      <w:sz w:val="20"/>
                      <w:szCs w:val="20"/>
                    </w:rPr>
                    <w:t>中再生等，加强资源共享，提高</w:t>
                  </w:r>
                  <w:r>
                    <w:rPr>
                      <w:spacing w:val="-31"/>
                      <w:sz w:val="20"/>
                      <w:szCs w:val="20"/>
                    </w:rPr>
                    <w:t xml:space="preserve"> </w:t>
                  </w:r>
                  <w:r>
                    <w:rPr>
                      <w:rFonts w:ascii="Calibri" w:hAnsi="Calibri" w:eastAsia="Calibri" w:cs="Calibri"/>
                      <w:sz w:val="20"/>
                      <w:szCs w:val="20"/>
                    </w:rPr>
                    <w:t>VOCs</w:t>
                  </w:r>
                  <w:r>
                    <w:rPr>
                      <w:rFonts w:ascii="Calibri" w:hAnsi="Calibri" w:eastAsia="Calibri" w:cs="Calibri"/>
                      <w:spacing w:val="22"/>
                      <w:w w:val="101"/>
                      <w:sz w:val="20"/>
                      <w:szCs w:val="20"/>
                    </w:rPr>
                    <w:t xml:space="preserve"> </w:t>
                  </w:r>
                  <w:r>
                    <w:rPr>
                      <w:spacing w:val="3"/>
                      <w:sz w:val="20"/>
                      <w:szCs w:val="20"/>
                    </w:rPr>
                    <w:t>治理效率。</w:t>
                  </w:r>
                </w:p>
              </w:tc>
              <w:tc>
                <w:tcPr>
                  <w:tcW w:w="1817" w:type="dxa"/>
                  <w:tcBorders>
                    <w:right w:val="nil"/>
                  </w:tcBorders>
                  <w:vAlign w:val="top"/>
                </w:tcPr>
                <w:p w14:paraId="69040E46">
                  <w:pPr>
                    <w:spacing w:line="457" w:lineRule="auto"/>
                    <w:rPr>
                      <w:rFonts w:ascii="Arial"/>
                      <w:sz w:val="21"/>
                    </w:rPr>
                  </w:pPr>
                </w:p>
                <w:p w14:paraId="7D32D6D9">
                  <w:pPr>
                    <w:pStyle w:val="6"/>
                    <w:spacing w:before="65" w:line="289" w:lineRule="auto"/>
                    <w:ind w:left="34" w:firstLine="10"/>
                    <w:rPr>
                      <w:sz w:val="20"/>
                      <w:szCs w:val="20"/>
                    </w:rPr>
                  </w:pPr>
                  <w:r>
                    <w:rPr>
                      <w:rFonts w:ascii="Calibri" w:hAnsi="Calibri" w:eastAsia="Calibri" w:cs="Calibri"/>
                      <w:spacing w:val="4"/>
                      <w:sz w:val="20"/>
                      <w:szCs w:val="20"/>
                    </w:rPr>
                    <w:t>①</w:t>
                  </w:r>
                  <w:r>
                    <w:rPr>
                      <w:spacing w:val="4"/>
                      <w:sz w:val="20"/>
                      <w:szCs w:val="20"/>
                    </w:rPr>
                    <w:t>本项目拆解过程</w:t>
                  </w:r>
                  <w:r>
                    <w:rPr>
                      <w:sz w:val="20"/>
                      <w:szCs w:val="20"/>
                    </w:rPr>
                    <w:t xml:space="preserve"> </w:t>
                  </w:r>
                  <w:r>
                    <w:rPr>
                      <w:spacing w:val="13"/>
                      <w:sz w:val="20"/>
                      <w:szCs w:val="20"/>
                    </w:rPr>
                    <w:t>中产生的非甲烷总</w:t>
                  </w:r>
                  <w:r>
                    <w:rPr>
                      <w:spacing w:val="6"/>
                      <w:sz w:val="20"/>
                      <w:szCs w:val="20"/>
                    </w:rPr>
                    <w:t xml:space="preserve"> </w:t>
                  </w:r>
                  <w:r>
                    <w:rPr>
                      <w:spacing w:val="13"/>
                      <w:sz w:val="20"/>
                      <w:szCs w:val="20"/>
                    </w:rPr>
                    <w:t>烃经集气罩收集通</w:t>
                  </w:r>
                  <w:r>
                    <w:rPr>
                      <w:spacing w:val="6"/>
                      <w:sz w:val="20"/>
                      <w:szCs w:val="20"/>
                    </w:rPr>
                    <w:t xml:space="preserve"> </w:t>
                  </w:r>
                  <w:r>
                    <w:rPr>
                      <w:spacing w:val="13"/>
                      <w:sz w:val="20"/>
                      <w:szCs w:val="20"/>
                    </w:rPr>
                    <w:t>过活性炭吸附装置</w:t>
                  </w:r>
                  <w:r>
                    <w:rPr>
                      <w:spacing w:val="6"/>
                      <w:sz w:val="20"/>
                      <w:szCs w:val="20"/>
                    </w:rPr>
                    <w:t xml:space="preserve"> </w:t>
                  </w:r>
                  <w:r>
                    <w:rPr>
                      <w:spacing w:val="4"/>
                      <w:sz w:val="20"/>
                      <w:szCs w:val="20"/>
                    </w:rPr>
                    <w:t>处理后通过</w:t>
                  </w:r>
                  <w:r>
                    <w:rPr>
                      <w:spacing w:val="-4"/>
                      <w:sz w:val="20"/>
                      <w:szCs w:val="20"/>
                    </w:rPr>
                    <w:t xml:space="preserve"> </w:t>
                  </w:r>
                  <w:r>
                    <w:rPr>
                      <w:spacing w:val="4"/>
                      <w:sz w:val="20"/>
                      <w:szCs w:val="20"/>
                    </w:rPr>
                    <w:t>15m</w:t>
                  </w:r>
                  <w:r>
                    <w:rPr>
                      <w:spacing w:val="-22"/>
                      <w:sz w:val="20"/>
                      <w:szCs w:val="20"/>
                    </w:rPr>
                    <w:t xml:space="preserve"> </w:t>
                  </w:r>
                  <w:r>
                    <w:rPr>
                      <w:spacing w:val="4"/>
                      <w:sz w:val="20"/>
                      <w:szCs w:val="20"/>
                    </w:rPr>
                    <w:t>高</w:t>
                  </w:r>
                  <w:r>
                    <w:rPr>
                      <w:sz w:val="20"/>
                      <w:szCs w:val="20"/>
                    </w:rPr>
                    <w:t xml:space="preserve"> </w:t>
                  </w:r>
                  <w:r>
                    <w:rPr>
                      <w:spacing w:val="-2"/>
                      <w:sz w:val="20"/>
                      <w:szCs w:val="20"/>
                    </w:rPr>
                    <w:t>排气筒</w:t>
                  </w:r>
                  <w:r>
                    <w:rPr>
                      <w:spacing w:val="-48"/>
                      <w:sz w:val="20"/>
                      <w:szCs w:val="20"/>
                    </w:rPr>
                    <w:t xml:space="preserve"> </w:t>
                  </w:r>
                  <w:r>
                    <w:rPr>
                      <w:spacing w:val="-2"/>
                      <w:sz w:val="20"/>
                      <w:szCs w:val="20"/>
                    </w:rPr>
                    <w:t>DA002</w:t>
                  </w:r>
                  <w:r>
                    <w:rPr>
                      <w:spacing w:val="-51"/>
                      <w:sz w:val="20"/>
                      <w:szCs w:val="20"/>
                    </w:rPr>
                    <w:t xml:space="preserve"> </w:t>
                  </w:r>
                  <w:r>
                    <w:rPr>
                      <w:spacing w:val="-2"/>
                      <w:sz w:val="20"/>
                      <w:szCs w:val="20"/>
                    </w:rPr>
                    <w:t>排放。</w:t>
                  </w:r>
                </w:p>
                <w:p w14:paraId="4F724FC7">
                  <w:pPr>
                    <w:pStyle w:val="6"/>
                    <w:spacing w:before="73" w:line="282" w:lineRule="auto"/>
                    <w:ind w:left="33" w:right="29" w:hanging="1"/>
                    <w:rPr>
                      <w:sz w:val="20"/>
                      <w:szCs w:val="20"/>
                    </w:rPr>
                  </w:pPr>
                  <w:r>
                    <w:rPr>
                      <w:spacing w:val="19"/>
                      <w:sz w:val="20"/>
                      <w:szCs w:val="20"/>
                    </w:rPr>
                    <w:t>②结合活性炭吸附</w:t>
                  </w:r>
                  <w:r>
                    <w:rPr>
                      <w:sz w:val="20"/>
                      <w:szCs w:val="20"/>
                    </w:rPr>
                    <w:t xml:space="preserve"> </w:t>
                  </w:r>
                  <w:r>
                    <w:rPr>
                      <w:spacing w:val="18"/>
                      <w:sz w:val="20"/>
                      <w:szCs w:val="20"/>
                    </w:rPr>
                    <w:t>装置活性炭配置情</w:t>
                  </w:r>
                  <w:r>
                    <w:rPr>
                      <w:spacing w:val="6"/>
                      <w:sz w:val="20"/>
                      <w:szCs w:val="20"/>
                    </w:rPr>
                    <w:t xml:space="preserve"> </w:t>
                  </w:r>
                  <w:r>
                    <w:rPr>
                      <w:spacing w:val="18"/>
                      <w:sz w:val="20"/>
                      <w:szCs w:val="20"/>
                    </w:rPr>
                    <w:t>况，要求本项目活</w:t>
                  </w:r>
                  <w:r>
                    <w:rPr>
                      <w:spacing w:val="6"/>
                      <w:sz w:val="20"/>
                      <w:szCs w:val="20"/>
                    </w:rPr>
                    <w:t xml:space="preserve"> </w:t>
                  </w:r>
                  <w:r>
                    <w:rPr>
                      <w:spacing w:val="19"/>
                      <w:sz w:val="20"/>
                      <w:szCs w:val="20"/>
                    </w:rPr>
                    <w:t>性炭更换周期为</w:t>
                  </w:r>
                  <w:r>
                    <w:rPr>
                      <w:spacing w:val="-4"/>
                      <w:sz w:val="20"/>
                      <w:szCs w:val="20"/>
                    </w:rPr>
                    <w:t xml:space="preserve"> </w:t>
                  </w:r>
                  <w:r>
                    <w:rPr>
                      <w:spacing w:val="19"/>
                      <w:sz w:val="20"/>
                      <w:szCs w:val="20"/>
                    </w:rPr>
                    <w:t>1</w:t>
                  </w:r>
                  <w:r>
                    <w:rPr>
                      <w:sz w:val="20"/>
                      <w:szCs w:val="20"/>
                    </w:rPr>
                    <w:t xml:space="preserve"> </w:t>
                  </w:r>
                  <w:r>
                    <w:rPr>
                      <w:spacing w:val="3"/>
                      <w:sz w:val="20"/>
                      <w:szCs w:val="20"/>
                    </w:rPr>
                    <w:t>次/5</w:t>
                  </w:r>
                  <w:r>
                    <w:rPr>
                      <w:spacing w:val="-39"/>
                      <w:sz w:val="20"/>
                      <w:szCs w:val="20"/>
                    </w:rPr>
                    <w:t xml:space="preserve"> </w:t>
                  </w:r>
                  <w:r>
                    <w:rPr>
                      <w:spacing w:val="3"/>
                      <w:sz w:val="20"/>
                      <w:szCs w:val="20"/>
                    </w:rPr>
                    <w:t>个月。</w:t>
                  </w:r>
                </w:p>
                <w:p w14:paraId="60D1D0B9">
                  <w:pPr>
                    <w:pStyle w:val="6"/>
                    <w:spacing w:before="70" w:line="280" w:lineRule="auto"/>
                    <w:ind w:left="34" w:right="29" w:hanging="2"/>
                    <w:rPr>
                      <w:sz w:val="20"/>
                      <w:szCs w:val="20"/>
                    </w:rPr>
                  </w:pPr>
                  <w:r>
                    <w:rPr>
                      <w:spacing w:val="19"/>
                      <w:sz w:val="20"/>
                      <w:szCs w:val="20"/>
                    </w:rPr>
                    <w:t>③废弃活性炭暂存</w:t>
                  </w:r>
                  <w:r>
                    <w:rPr>
                      <w:sz w:val="20"/>
                      <w:szCs w:val="20"/>
                    </w:rPr>
                    <w:t xml:space="preserve"> </w:t>
                  </w:r>
                  <w:r>
                    <w:rPr>
                      <w:spacing w:val="-2"/>
                      <w:sz w:val="20"/>
                      <w:szCs w:val="20"/>
                    </w:rPr>
                    <w:t>于</w:t>
                  </w:r>
                  <w:r>
                    <w:rPr>
                      <w:spacing w:val="-35"/>
                      <w:sz w:val="20"/>
                      <w:szCs w:val="20"/>
                    </w:rPr>
                    <w:t xml:space="preserve"> </w:t>
                  </w:r>
                  <w:r>
                    <w:rPr>
                      <w:spacing w:val="-2"/>
                      <w:sz w:val="20"/>
                      <w:szCs w:val="20"/>
                    </w:rPr>
                    <w:t>危</w:t>
                  </w:r>
                  <w:r>
                    <w:rPr>
                      <w:spacing w:val="-32"/>
                      <w:sz w:val="20"/>
                      <w:szCs w:val="20"/>
                    </w:rPr>
                    <w:t xml:space="preserve"> </w:t>
                  </w:r>
                  <w:r>
                    <w:rPr>
                      <w:spacing w:val="-2"/>
                      <w:sz w:val="20"/>
                      <w:szCs w:val="20"/>
                    </w:rPr>
                    <w:t>险</w:t>
                  </w:r>
                  <w:r>
                    <w:rPr>
                      <w:spacing w:val="-43"/>
                      <w:sz w:val="20"/>
                      <w:szCs w:val="20"/>
                    </w:rPr>
                    <w:t xml:space="preserve"> </w:t>
                  </w:r>
                  <w:r>
                    <w:rPr>
                      <w:spacing w:val="-2"/>
                      <w:sz w:val="20"/>
                      <w:szCs w:val="20"/>
                    </w:rPr>
                    <w:t>废</w:t>
                  </w:r>
                  <w:r>
                    <w:rPr>
                      <w:spacing w:val="-41"/>
                      <w:sz w:val="20"/>
                      <w:szCs w:val="20"/>
                    </w:rPr>
                    <w:t xml:space="preserve"> </w:t>
                  </w:r>
                  <w:r>
                    <w:rPr>
                      <w:spacing w:val="-2"/>
                      <w:sz w:val="20"/>
                      <w:szCs w:val="20"/>
                    </w:rPr>
                    <w:t>物</w:t>
                  </w:r>
                  <w:r>
                    <w:rPr>
                      <w:spacing w:val="-41"/>
                      <w:sz w:val="20"/>
                      <w:szCs w:val="20"/>
                    </w:rPr>
                    <w:t xml:space="preserve"> </w:t>
                  </w:r>
                  <w:r>
                    <w:rPr>
                      <w:spacing w:val="-2"/>
                      <w:sz w:val="20"/>
                      <w:szCs w:val="20"/>
                    </w:rPr>
                    <w:t>贮</w:t>
                  </w:r>
                  <w:r>
                    <w:rPr>
                      <w:spacing w:val="-45"/>
                      <w:sz w:val="20"/>
                      <w:szCs w:val="20"/>
                    </w:rPr>
                    <w:t xml:space="preserve"> </w:t>
                  </w:r>
                  <w:r>
                    <w:rPr>
                      <w:spacing w:val="-2"/>
                      <w:sz w:val="20"/>
                      <w:szCs w:val="20"/>
                    </w:rPr>
                    <w:t>存</w:t>
                  </w:r>
                  <w:r>
                    <w:rPr>
                      <w:sz w:val="20"/>
                      <w:szCs w:val="20"/>
                    </w:rPr>
                    <w:t xml:space="preserve"> </w:t>
                  </w:r>
                  <w:r>
                    <w:rPr>
                      <w:spacing w:val="18"/>
                      <w:sz w:val="20"/>
                      <w:szCs w:val="20"/>
                    </w:rPr>
                    <w:t>库，委托资质单位</w:t>
                  </w:r>
                  <w:r>
                    <w:rPr>
                      <w:spacing w:val="5"/>
                      <w:sz w:val="20"/>
                      <w:szCs w:val="20"/>
                    </w:rPr>
                    <w:t xml:space="preserve"> </w:t>
                  </w:r>
                  <w:r>
                    <w:rPr>
                      <w:spacing w:val="2"/>
                      <w:sz w:val="20"/>
                      <w:szCs w:val="20"/>
                    </w:rPr>
                    <w:t>处置。</w:t>
                  </w:r>
                </w:p>
              </w:tc>
            </w:tr>
            <w:tr w14:paraId="1F260A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06" w:hRule="atLeast"/>
              </w:trPr>
              <w:tc>
                <w:tcPr>
                  <w:tcW w:w="344" w:type="dxa"/>
                  <w:tcBorders>
                    <w:left w:val="nil"/>
                  </w:tcBorders>
                  <w:vAlign w:val="top"/>
                </w:tcPr>
                <w:p w14:paraId="5D0EC987">
                  <w:pPr>
                    <w:spacing w:line="254" w:lineRule="auto"/>
                    <w:rPr>
                      <w:rFonts w:ascii="Arial"/>
                      <w:sz w:val="21"/>
                    </w:rPr>
                  </w:pPr>
                </w:p>
                <w:p w14:paraId="25138DCF">
                  <w:pPr>
                    <w:spacing w:line="254" w:lineRule="auto"/>
                    <w:rPr>
                      <w:rFonts w:ascii="Arial"/>
                      <w:sz w:val="21"/>
                    </w:rPr>
                  </w:pPr>
                </w:p>
                <w:p w14:paraId="026D2473">
                  <w:pPr>
                    <w:spacing w:line="254" w:lineRule="auto"/>
                    <w:rPr>
                      <w:rFonts w:ascii="Arial"/>
                      <w:sz w:val="21"/>
                    </w:rPr>
                  </w:pPr>
                </w:p>
                <w:p w14:paraId="7E65C3EC">
                  <w:pPr>
                    <w:spacing w:line="254" w:lineRule="auto"/>
                    <w:rPr>
                      <w:rFonts w:ascii="Arial"/>
                      <w:sz w:val="21"/>
                    </w:rPr>
                  </w:pPr>
                </w:p>
                <w:p w14:paraId="6AA10376">
                  <w:pPr>
                    <w:spacing w:line="254" w:lineRule="auto"/>
                    <w:rPr>
                      <w:rFonts w:ascii="Arial"/>
                      <w:sz w:val="21"/>
                    </w:rPr>
                  </w:pPr>
                </w:p>
                <w:p w14:paraId="10BFE262">
                  <w:pPr>
                    <w:spacing w:line="254" w:lineRule="auto"/>
                    <w:rPr>
                      <w:rFonts w:ascii="Arial"/>
                      <w:sz w:val="21"/>
                    </w:rPr>
                  </w:pPr>
                </w:p>
                <w:p w14:paraId="19459053">
                  <w:pPr>
                    <w:spacing w:line="254" w:lineRule="auto"/>
                    <w:rPr>
                      <w:rFonts w:ascii="Arial"/>
                      <w:sz w:val="21"/>
                    </w:rPr>
                  </w:pPr>
                </w:p>
                <w:p w14:paraId="61D9C2FE">
                  <w:pPr>
                    <w:spacing w:line="255" w:lineRule="auto"/>
                    <w:rPr>
                      <w:rFonts w:ascii="Arial"/>
                      <w:sz w:val="21"/>
                    </w:rPr>
                  </w:pPr>
                </w:p>
                <w:p w14:paraId="326E978D">
                  <w:pPr>
                    <w:spacing w:line="255" w:lineRule="auto"/>
                    <w:rPr>
                      <w:rFonts w:ascii="Arial"/>
                      <w:sz w:val="21"/>
                    </w:rPr>
                  </w:pPr>
                </w:p>
                <w:p w14:paraId="4BBFF183">
                  <w:pPr>
                    <w:spacing w:before="61" w:line="187" w:lineRule="auto"/>
                    <w:ind w:left="130"/>
                    <w:rPr>
                      <w:rFonts w:ascii="Calibri" w:hAnsi="Calibri" w:eastAsia="Calibri" w:cs="Calibri"/>
                      <w:sz w:val="20"/>
                      <w:szCs w:val="20"/>
                    </w:rPr>
                  </w:pPr>
                  <w:r>
                    <w:rPr>
                      <w:rFonts w:ascii="Calibri" w:hAnsi="Calibri" w:eastAsia="Calibri" w:cs="Calibri"/>
                      <w:sz w:val="20"/>
                      <w:szCs w:val="20"/>
                    </w:rPr>
                    <w:t>2</w:t>
                  </w:r>
                </w:p>
              </w:tc>
              <w:tc>
                <w:tcPr>
                  <w:tcW w:w="902" w:type="dxa"/>
                  <w:vAlign w:val="top"/>
                </w:tcPr>
                <w:p w14:paraId="25CB14FE">
                  <w:pPr>
                    <w:pStyle w:val="6"/>
                    <w:spacing w:before="82" w:line="292" w:lineRule="auto"/>
                    <w:ind w:left="33" w:firstLine="5"/>
                    <w:rPr>
                      <w:sz w:val="20"/>
                      <w:szCs w:val="20"/>
                    </w:rPr>
                  </w:pPr>
                  <w:r>
                    <w:rPr>
                      <w:spacing w:val="-2"/>
                      <w:sz w:val="20"/>
                      <w:szCs w:val="20"/>
                    </w:rPr>
                    <w:t>《黑龙江</w:t>
                  </w:r>
                  <w:r>
                    <w:rPr>
                      <w:spacing w:val="2"/>
                      <w:sz w:val="20"/>
                      <w:szCs w:val="20"/>
                    </w:rPr>
                    <w:t xml:space="preserve"> </w:t>
                  </w:r>
                  <w:r>
                    <w:rPr>
                      <w:sz w:val="20"/>
                      <w:szCs w:val="20"/>
                    </w:rPr>
                    <w:t xml:space="preserve">省重点行 业挥发性 有机物综 合治理行 </w:t>
                  </w:r>
                  <w:r>
                    <w:rPr>
                      <w:spacing w:val="-2"/>
                      <w:sz w:val="20"/>
                      <w:szCs w:val="20"/>
                    </w:rPr>
                    <w:t>动方案》</w:t>
                  </w:r>
                  <w:r>
                    <w:rPr>
                      <w:sz w:val="20"/>
                      <w:szCs w:val="20"/>
                    </w:rPr>
                    <w:t xml:space="preserve"> 环保厅文 </w:t>
                  </w:r>
                  <w:r>
                    <w:rPr>
                      <w:spacing w:val="-21"/>
                      <w:sz w:val="20"/>
                      <w:szCs w:val="20"/>
                    </w:rPr>
                    <w:t>件〔</w:t>
                  </w:r>
                  <w:r>
                    <w:rPr>
                      <w:rFonts w:ascii="Calibri" w:hAnsi="Calibri" w:eastAsia="Calibri" w:cs="Calibri"/>
                      <w:spacing w:val="-21"/>
                      <w:sz w:val="20"/>
                      <w:szCs w:val="20"/>
                    </w:rPr>
                    <w:t>2019</w:t>
                  </w:r>
                  <w:r>
                    <w:rPr>
                      <w:spacing w:val="-21"/>
                      <w:sz w:val="20"/>
                      <w:szCs w:val="20"/>
                    </w:rPr>
                    <w:t>〕</w:t>
                  </w:r>
                  <w:r>
                    <w:rPr>
                      <w:spacing w:val="3"/>
                      <w:sz w:val="20"/>
                      <w:szCs w:val="20"/>
                    </w:rPr>
                    <w:t xml:space="preserve"> </w:t>
                  </w:r>
                  <w:r>
                    <w:rPr>
                      <w:rFonts w:ascii="Calibri" w:hAnsi="Calibri" w:eastAsia="Calibri" w:cs="Calibri"/>
                      <w:spacing w:val="-2"/>
                      <w:sz w:val="20"/>
                      <w:szCs w:val="20"/>
                    </w:rPr>
                    <w:t>153</w:t>
                  </w:r>
                  <w:r>
                    <w:rPr>
                      <w:rFonts w:ascii="Calibri" w:hAnsi="Calibri" w:eastAsia="Calibri" w:cs="Calibri"/>
                      <w:spacing w:val="17"/>
                      <w:w w:val="101"/>
                      <w:sz w:val="20"/>
                      <w:szCs w:val="20"/>
                    </w:rPr>
                    <w:t xml:space="preserve"> </w:t>
                  </w:r>
                  <w:r>
                    <w:rPr>
                      <w:spacing w:val="-2"/>
                      <w:sz w:val="20"/>
                      <w:szCs w:val="20"/>
                    </w:rPr>
                    <w:t>号</w:t>
                  </w:r>
                </w:p>
              </w:tc>
              <w:tc>
                <w:tcPr>
                  <w:tcW w:w="686" w:type="dxa"/>
                  <w:vAlign w:val="top"/>
                </w:tcPr>
                <w:p w14:paraId="7B342142">
                  <w:pPr>
                    <w:spacing w:line="281" w:lineRule="auto"/>
                    <w:rPr>
                      <w:rFonts w:ascii="Arial"/>
                      <w:sz w:val="21"/>
                    </w:rPr>
                  </w:pPr>
                </w:p>
                <w:p w14:paraId="55745DE1">
                  <w:pPr>
                    <w:spacing w:line="281" w:lineRule="auto"/>
                    <w:rPr>
                      <w:rFonts w:ascii="Arial"/>
                      <w:sz w:val="21"/>
                    </w:rPr>
                  </w:pPr>
                </w:p>
                <w:p w14:paraId="0FD2E382">
                  <w:pPr>
                    <w:spacing w:line="282" w:lineRule="auto"/>
                    <w:rPr>
                      <w:rFonts w:ascii="Arial"/>
                      <w:sz w:val="21"/>
                    </w:rPr>
                  </w:pPr>
                </w:p>
                <w:p w14:paraId="7A008C3A">
                  <w:pPr>
                    <w:spacing w:line="282" w:lineRule="auto"/>
                    <w:rPr>
                      <w:rFonts w:ascii="Arial"/>
                      <w:sz w:val="21"/>
                    </w:rPr>
                  </w:pPr>
                </w:p>
                <w:p w14:paraId="36E1840C">
                  <w:pPr>
                    <w:pStyle w:val="6"/>
                    <w:spacing w:before="66" w:line="231" w:lineRule="auto"/>
                    <w:ind w:left="35"/>
                    <w:rPr>
                      <w:sz w:val="20"/>
                      <w:szCs w:val="20"/>
                    </w:rPr>
                  </w:pPr>
                  <w:r>
                    <w:rPr>
                      <w:spacing w:val="5"/>
                      <w:sz w:val="20"/>
                      <w:szCs w:val="20"/>
                    </w:rPr>
                    <w:t>二、推</w:t>
                  </w:r>
                </w:p>
                <w:p w14:paraId="7E2E4570">
                  <w:pPr>
                    <w:pStyle w:val="6"/>
                    <w:spacing w:before="71" w:line="228" w:lineRule="auto"/>
                    <w:ind w:left="30"/>
                    <w:rPr>
                      <w:sz w:val="20"/>
                      <w:szCs w:val="20"/>
                    </w:rPr>
                  </w:pPr>
                  <w:r>
                    <w:rPr>
                      <w:spacing w:val="7"/>
                      <w:sz w:val="20"/>
                      <w:szCs w:val="20"/>
                    </w:rPr>
                    <w:t>进思路</w:t>
                  </w:r>
                </w:p>
                <w:p w14:paraId="308876D2">
                  <w:pPr>
                    <w:pStyle w:val="6"/>
                    <w:spacing w:before="72" w:line="238" w:lineRule="auto"/>
                    <w:ind w:left="42"/>
                    <w:rPr>
                      <w:sz w:val="20"/>
                      <w:szCs w:val="20"/>
                    </w:rPr>
                  </w:pPr>
                  <w:r>
                    <w:rPr>
                      <w:spacing w:val="-1"/>
                      <w:sz w:val="20"/>
                      <w:szCs w:val="20"/>
                    </w:rPr>
                    <w:t>（五）</w:t>
                  </w:r>
                </w:p>
                <w:p w14:paraId="28BE429E">
                  <w:pPr>
                    <w:pStyle w:val="6"/>
                    <w:spacing w:before="61" w:line="229" w:lineRule="auto"/>
                    <w:ind w:left="32"/>
                    <w:rPr>
                      <w:sz w:val="20"/>
                      <w:szCs w:val="20"/>
                    </w:rPr>
                  </w:pPr>
                  <w:r>
                    <w:rPr>
                      <w:spacing w:val="6"/>
                      <w:sz w:val="20"/>
                      <w:szCs w:val="20"/>
                    </w:rPr>
                    <w:t>推进建</w:t>
                  </w:r>
                </w:p>
                <w:p w14:paraId="0FA21525">
                  <w:pPr>
                    <w:pStyle w:val="6"/>
                    <w:spacing w:before="73" w:line="229" w:lineRule="auto"/>
                    <w:ind w:left="35"/>
                    <w:rPr>
                      <w:sz w:val="20"/>
                      <w:szCs w:val="20"/>
                    </w:rPr>
                  </w:pPr>
                  <w:r>
                    <w:rPr>
                      <w:spacing w:val="5"/>
                      <w:sz w:val="20"/>
                      <w:szCs w:val="20"/>
                    </w:rPr>
                    <w:t>设适宜</w:t>
                  </w:r>
                </w:p>
                <w:p w14:paraId="550C2F61">
                  <w:pPr>
                    <w:pStyle w:val="6"/>
                    <w:spacing w:before="70" w:line="228" w:lineRule="auto"/>
                    <w:ind w:left="38"/>
                    <w:rPr>
                      <w:sz w:val="20"/>
                      <w:szCs w:val="20"/>
                    </w:rPr>
                  </w:pPr>
                  <w:r>
                    <w:rPr>
                      <w:spacing w:val="5"/>
                      <w:sz w:val="20"/>
                      <w:szCs w:val="20"/>
                    </w:rPr>
                    <w:t>高效的</w:t>
                  </w:r>
                </w:p>
                <w:p w14:paraId="409AD9E5">
                  <w:pPr>
                    <w:pStyle w:val="6"/>
                    <w:spacing w:before="73" w:line="229" w:lineRule="auto"/>
                    <w:ind w:left="37"/>
                    <w:rPr>
                      <w:sz w:val="20"/>
                      <w:szCs w:val="20"/>
                    </w:rPr>
                  </w:pPr>
                  <w:r>
                    <w:rPr>
                      <w:spacing w:val="5"/>
                      <w:sz w:val="20"/>
                      <w:szCs w:val="20"/>
                    </w:rPr>
                    <w:t>治污设</w:t>
                  </w:r>
                </w:p>
                <w:p w14:paraId="4A65E33D">
                  <w:pPr>
                    <w:pStyle w:val="6"/>
                    <w:spacing w:before="73" w:line="231" w:lineRule="auto"/>
                    <w:ind w:left="242"/>
                    <w:rPr>
                      <w:sz w:val="20"/>
                      <w:szCs w:val="20"/>
                    </w:rPr>
                  </w:pPr>
                  <w:r>
                    <w:rPr>
                      <w:spacing w:val="1"/>
                      <w:sz w:val="20"/>
                      <w:szCs w:val="20"/>
                    </w:rPr>
                    <w:t>施</w:t>
                  </w:r>
                </w:p>
              </w:tc>
              <w:tc>
                <w:tcPr>
                  <w:tcW w:w="4463" w:type="dxa"/>
                  <w:vAlign w:val="top"/>
                </w:tcPr>
                <w:p w14:paraId="33229D90">
                  <w:pPr>
                    <w:spacing w:line="324" w:lineRule="auto"/>
                    <w:rPr>
                      <w:rFonts w:ascii="Arial"/>
                      <w:sz w:val="21"/>
                    </w:rPr>
                  </w:pPr>
                </w:p>
                <w:p w14:paraId="7C1416F5">
                  <w:pPr>
                    <w:spacing w:line="324" w:lineRule="auto"/>
                    <w:rPr>
                      <w:rFonts w:ascii="Arial"/>
                      <w:sz w:val="21"/>
                    </w:rPr>
                  </w:pPr>
                </w:p>
                <w:p w14:paraId="2900EB09">
                  <w:pPr>
                    <w:pStyle w:val="6"/>
                    <w:spacing w:before="65" w:line="293" w:lineRule="auto"/>
                    <w:ind w:left="32" w:right="26" w:firstLine="4"/>
                    <w:rPr>
                      <w:sz w:val="20"/>
                      <w:szCs w:val="20"/>
                    </w:rPr>
                  </w:pPr>
                  <w:r>
                    <w:rPr>
                      <w:spacing w:val="9"/>
                      <w:sz w:val="20"/>
                      <w:szCs w:val="20"/>
                    </w:rPr>
                    <w:t>企业新建治污设施或对现有治污施实改造，应依</w:t>
                  </w:r>
                  <w:r>
                    <w:rPr>
                      <w:spacing w:val="2"/>
                      <w:sz w:val="20"/>
                      <w:szCs w:val="20"/>
                    </w:rPr>
                    <w:t xml:space="preserve"> </w:t>
                  </w:r>
                  <w:r>
                    <w:rPr>
                      <w:spacing w:val="9"/>
                      <w:sz w:val="20"/>
                      <w:szCs w:val="20"/>
                    </w:rPr>
                    <w:t>据排放气的浓度、组分、风量，温度、湿度、压 力，以及生产工况等，合理选择治理技术。鼓励</w:t>
                  </w:r>
                  <w:r>
                    <w:rPr>
                      <w:spacing w:val="6"/>
                      <w:sz w:val="20"/>
                      <w:szCs w:val="20"/>
                    </w:rPr>
                    <w:t xml:space="preserve"> </w:t>
                  </w:r>
                  <w:r>
                    <w:rPr>
                      <w:spacing w:val="13"/>
                      <w:sz w:val="20"/>
                      <w:szCs w:val="20"/>
                    </w:rPr>
                    <w:t>企业采用多种技术的组合工艺，提高</w:t>
                  </w:r>
                  <w:r>
                    <w:rPr>
                      <w:spacing w:val="-37"/>
                      <w:sz w:val="20"/>
                      <w:szCs w:val="20"/>
                    </w:rPr>
                    <w:t xml:space="preserve"> </w:t>
                  </w:r>
                  <w:r>
                    <w:rPr>
                      <w:rFonts w:ascii="Calibri" w:hAnsi="Calibri" w:eastAsia="Calibri" w:cs="Calibri"/>
                      <w:sz w:val="20"/>
                      <w:szCs w:val="20"/>
                    </w:rPr>
                    <w:t>VOCs</w:t>
                  </w:r>
                  <w:r>
                    <w:rPr>
                      <w:rFonts w:ascii="Calibri" w:hAnsi="Calibri" w:eastAsia="Calibri" w:cs="Calibri"/>
                      <w:spacing w:val="23"/>
                      <w:sz w:val="20"/>
                      <w:szCs w:val="20"/>
                    </w:rPr>
                    <w:t xml:space="preserve"> </w:t>
                  </w:r>
                  <w:r>
                    <w:rPr>
                      <w:spacing w:val="13"/>
                      <w:sz w:val="20"/>
                      <w:szCs w:val="20"/>
                    </w:rPr>
                    <w:t>治理</w:t>
                  </w:r>
                  <w:r>
                    <w:rPr>
                      <w:sz w:val="20"/>
                      <w:szCs w:val="20"/>
                    </w:rPr>
                    <w:t xml:space="preserve"> </w:t>
                  </w:r>
                  <w:r>
                    <w:rPr>
                      <w:spacing w:val="9"/>
                      <w:sz w:val="20"/>
                      <w:szCs w:val="20"/>
                    </w:rPr>
                    <w:t>效率。低浓度、大风量废气，宜采用沸石转轮吸</w:t>
                  </w:r>
                  <w:r>
                    <w:rPr>
                      <w:spacing w:val="6"/>
                      <w:sz w:val="20"/>
                      <w:szCs w:val="20"/>
                    </w:rPr>
                    <w:t xml:space="preserve"> </w:t>
                  </w:r>
                  <w:r>
                    <w:rPr>
                      <w:spacing w:val="-4"/>
                      <w:sz w:val="20"/>
                      <w:szCs w:val="20"/>
                    </w:rPr>
                    <w:t>附、活性炭吸附、减风增浓等浓缩技术，提高</w:t>
                  </w:r>
                  <w:r>
                    <w:rPr>
                      <w:spacing w:val="-37"/>
                      <w:sz w:val="20"/>
                      <w:szCs w:val="20"/>
                    </w:rPr>
                    <w:t xml:space="preserve"> </w:t>
                  </w:r>
                  <w:r>
                    <w:rPr>
                      <w:rFonts w:ascii="Calibri" w:hAnsi="Calibri" w:eastAsia="Calibri" w:cs="Calibri"/>
                      <w:spacing w:val="-4"/>
                      <w:sz w:val="20"/>
                      <w:szCs w:val="20"/>
                    </w:rPr>
                    <w:t>VOCs</w:t>
                  </w:r>
                  <w:r>
                    <w:rPr>
                      <w:rFonts w:ascii="Calibri" w:hAnsi="Calibri" w:eastAsia="Calibri" w:cs="Calibri"/>
                      <w:sz w:val="20"/>
                      <w:szCs w:val="20"/>
                    </w:rPr>
                    <w:t xml:space="preserve"> </w:t>
                  </w:r>
                  <w:r>
                    <w:rPr>
                      <w:spacing w:val="13"/>
                      <w:sz w:val="20"/>
                      <w:szCs w:val="20"/>
                    </w:rPr>
                    <w:t>浓度后净化处理</w:t>
                  </w:r>
                  <w:r>
                    <w:rPr>
                      <w:rFonts w:ascii="Calibri" w:hAnsi="Calibri" w:eastAsia="Calibri" w:cs="Calibri"/>
                      <w:spacing w:val="13"/>
                      <w:sz w:val="20"/>
                      <w:szCs w:val="20"/>
                    </w:rPr>
                    <w:t>…</w:t>
                  </w:r>
                  <w:r>
                    <w:rPr>
                      <w:rFonts w:ascii="Calibri" w:hAnsi="Calibri" w:eastAsia="Calibri" w:cs="Calibri"/>
                      <w:spacing w:val="-13"/>
                      <w:sz w:val="20"/>
                      <w:szCs w:val="20"/>
                    </w:rPr>
                    <w:t xml:space="preserve"> </w:t>
                  </w:r>
                  <w:r>
                    <w:rPr>
                      <w:rFonts w:ascii="Calibri" w:hAnsi="Calibri" w:eastAsia="Calibri" w:cs="Calibri"/>
                      <w:spacing w:val="13"/>
                      <w:sz w:val="20"/>
                      <w:szCs w:val="20"/>
                    </w:rPr>
                    <w:t>…</w:t>
                  </w:r>
                  <w:r>
                    <w:rPr>
                      <w:rFonts w:ascii="Calibri" w:hAnsi="Calibri" w:eastAsia="Calibri" w:cs="Calibri"/>
                      <w:spacing w:val="-29"/>
                      <w:sz w:val="20"/>
                      <w:szCs w:val="20"/>
                    </w:rPr>
                    <w:t xml:space="preserve"> </w:t>
                  </w:r>
                  <w:r>
                    <w:rPr>
                      <w:spacing w:val="13"/>
                      <w:sz w:val="20"/>
                      <w:szCs w:val="20"/>
                    </w:rPr>
                    <w:t>采用一次性活性炭吸附技术</w:t>
                  </w:r>
                  <w:r>
                    <w:rPr>
                      <w:sz w:val="20"/>
                      <w:szCs w:val="20"/>
                    </w:rPr>
                    <w:t xml:space="preserve"> </w:t>
                  </w:r>
                  <w:r>
                    <w:rPr>
                      <w:spacing w:val="9"/>
                      <w:sz w:val="20"/>
                      <w:szCs w:val="20"/>
                    </w:rPr>
                    <w:t>的，应定期更换活性炭，废旧活性炭应再生或处</w:t>
                  </w:r>
                  <w:r>
                    <w:rPr>
                      <w:spacing w:val="6"/>
                      <w:sz w:val="20"/>
                      <w:szCs w:val="20"/>
                    </w:rPr>
                    <w:t xml:space="preserve"> </w:t>
                  </w:r>
                  <w:r>
                    <w:rPr>
                      <w:spacing w:val="9"/>
                      <w:sz w:val="20"/>
                      <w:szCs w:val="20"/>
                    </w:rPr>
                    <w:t>理处置。有条件的工业园区和产业集群等，推广</w:t>
                  </w:r>
                  <w:r>
                    <w:rPr>
                      <w:spacing w:val="6"/>
                      <w:sz w:val="20"/>
                      <w:szCs w:val="20"/>
                    </w:rPr>
                    <w:t xml:space="preserve"> </w:t>
                  </w:r>
                  <w:r>
                    <w:rPr>
                      <w:spacing w:val="9"/>
                      <w:sz w:val="20"/>
                      <w:szCs w:val="20"/>
                    </w:rPr>
                    <w:t xml:space="preserve">集中喷涂、溶剂集中回收、活性炭集中再生等， </w:t>
                  </w:r>
                  <w:r>
                    <w:rPr>
                      <w:spacing w:val="8"/>
                      <w:sz w:val="20"/>
                      <w:szCs w:val="20"/>
                    </w:rPr>
                    <w:t>加强资源共享，提高</w:t>
                  </w:r>
                  <w:r>
                    <w:rPr>
                      <w:spacing w:val="-36"/>
                      <w:sz w:val="20"/>
                      <w:szCs w:val="20"/>
                    </w:rPr>
                    <w:t xml:space="preserve"> </w:t>
                  </w:r>
                  <w:r>
                    <w:rPr>
                      <w:rFonts w:ascii="Calibri" w:hAnsi="Calibri" w:eastAsia="Calibri" w:cs="Calibri"/>
                      <w:sz w:val="20"/>
                      <w:szCs w:val="20"/>
                    </w:rPr>
                    <w:t>VOCs</w:t>
                  </w:r>
                  <w:r>
                    <w:rPr>
                      <w:rFonts w:ascii="Calibri" w:hAnsi="Calibri" w:eastAsia="Calibri" w:cs="Calibri"/>
                      <w:spacing w:val="23"/>
                      <w:sz w:val="20"/>
                      <w:szCs w:val="20"/>
                    </w:rPr>
                    <w:t xml:space="preserve"> </w:t>
                  </w:r>
                  <w:r>
                    <w:rPr>
                      <w:spacing w:val="8"/>
                      <w:sz w:val="20"/>
                      <w:szCs w:val="20"/>
                    </w:rPr>
                    <w:t>治理效率。</w:t>
                  </w:r>
                </w:p>
              </w:tc>
              <w:tc>
                <w:tcPr>
                  <w:tcW w:w="1817" w:type="dxa"/>
                  <w:tcBorders>
                    <w:right w:val="nil"/>
                  </w:tcBorders>
                  <w:vAlign w:val="top"/>
                </w:tcPr>
                <w:p w14:paraId="337502AA">
                  <w:pPr>
                    <w:pStyle w:val="6"/>
                    <w:spacing w:before="47" w:line="289" w:lineRule="auto"/>
                    <w:ind w:left="34" w:firstLine="10"/>
                    <w:rPr>
                      <w:sz w:val="20"/>
                      <w:szCs w:val="20"/>
                    </w:rPr>
                  </w:pPr>
                  <w:r>
                    <w:rPr>
                      <w:rFonts w:ascii="Calibri" w:hAnsi="Calibri" w:eastAsia="Calibri" w:cs="Calibri"/>
                      <w:spacing w:val="4"/>
                      <w:sz w:val="20"/>
                      <w:szCs w:val="20"/>
                    </w:rPr>
                    <w:t>①</w:t>
                  </w:r>
                  <w:r>
                    <w:rPr>
                      <w:spacing w:val="4"/>
                      <w:sz w:val="20"/>
                      <w:szCs w:val="20"/>
                    </w:rPr>
                    <w:t>本项目拆解过程</w:t>
                  </w:r>
                  <w:r>
                    <w:rPr>
                      <w:sz w:val="20"/>
                      <w:szCs w:val="20"/>
                    </w:rPr>
                    <w:t xml:space="preserve"> </w:t>
                  </w:r>
                  <w:r>
                    <w:rPr>
                      <w:spacing w:val="13"/>
                      <w:sz w:val="20"/>
                      <w:szCs w:val="20"/>
                    </w:rPr>
                    <w:t>中产生的非甲烷总</w:t>
                  </w:r>
                  <w:r>
                    <w:rPr>
                      <w:spacing w:val="6"/>
                      <w:sz w:val="20"/>
                      <w:szCs w:val="20"/>
                    </w:rPr>
                    <w:t xml:space="preserve"> </w:t>
                  </w:r>
                  <w:r>
                    <w:rPr>
                      <w:spacing w:val="13"/>
                      <w:sz w:val="20"/>
                      <w:szCs w:val="20"/>
                    </w:rPr>
                    <w:t>烃经集气罩收集通</w:t>
                  </w:r>
                  <w:r>
                    <w:rPr>
                      <w:spacing w:val="6"/>
                      <w:sz w:val="20"/>
                      <w:szCs w:val="20"/>
                    </w:rPr>
                    <w:t xml:space="preserve"> </w:t>
                  </w:r>
                  <w:r>
                    <w:rPr>
                      <w:spacing w:val="13"/>
                      <w:sz w:val="20"/>
                      <w:szCs w:val="20"/>
                    </w:rPr>
                    <w:t>过活性炭吸附装置</w:t>
                  </w:r>
                  <w:r>
                    <w:rPr>
                      <w:spacing w:val="6"/>
                      <w:sz w:val="20"/>
                      <w:szCs w:val="20"/>
                    </w:rPr>
                    <w:t xml:space="preserve"> </w:t>
                  </w:r>
                  <w:r>
                    <w:rPr>
                      <w:spacing w:val="4"/>
                      <w:sz w:val="20"/>
                      <w:szCs w:val="20"/>
                    </w:rPr>
                    <w:t>处理后通过</w:t>
                  </w:r>
                  <w:r>
                    <w:rPr>
                      <w:spacing w:val="-4"/>
                      <w:sz w:val="20"/>
                      <w:szCs w:val="20"/>
                    </w:rPr>
                    <w:t xml:space="preserve"> </w:t>
                  </w:r>
                  <w:r>
                    <w:rPr>
                      <w:spacing w:val="4"/>
                      <w:sz w:val="20"/>
                      <w:szCs w:val="20"/>
                    </w:rPr>
                    <w:t>15m</w:t>
                  </w:r>
                  <w:r>
                    <w:rPr>
                      <w:spacing w:val="-22"/>
                      <w:sz w:val="20"/>
                      <w:szCs w:val="20"/>
                    </w:rPr>
                    <w:t xml:space="preserve"> </w:t>
                  </w:r>
                  <w:r>
                    <w:rPr>
                      <w:spacing w:val="4"/>
                      <w:sz w:val="20"/>
                      <w:szCs w:val="20"/>
                    </w:rPr>
                    <w:t>高</w:t>
                  </w:r>
                  <w:r>
                    <w:rPr>
                      <w:sz w:val="20"/>
                      <w:szCs w:val="20"/>
                    </w:rPr>
                    <w:t xml:space="preserve"> </w:t>
                  </w:r>
                  <w:r>
                    <w:rPr>
                      <w:spacing w:val="-2"/>
                      <w:sz w:val="20"/>
                      <w:szCs w:val="20"/>
                    </w:rPr>
                    <w:t>排气筒</w:t>
                  </w:r>
                  <w:r>
                    <w:rPr>
                      <w:spacing w:val="-48"/>
                      <w:sz w:val="20"/>
                      <w:szCs w:val="20"/>
                    </w:rPr>
                    <w:t xml:space="preserve"> </w:t>
                  </w:r>
                  <w:r>
                    <w:rPr>
                      <w:spacing w:val="-2"/>
                      <w:sz w:val="20"/>
                      <w:szCs w:val="20"/>
                    </w:rPr>
                    <w:t>DA002</w:t>
                  </w:r>
                  <w:r>
                    <w:rPr>
                      <w:spacing w:val="-51"/>
                      <w:sz w:val="20"/>
                      <w:szCs w:val="20"/>
                    </w:rPr>
                    <w:t xml:space="preserve"> </w:t>
                  </w:r>
                  <w:r>
                    <w:rPr>
                      <w:spacing w:val="-2"/>
                      <w:sz w:val="20"/>
                      <w:szCs w:val="20"/>
                    </w:rPr>
                    <w:t>排放。</w:t>
                  </w:r>
                </w:p>
                <w:p w14:paraId="51B71D13">
                  <w:pPr>
                    <w:pStyle w:val="6"/>
                    <w:spacing w:before="42" w:line="293" w:lineRule="auto"/>
                    <w:ind w:left="34" w:right="29" w:firstLine="10"/>
                    <w:rPr>
                      <w:sz w:val="20"/>
                      <w:szCs w:val="20"/>
                    </w:rPr>
                  </w:pPr>
                  <w:r>
                    <w:rPr>
                      <w:rFonts w:ascii="Calibri" w:hAnsi="Calibri" w:eastAsia="Calibri" w:cs="Calibri"/>
                      <w:spacing w:val="9"/>
                      <w:sz w:val="20"/>
                      <w:szCs w:val="20"/>
                    </w:rPr>
                    <w:t>②</w:t>
                  </w:r>
                  <w:r>
                    <w:rPr>
                      <w:spacing w:val="9"/>
                      <w:sz w:val="20"/>
                      <w:szCs w:val="20"/>
                    </w:rPr>
                    <w:t>结合活性炭吸附</w:t>
                  </w:r>
                  <w:r>
                    <w:rPr>
                      <w:sz w:val="20"/>
                      <w:szCs w:val="20"/>
                    </w:rPr>
                    <w:t xml:space="preserve"> </w:t>
                  </w:r>
                  <w:r>
                    <w:rPr>
                      <w:spacing w:val="18"/>
                      <w:sz w:val="20"/>
                      <w:szCs w:val="20"/>
                    </w:rPr>
                    <w:t>装置活性炭配置情</w:t>
                  </w:r>
                  <w:r>
                    <w:rPr>
                      <w:spacing w:val="6"/>
                      <w:sz w:val="20"/>
                      <w:szCs w:val="20"/>
                    </w:rPr>
                    <w:t xml:space="preserve"> </w:t>
                  </w:r>
                  <w:r>
                    <w:rPr>
                      <w:spacing w:val="18"/>
                      <w:sz w:val="20"/>
                      <w:szCs w:val="20"/>
                    </w:rPr>
                    <w:t>况，要求本项目活</w:t>
                  </w:r>
                  <w:r>
                    <w:rPr>
                      <w:spacing w:val="6"/>
                      <w:sz w:val="20"/>
                      <w:szCs w:val="20"/>
                    </w:rPr>
                    <w:t xml:space="preserve"> </w:t>
                  </w:r>
                  <w:r>
                    <w:rPr>
                      <w:spacing w:val="20"/>
                      <w:sz w:val="20"/>
                      <w:szCs w:val="20"/>
                    </w:rPr>
                    <w:t>性炭更换周期为</w:t>
                  </w:r>
                  <w:r>
                    <w:rPr>
                      <w:spacing w:val="-11"/>
                      <w:sz w:val="20"/>
                      <w:szCs w:val="20"/>
                    </w:rPr>
                    <w:t xml:space="preserve"> </w:t>
                  </w:r>
                  <w:r>
                    <w:rPr>
                      <w:rFonts w:ascii="Calibri" w:hAnsi="Calibri" w:eastAsia="Calibri" w:cs="Calibri"/>
                      <w:spacing w:val="20"/>
                      <w:sz w:val="20"/>
                      <w:szCs w:val="20"/>
                    </w:rPr>
                    <w:t>1</w:t>
                  </w:r>
                  <w:r>
                    <w:rPr>
                      <w:rFonts w:ascii="Calibri" w:hAnsi="Calibri" w:eastAsia="Calibri" w:cs="Calibri"/>
                      <w:sz w:val="20"/>
                      <w:szCs w:val="20"/>
                    </w:rPr>
                    <w:t xml:space="preserve"> </w:t>
                  </w:r>
                  <w:r>
                    <w:rPr>
                      <w:spacing w:val="3"/>
                      <w:sz w:val="20"/>
                      <w:szCs w:val="20"/>
                    </w:rPr>
                    <w:t>次</w:t>
                  </w:r>
                  <w:r>
                    <w:rPr>
                      <w:rFonts w:ascii="Calibri" w:hAnsi="Calibri" w:eastAsia="Calibri" w:cs="Calibri"/>
                      <w:spacing w:val="3"/>
                      <w:sz w:val="20"/>
                      <w:szCs w:val="20"/>
                    </w:rPr>
                    <w:t>/5</w:t>
                  </w:r>
                  <w:r>
                    <w:rPr>
                      <w:rFonts w:ascii="Calibri" w:hAnsi="Calibri" w:eastAsia="Calibri" w:cs="Calibri"/>
                      <w:spacing w:val="15"/>
                      <w:w w:val="101"/>
                      <w:sz w:val="20"/>
                      <w:szCs w:val="20"/>
                    </w:rPr>
                    <w:t xml:space="preserve"> </w:t>
                  </w:r>
                  <w:r>
                    <w:rPr>
                      <w:spacing w:val="3"/>
                      <w:sz w:val="20"/>
                      <w:szCs w:val="20"/>
                    </w:rPr>
                    <w:t>个月。</w:t>
                  </w:r>
                </w:p>
                <w:p w14:paraId="7CE8FEA5">
                  <w:pPr>
                    <w:pStyle w:val="6"/>
                    <w:spacing w:before="9" w:line="284" w:lineRule="auto"/>
                    <w:ind w:left="34" w:right="29" w:firstLine="9"/>
                    <w:rPr>
                      <w:sz w:val="20"/>
                      <w:szCs w:val="20"/>
                    </w:rPr>
                  </w:pPr>
                  <w:r>
                    <w:rPr>
                      <w:rFonts w:ascii="Calibri" w:hAnsi="Calibri" w:eastAsia="Calibri" w:cs="Calibri"/>
                      <w:spacing w:val="9"/>
                      <w:sz w:val="20"/>
                      <w:szCs w:val="20"/>
                    </w:rPr>
                    <w:t>③</w:t>
                  </w:r>
                  <w:r>
                    <w:rPr>
                      <w:spacing w:val="9"/>
                      <w:sz w:val="20"/>
                      <w:szCs w:val="20"/>
                    </w:rPr>
                    <w:t>废弃活性炭暂存</w:t>
                  </w:r>
                  <w:r>
                    <w:rPr>
                      <w:sz w:val="20"/>
                      <w:szCs w:val="20"/>
                    </w:rPr>
                    <w:t xml:space="preserve"> </w:t>
                  </w:r>
                  <w:r>
                    <w:rPr>
                      <w:spacing w:val="-2"/>
                      <w:sz w:val="20"/>
                      <w:szCs w:val="20"/>
                    </w:rPr>
                    <w:t>于</w:t>
                  </w:r>
                  <w:r>
                    <w:rPr>
                      <w:spacing w:val="-37"/>
                      <w:sz w:val="20"/>
                      <w:szCs w:val="20"/>
                    </w:rPr>
                    <w:t xml:space="preserve"> </w:t>
                  </w:r>
                  <w:r>
                    <w:rPr>
                      <w:spacing w:val="-2"/>
                      <w:sz w:val="20"/>
                      <w:szCs w:val="20"/>
                    </w:rPr>
                    <w:t>危</w:t>
                  </w:r>
                  <w:r>
                    <w:rPr>
                      <w:spacing w:val="-30"/>
                      <w:sz w:val="20"/>
                      <w:szCs w:val="20"/>
                    </w:rPr>
                    <w:t xml:space="preserve"> </w:t>
                  </w:r>
                  <w:r>
                    <w:rPr>
                      <w:spacing w:val="-2"/>
                      <w:sz w:val="20"/>
                      <w:szCs w:val="20"/>
                    </w:rPr>
                    <w:t>险</w:t>
                  </w:r>
                  <w:r>
                    <w:rPr>
                      <w:spacing w:val="-45"/>
                      <w:sz w:val="20"/>
                      <w:szCs w:val="20"/>
                    </w:rPr>
                    <w:t xml:space="preserve"> </w:t>
                  </w:r>
                  <w:r>
                    <w:rPr>
                      <w:spacing w:val="-2"/>
                      <w:sz w:val="20"/>
                      <w:szCs w:val="20"/>
                    </w:rPr>
                    <w:t>废</w:t>
                  </w:r>
                  <w:r>
                    <w:rPr>
                      <w:spacing w:val="-42"/>
                      <w:sz w:val="20"/>
                      <w:szCs w:val="20"/>
                    </w:rPr>
                    <w:t xml:space="preserve"> </w:t>
                  </w:r>
                  <w:r>
                    <w:rPr>
                      <w:spacing w:val="-2"/>
                      <w:sz w:val="20"/>
                      <w:szCs w:val="20"/>
                    </w:rPr>
                    <w:t>物</w:t>
                  </w:r>
                  <w:r>
                    <w:rPr>
                      <w:spacing w:val="-41"/>
                      <w:sz w:val="20"/>
                      <w:szCs w:val="20"/>
                    </w:rPr>
                    <w:t xml:space="preserve"> </w:t>
                  </w:r>
                  <w:r>
                    <w:rPr>
                      <w:spacing w:val="-2"/>
                      <w:sz w:val="20"/>
                      <w:szCs w:val="20"/>
                    </w:rPr>
                    <w:t>贮</w:t>
                  </w:r>
                  <w:r>
                    <w:rPr>
                      <w:spacing w:val="-42"/>
                      <w:sz w:val="20"/>
                      <w:szCs w:val="20"/>
                    </w:rPr>
                    <w:t xml:space="preserve"> </w:t>
                  </w:r>
                  <w:r>
                    <w:rPr>
                      <w:spacing w:val="-2"/>
                      <w:sz w:val="20"/>
                      <w:szCs w:val="20"/>
                    </w:rPr>
                    <w:t>存</w:t>
                  </w:r>
                  <w:r>
                    <w:rPr>
                      <w:sz w:val="20"/>
                      <w:szCs w:val="20"/>
                    </w:rPr>
                    <w:t xml:space="preserve"> </w:t>
                  </w:r>
                  <w:r>
                    <w:rPr>
                      <w:spacing w:val="18"/>
                      <w:sz w:val="20"/>
                      <w:szCs w:val="20"/>
                    </w:rPr>
                    <w:t>库，委托资质单位</w:t>
                  </w:r>
                  <w:r>
                    <w:rPr>
                      <w:spacing w:val="5"/>
                      <w:sz w:val="20"/>
                      <w:szCs w:val="20"/>
                    </w:rPr>
                    <w:t xml:space="preserve"> </w:t>
                  </w:r>
                  <w:r>
                    <w:rPr>
                      <w:spacing w:val="2"/>
                      <w:sz w:val="20"/>
                      <w:szCs w:val="20"/>
                    </w:rPr>
                    <w:t>处置。</w:t>
                  </w:r>
                </w:p>
              </w:tc>
            </w:tr>
          </w:tbl>
          <w:p w14:paraId="79AC9981">
            <w:pPr>
              <w:spacing w:line="140" w:lineRule="auto"/>
              <w:rPr>
                <w:rFonts w:ascii="Arial"/>
                <w:sz w:val="2"/>
              </w:rPr>
            </w:pPr>
          </w:p>
        </w:tc>
      </w:tr>
    </w:tbl>
    <w:p w14:paraId="12EE9F90">
      <w:pPr>
        <w:pStyle w:val="2"/>
      </w:pPr>
    </w:p>
    <w:p w14:paraId="1E447E8D">
      <w:pPr>
        <w:sectPr>
          <w:footerReference r:id="rId14"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456"/>
        <w:gridCol w:w="92"/>
        <w:gridCol w:w="127"/>
        <w:gridCol w:w="309"/>
        <w:gridCol w:w="372"/>
        <w:gridCol w:w="188"/>
        <w:gridCol w:w="495"/>
        <w:gridCol w:w="2927"/>
        <w:gridCol w:w="511"/>
        <w:gridCol w:w="1012"/>
        <w:gridCol w:w="794"/>
        <w:gridCol w:w="1145"/>
      </w:tblGrid>
      <w:tr w14:paraId="6E31D6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5" w:hRule="atLeast"/>
        </w:trPr>
        <w:tc>
          <w:tcPr>
            <w:tcW w:w="494" w:type="dxa"/>
            <w:vMerge w:val="restart"/>
            <w:tcBorders>
              <w:top w:val="single" w:color="000000" w:sz="10" w:space="0"/>
              <w:left w:val="single" w:color="000000" w:sz="10" w:space="0"/>
              <w:bottom w:val="nil"/>
            </w:tcBorders>
            <w:vAlign w:val="top"/>
          </w:tcPr>
          <w:p w14:paraId="6CBDC4B6">
            <w:pPr>
              <w:rPr>
                <w:rFonts w:ascii="Arial"/>
                <w:sz w:val="21"/>
              </w:rPr>
            </w:pPr>
            <w:r>
              <w:pict>
                <v:shape id="_x0000_s1027" o:spid="_x0000_s1027" style="position:absolute;left:0pt;margin-left:104.1pt;margin-top:764.35pt;height:1.45pt;width:411.15pt;mso-position-horizontal-relative:page;mso-position-vertical-relative:page;z-index:251661312;mso-width-relative:page;mso-height-relative:page;" filled="f" stroked="t" coordsize="8222,29" o:allowincell="f" path="m0,14l8222,14e">
                  <v:fill on="f" focussize="0,0"/>
                  <v:stroke weight="1.44pt" color="#000000" miterlimit="2" joinstyle="bevel"/>
                  <v:imagedata o:title=""/>
                  <o:lock v:ext="edit"/>
                </v:shape>
              </w:pict>
            </w:r>
          </w:p>
        </w:tc>
        <w:tc>
          <w:tcPr>
            <w:tcW w:w="456" w:type="dxa"/>
            <w:tcBorders>
              <w:top w:val="single" w:color="000000" w:sz="10" w:space="0"/>
            </w:tcBorders>
            <w:vAlign w:val="top"/>
          </w:tcPr>
          <w:p w14:paraId="245DE387">
            <w:pPr>
              <w:rPr>
                <w:rFonts w:ascii="Arial"/>
                <w:sz w:val="21"/>
              </w:rPr>
            </w:pPr>
          </w:p>
        </w:tc>
        <w:tc>
          <w:tcPr>
            <w:tcW w:w="900" w:type="dxa"/>
            <w:gridSpan w:val="4"/>
            <w:tcBorders>
              <w:top w:val="single" w:color="000000" w:sz="10" w:space="0"/>
            </w:tcBorders>
            <w:vAlign w:val="top"/>
          </w:tcPr>
          <w:p w14:paraId="55912387">
            <w:pPr>
              <w:rPr>
                <w:rFonts w:ascii="Arial"/>
                <w:sz w:val="21"/>
              </w:rPr>
            </w:pPr>
          </w:p>
        </w:tc>
        <w:tc>
          <w:tcPr>
            <w:tcW w:w="683" w:type="dxa"/>
            <w:gridSpan w:val="2"/>
            <w:tcBorders>
              <w:top w:val="single" w:color="000000" w:sz="10" w:space="0"/>
            </w:tcBorders>
            <w:vAlign w:val="top"/>
          </w:tcPr>
          <w:p w14:paraId="767E6F3B">
            <w:pPr>
              <w:spacing w:line="320" w:lineRule="auto"/>
              <w:rPr>
                <w:rFonts w:ascii="Arial"/>
                <w:sz w:val="21"/>
              </w:rPr>
            </w:pPr>
          </w:p>
          <w:p w14:paraId="18903025">
            <w:pPr>
              <w:spacing w:line="321" w:lineRule="auto"/>
              <w:rPr>
                <w:rFonts w:ascii="Arial"/>
                <w:sz w:val="21"/>
              </w:rPr>
            </w:pPr>
          </w:p>
          <w:p w14:paraId="3A27A730">
            <w:pPr>
              <w:pStyle w:val="6"/>
              <w:spacing w:before="65" w:line="288" w:lineRule="auto"/>
              <w:ind w:left="23" w:right="32" w:firstLine="10"/>
              <w:jc w:val="both"/>
              <w:rPr>
                <w:sz w:val="20"/>
                <w:szCs w:val="20"/>
              </w:rPr>
            </w:pPr>
            <w:r>
              <w:rPr>
                <w:spacing w:val="-3"/>
                <w:sz w:val="20"/>
                <w:szCs w:val="20"/>
              </w:rPr>
              <w:t>（六）</w:t>
            </w:r>
            <w:r>
              <w:rPr>
                <w:sz w:val="20"/>
                <w:szCs w:val="20"/>
              </w:rPr>
              <w:t xml:space="preserve"> </w:t>
            </w:r>
            <w:r>
              <w:rPr>
                <w:spacing w:val="7"/>
                <w:sz w:val="20"/>
                <w:szCs w:val="20"/>
              </w:rPr>
              <w:t>深入实</w:t>
            </w:r>
            <w:r>
              <w:rPr>
                <w:sz w:val="20"/>
                <w:szCs w:val="20"/>
              </w:rPr>
              <w:t xml:space="preserve"> </w:t>
            </w:r>
            <w:r>
              <w:rPr>
                <w:spacing w:val="7"/>
                <w:sz w:val="20"/>
                <w:szCs w:val="20"/>
              </w:rPr>
              <w:t>施精细</w:t>
            </w:r>
            <w:r>
              <w:rPr>
                <w:sz w:val="20"/>
                <w:szCs w:val="20"/>
              </w:rPr>
              <w:t xml:space="preserve"> </w:t>
            </w:r>
            <w:r>
              <w:rPr>
                <w:spacing w:val="7"/>
                <w:sz w:val="20"/>
                <w:szCs w:val="20"/>
              </w:rPr>
              <w:t>化管控</w:t>
            </w:r>
          </w:p>
        </w:tc>
        <w:tc>
          <w:tcPr>
            <w:tcW w:w="4450" w:type="dxa"/>
            <w:gridSpan w:val="3"/>
            <w:tcBorders>
              <w:top w:val="single" w:color="000000" w:sz="10" w:space="0"/>
            </w:tcBorders>
            <w:vAlign w:val="top"/>
          </w:tcPr>
          <w:p w14:paraId="53ECD3EA">
            <w:pPr>
              <w:pStyle w:val="6"/>
              <w:spacing w:before="75" w:line="285" w:lineRule="auto"/>
              <w:ind w:left="27" w:right="18"/>
              <w:jc w:val="both"/>
              <w:rPr>
                <w:sz w:val="20"/>
                <w:szCs w:val="20"/>
              </w:rPr>
            </w:pPr>
            <w:r>
              <w:rPr>
                <w:spacing w:val="13"/>
                <w:sz w:val="20"/>
                <w:szCs w:val="20"/>
              </w:rPr>
              <w:t>加强企业运行管理。企业应系统理</w:t>
            </w:r>
            <w:r>
              <w:rPr>
                <w:spacing w:val="-36"/>
                <w:sz w:val="20"/>
                <w:szCs w:val="20"/>
              </w:rPr>
              <w:t xml:space="preserve"> </w:t>
            </w:r>
            <w:r>
              <w:rPr>
                <w:rFonts w:ascii="Calibri" w:hAnsi="Calibri" w:eastAsia="Calibri" w:cs="Calibri"/>
                <w:sz w:val="20"/>
                <w:szCs w:val="20"/>
              </w:rPr>
              <w:t>VOCs</w:t>
            </w:r>
            <w:r>
              <w:rPr>
                <w:rFonts w:ascii="Calibri" w:hAnsi="Calibri" w:eastAsia="Calibri" w:cs="Calibri"/>
                <w:spacing w:val="21"/>
                <w:sz w:val="20"/>
                <w:szCs w:val="20"/>
              </w:rPr>
              <w:t xml:space="preserve"> </w:t>
            </w:r>
            <w:r>
              <w:rPr>
                <w:spacing w:val="13"/>
                <w:sz w:val="20"/>
                <w:szCs w:val="20"/>
              </w:rPr>
              <w:t>排放主</w:t>
            </w:r>
            <w:r>
              <w:rPr>
                <w:sz w:val="20"/>
                <w:szCs w:val="20"/>
              </w:rPr>
              <w:t xml:space="preserve"> </w:t>
            </w:r>
            <w:r>
              <w:rPr>
                <w:spacing w:val="9"/>
                <w:sz w:val="20"/>
                <w:szCs w:val="20"/>
              </w:rPr>
              <w:t>要环节和工序，包括启停机、检维修作业等，制 定具体操作规程落实到具体责任人。健全内部考 核制度。加强人员能力培训和技术交流。建立管 理台账，记录企业生产和治污设施运行的关键参 数见附件</w:t>
            </w:r>
            <w:r>
              <w:rPr>
                <w:spacing w:val="-35"/>
                <w:sz w:val="20"/>
                <w:szCs w:val="20"/>
              </w:rPr>
              <w:t xml:space="preserve"> </w:t>
            </w:r>
            <w:r>
              <w:rPr>
                <w:rFonts w:ascii="Calibri" w:hAnsi="Calibri" w:eastAsia="Calibri" w:cs="Calibri"/>
                <w:spacing w:val="9"/>
                <w:sz w:val="20"/>
                <w:szCs w:val="20"/>
              </w:rPr>
              <w:t>3(</w:t>
            </w:r>
            <w:r>
              <w:rPr>
                <w:rFonts w:ascii="Calibri" w:hAnsi="Calibri" w:eastAsia="Calibri" w:cs="Calibri"/>
                <w:sz w:val="20"/>
                <w:szCs w:val="20"/>
              </w:rPr>
              <w:t>VOCs</w:t>
            </w:r>
            <w:r>
              <w:rPr>
                <w:rFonts w:ascii="Calibri" w:hAnsi="Calibri" w:eastAsia="Calibri" w:cs="Calibri"/>
                <w:spacing w:val="27"/>
                <w:w w:val="101"/>
                <w:sz w:val="20"/>
                <w:szCs w:val="20"/>
              </w:rPr>
              <w:t xml:space="preserve"> </w:t>
            </w:r>
            <w:r>
              <w:rPr>
                <w:spacing w:val="9"/>
                <w:sz w:val="20"/>
                <w:szCs w:val="20"/>
              </w:rPr>
              <w:t>治理台账记录要求</w:t>
            </w:r>
            <w:r>
              <w:rPr>
                <w:rFonts w:ascii="Calibri" w:hAnsi="Calibri" w:eastAsia="Calibri" w:cs="Calibri"/>
                <w:spacing w:val="9"/>
                <w:sz w:val="20"/>
                <w:szCs w:val="20"/>
              </w:rPr>
              <w:t>)</w:t>
            </w:r>
            <w:r>
              <w:rPr>
                <w:rFonts w:ascii="Calibri" w:hAnsi="Calibri" w:eastAsia="Calibri" w:cs="Calibri"/>
                <w:spacing w:val="-19"/>
                <w:sz w:val="20"/>
                <w:szCs w:val="20"/>
              </w:rPr>
              <w:t xml:space="preserve"> </w:t>
            </w:r>
            <w:r>
              <w:rPr>
                <w:spacing w:val="9"/>
                <w:sz w:val="20"/>
                <w:szCs w:val="20"/>
              </w:rPr>
              <w:t>，在线监控</w:t>
            </w:r>
            <w:r>
              <w:rPr>
                <w:sz w:val="20"/>
                <w:szCs w:val="20"/>
              </w:rPr>
              <w:t xml:space="preserve"> </w:t>
            </w:r>
            <w:r>
              <w:rPr>
                <w:spacing w:val="9"/>
                <w:sz w:val="20"/>
                <w:szCs w:val="20"/>
              </w:rPr>
              <w:t xml:space="preserve">参数要确保能够实时调取，相关台账记录至少保 </w:t>
            </w:r>
            <w:r>
              <w:rPr>
                <w:spacing w:val="5"/>
                <w:sz w:val="20"/>
                <w:szCs w:val="20"/>
              </w:rPr>
              <w:t>存三年。</w:t>
            </w:r>
          </w:p>
        </w:tc>
        <w:tc>
          <w:tcPr>
            <w:tcW w:w="1939" w:type="dxa"/>
            <w:gridSpan w:val="2"/>
            <w:tcBorders>
              <w:top w:val="single" w:color="000000" w:sz="10" w:space="0"/>
              <w:right w:val="single" w:color="000000" w:sz="10" w:space="0"/>
            </w:tcBorders>
            <w:vAlign w:val="top"/>
          </w:tcPr>
          <w:p w14:paraId="4AB5E71B">
            <w:pPr>
              <w:spacing w:line="321" w:lineRule="auto"/>
              <w:rPr>
                <w:rFonts w:ascii="Arial"/>
                <w:sz w:val="21"/>
              </w:rPr>
            </w:pPr>
          </w:p>
          <w:p w14:paraId="3C9F1016">
            <w:pPr>
              <w:pStyle w:val="6"/>
              <w:spacing w:before="65" w:line="291" w:lineRule="auto"/>
              <w:ind w:left="45" w:right="130"/>
              <w:jc w:val="both"/>
              <w:rPr>
                <w:sz w:val="20"/>
                <w:szCs w:val="20"/>
              </w:rPr>
            </w:pPr>
            <w:r>
              <w:rPr>
                <w:spacing w:val="18"/>
                <w:sz w:val="20"/>
                <w:szCs w:val="20"/>
              </w:rPr>
              <w:t>非正常工况出现及</w:t>
            </w:r>
            <w:r>
              <w:rPr>
                <w:spacing w:val="2"/>
                <w:sz w:val="20"/>
                <w:szCs w:val="20"/>
              </w:rPr>
              <w:t xml:space="preserve"> </w:t>
            </w:r>
            <w:r>
              <w:rPr>
                <w:spacing w:val="12"/>
                <w:sz w:val="20"/>
                <w:szCs w:val="20"/>
              </w:rPr>
              <w:t>时停产、检修，</w:t>
            </w:r>
            <w:r>
              <w:rPr>
                <w:spacing w:val="-50"/>
                <w:sz w:val="20"/>
                <w:szCs w:val="20"/>
              </w:rPr>
              <w:t xml:space="preserve"> </w:t>
            </w:r>
            <w:r>
              <w:rPr>
                <w:spacing w:val="12"/>
                <w:sz w:val="20"/>
                <w:szCs w:val="20"/>
              </w:rPr>
              <w:t>同</w:t>
            </w:r>
            <w:r>
              <w:rPr>
                <w:sz w:val="20"/>
                <w:szCs w:val="20"/>
              </w:rPr>
              <w:t xml:space="preserve"> </w:t>
            </w:r>
            <w:r>
              <w:rPr>
                <w:spacing w:val="18"/>
                <w:sz w:val="20"/>
                <w:szCs w:val="20"/>
              </w:rPr>
              <w:t>时应加强设备的日</w:t>
            </w:r>
            <w:r>
              <w:rPr>
                <w:spacing w:val="2"/>
                <w:sz w:val="20"/>
                <w:szCs w:val="20"/>
              </w:rPr>
              <w:t xml:space="preserve"> </w:t>
            </w:r>
            <w:r>
              <w:rPr>
                <w:spacing w:val="18"/>
                <w:sz w:val="20"/>
                <w:szCs w:val="20"/>
              </w:rPr>
              <w:t>常维护管理，制定</w:t>
            </w:r>
            <w:r>
              <w:rPr>
                <w:spacing w:val="2"/>
                <w:sz w:val="20"/>
                <w:szCs w:val="20"/>
              </w:rPr>
              <w:t xml:space="preserve"> </w:t>
            </w:r>
            <w:r>
              <w:rPr>
                <w:spacing w:val="18"/>
                <w:sz w:val="20"/>
                <w:szCs w:val="20"/>
              </w:rPr>
              <w:t>具体操作规程落实</w:t>
            </w:r>
            <w:r>
              <w:rPr>
                <w:spacing w:val="2"/>
                <w:sz w:val="20"/>
                <w:szCs w:val="20"/>
              </w:rPr>
              <w:t xml:space="preserve"> </w:t>
            </w:r>
            <w:r>
              <w:rPr>
                <w:spacing w:val="6"/>
                <w:sz w:val="20"/>
                <w:szCs w:val="20"/>
              </w:rPr>
              <w:t>到具体责任人。</w:t>
            </w:r>
          </w:p>
        </w:tc>
      </w:tr>
      <w:tr w14:paraId="34747E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16" w:hRule="atLeast"/>
        </w:trPr>
        <w:tc>
          <w:tcPr>
            <w:tcW w:w="494" w:type="dxa"/>
            <w:vMerge w:val="continue"/>
            <w:tcBorders>
              <w:top w:val="nil"/>
              <w:left w:val="single" w:color="000000" w:sz="10" w:space="0"/>
              <w:bottom w:val="nil"/>
            </w:tcBorders>
            <w:vAlign w:val="top"/>
          </w:tcPr>
          <w:p w14:paraId="6693E6C8">
            <w:pPr>
              <w:rPr>
                <w:rFonts w:ascii="Arial"/>
                <w:sz w:val="21"/>
              </w:rPr>
            </w:pPr>
          </w:p>
        </w:tc>
        <w:tc>
          <w:tcPr>
            <w:tcW w:w="8428" w:type="dxa"/>
            <w:gridSpan w:val="12"/>
            <w:tcBorders>
              <w:right w:val="single" w:color="000000" w:sz="10" w:space="0"/>
            </w:tcBorders>
            <w:vAlign w:val="top"/>
          </w:tcPr>
          <w:p w14:paraId="3E4712C5">
            <w:pPr>
              <w:pStyle w:val="6"/>
              <w:spacing w:before="40" w:line="219" w:lineRule="auto"/>
              <w:ind w:left="583"/>
            </w:pPr>
            <w:r>
              <w:rPr>
                <w:spacing w:val="2"/>
              </w:rPr>
              <w:t>本项目的建设符合《重点行业挥发性有机物</w:t>
            </w:r>
            <w:r>
              <w:rPr>
                <w:spacing w:val="1"/>
              </w:rPr>
              <w:t>综合治理方案》《黑龙江省重</w:t>
            </w:r>
          </w:p>
          <w:p w14:paraId="25445E72">
            <w:pPr>
              <w:pStyle w:val="6"/>
              <w:spacing w:before="180" w:line="219" w:lineRule="auto"/>
              <w:ind w:left="114"/>
            </w:pPr>
            <w:r>
              <w:rPr>
                <w:spacing w:val="-1"/>
              </w:rPr>
              <w:t>点行业挥发性有机物综合治理行动方案》的相关要求。</w:t>
            </w:r>
          </w:p>
          <w:p w14:paraId="0C3C9174">
            <w:pPr>
              <w:pStyle w:val="6"/>
              <w:spacing w:before="260" w:line="219" w:lineRule="auto"/>
              <w:ind w:left="581"/>
            </w:pPr>
            <w:r>
              <w:rPr>
                <w:rFonts w:ascii="Times New Roman" w:hAnsi="Times New Roman" w:eastAsia="Times New Roman" w:cs="Times New Roman"/>
                <w:b/>
                <w:bCs/>
                <w:spacing w:val="-3"/>
              </w:rPr>
              <w:t>8</w:t>
            </w:r>
            <w:r>
              <w:rPr>
                <w:rFonts w:ascii="Times New Roman" w:hAnsi="Times New Roman" w:eastAsia="Times New Roman" w:cs="Times New Roman"/>
                <w:b/>
                <w:bCs/>
                <w:spacing w:val="-25"/>
              </w:rPr>
              <w:t xml:space="preserve"> </w:t>
            </w:r>
            <w:r>
              <w:rPr>
                <w:b/>
                <w:bCs/>
                <w:spacing w:val="-3"/>
              </w:rPr>
              <w:t>、与《挥发性有机物（</w:t>
            </w:r>
            <w:r>
              <w:rPr>
                <w:rFonts w:ascii="Calibri" w:hAnsi="Calibri" w:eastAsia="Calibri" w:cs="Calibri"/>
                <w:b/>
                <w:bCs/>
                <w:spacing w:val="-3"/>
              </w:rPr>
              <w:t>VOCs</w:t>
            </w:r>
            <w:r>
              <w:rPr>
                <w:b/>
                <w:bCs/>
                <w:spacing w:val="-3"/>
              </w:rPr>
              <w:t>）污染防治技术政策》符合性分析</w:t>
            </w:r>
          </w:p>
          <w:p w14:paraId="3819E788">
            <w:pPr>
              <w:pStyle w:val="6"/>
              <w:spacing w:before="107" w:line="202" w:lineRule="auto"/>
              <w:ind w:left="867"/>
            </w:pPr>
            <w:r>
              <w:rPr>
                <w:b/>
                <w:bCs/>
                <w:spacing w:val="-3"/>
              </w:rPr>
              <w:t>表</w:t>
            </w:r>
            <w:r>
              <w:rPr>
                <w:spacing w:val="-20"/>
              </w:rPr>
              <w:t xml:space="preserve"> </w:t>
            </w:r>
            <w:r>
              <w:rPr>
                <w:b/>
                <w:bCs/>
                <w:spacing w:val="-3"/>
              </w:rPr>
              <w:t>1-9</w:t>
            </w:r>
            <w:r>
              <w:rPr>
                <w:spacing w:val="-3"/>
              </w:rPr>
              <w:t xml:space="preserve">  </w:t>
            </w:r>
            <w:r>
              <w:rPr>
                <w:b/>
                <w:bCs/>
                <w:spacing w:val="-3"/>
              </w:rPr>
              <w:t>与《挥发性有机物（VOCs）污染防治技术政策》符合性分析</w:t>
            </w:r>
          </w:p>
        </w:tc>
      </w:tr>
      <w:tr w14:paraId="7F3982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94" w:type="dxa"/>
            <w:vMerge w:val="continue"/>
            <w:tcBorders>
              <w:top w:val="nil"/>
              <w:left w:val="single" w:color="000000" w:sz="10" w:space="0"/>
              <w:bottom w:val="nil"/>
            </w:tcBorders>
            <w:vAlign w:val="top"/>
          </w:tcPr>
          <w:p w14:paraId="0EEB9537">
            <w:pPr>
              <w:rPr>
                <w:rFonts w:ascii="Arial"/>
                <w:sz w:val="21"/>
              </w:rPr>
            </w:pPr>
          </w:p>
        </w:tc>
        <w:tc>
          <w:tcPr>
            <w:tcW w:w="675" w:type="dxa"/>
            <w:gridSpan w:val="3"/>
            <w:tcBorders>
              <w:right w:val="single" w:color="000000" w:sz="4" w:space="0"/>
            </w:tcBorders>
            <w:vAlign w:val="top"/>
          </w:tcPr>
          <w:p w14:paraId="1A81A58C">
            <w:pPr>
              <w:pStyle w:val="6"/>
              <w:spacing w:before="82" w:line="214" w:lineRule="auto"/>
              <w:ind w:left="177"/>
              <w:rPr>
                <w:sz w:val="20"/>
                <w:szCs w:val="20"/>
              </w:rPr>
            </w:pPr>
            <w:r>
              <w:rPr>
                <w:b/>
                <w:bCs/>
                <w:spacing w:val="4"/>
                <w:sz w:val="20"/>
                <w:szCs w:val="20"/>
              </w:rPr>
              <w:t>序号</w:t>
            </w:r>
          </w:p>
        </w:tc>
        <w:tc>
          <w:tcPr>
            <w:tcW w:w="4802" w:type="dxa"/>
            <w:gridSpan w:val="6"/>
            <w:tcBorders>
              <w:left w:val="single" w:color="000000" w:sz="4" w:space="0"/>
              <w:right w:val="single" w:color="000000" w:sz="4" w:space="0"/>
            </w:tcBorders>
            <w:vAlign w:val="top"/>
          </w:tcPr>
          <w:p w14:paraId="17D14A16">
            <w:pPr>
              <w:pStyle w:val="6"/>
              <w:spacing w:before="82" w:line="214" w:lineRule="auto"/>
              <w:ind w:left="2191"/>
              <w:rPr>
                <w:sz w:val="20"/>
                <w:szCs w:val="20"/>
              </w:rPr>
            </w:pPr>
            <w:r>
              <w:rPr>
                <w:b/>
                <w:bCs/>
                <w:spacing w:val="3"/>
                <w:sz w:val="20"/>
                <w:szCs w:val="20"/>
              </w:rPr>
              <w:t>要求</w:t>
            </w:r>
          </w:p>
        </w:tc>
        <w:tc>
          <w:tcPr>
            <w:tcW w:w="2951" w:type="dxa"/>
            <w:gridSpan w:val="3"/>
            <w:tcBorders>
              <w:left w:val="single" w:color="000000" w:sz="4" w:space="0"/>
              <w:right w:val="single" w:color="000000" w:sz="10" w:space="0"/>
            </w:tcBorders>
            <w:vAlign w:val="top"/>
          </w:tcPr>
          <w:p w14:paraId="6B164EEE">
            <w:pPr>
              <w:pStyle w:val="6"/>
              <w:spacing w:before="82" w:line="214" w:lineRule="auto"/>
              <w:ind w:left="793"/>
              <w:rPr>
                <w:sz w:val="20"/>
                <w:szCs w:val="20"/>
              </w:rPr>
            </w:pPr>
            <w:r>
              <w:rPr>
                <w:b/>
                <w:bCs/>
                <w:spacing w:val="6"/>
                <w:sz w:val="20"/>
                <w:szCs w:val="20"/>
              </w:rPr>
              <w:t>本项目符合性</w:t>
            </w:r>
          </w:p>
        </w:tc>
      </w:tr>
      <w:tr w14:paraId="68F59B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0" w:hRule="atLeast"/>
        </w:trPr>
        <w:tc>
          <w:tcPr>
            <w:tcW w:w="494" w:type="dxa"/>
            <w:vMerge w:val="continue"/>
            <w:tcBorders>
              <w:top w:val="nil"/>
              <w:left w:val="single" w:color="000000" w:sz="10" w:space="0"/>
              <w:bottom w:val="nil"/>
            </w:tcBorders>
            <w:vAlign w:val="top"/>
          </w:tcPr>
          <w:p w14:paraId="3B114C69">
            <w:pPr>
              <w:rPr>
                <w:rFonts w:ascii="Arial"/>
                <w:sz w:val="21"/>
              </w:rPr>
            </w:pPr>
          </w:p>
        </w:tc>
        <w:tc>
          <w:tcPr>
            <w:tcW w:w="675" w:type="dxa"/>
            <w:gridSpan w:val="3"/>
            <w:vMerge w:val="restart"/>
            <w:tcBorders>
              <w:bottom w:val="nil"/>
              <w:right w:val="single" w:color="000000" w:sz="4" w:space="0"/>
            </w:tcBorders>
            <w:vAlign w:val="top"/>
          </w:tcPr>
          <w:p w14:paraId="08091B78">
            <w:pPr>
              <w:spacing w:line="275" w:lineRule="auto"/>
              <w:rPr>
                <w:rFonts w:ascii="Arial"/>
                <w:sz w:val="21"/>
              </w:rPr>
            </w:pPr>
          </w:p>
          <w:p w14:paraId="3E7AAE99">
            <w:pPr>
              <w:spacing w:line="275" w:lineRule="auto"/>
              <w:rPr>
                <w:rFonts w:ascii="Arial"/>
                <w:sz w:val="21"/>
              </w:rPr>
            </w:pPr>
          </w:p>
          <w:p w14:paraId="76C88DFA">
            <w:pPr>
              <w:spacing w:line="275" w:lineRule="auto"/>
              <w:rPr>
                <w:rFonts w:ascii="Arial"/>
                <w:sz w:val="21"/>
              </w:rPr>
            </w:pPr>
          </w:p>
          <w:p w14:paraId="4B2F33B5">
            <w:pPr>
              <w:spacing w:line="276" w:lineRule="auto"/>
              <w:rPr>
                <w:rFonts w:ascii="Arial"/>
                <w:sz w:val="21"/>
              </w:rPr>
            </w:pPr>
          </w:p>
          <w:p w14:paraId="53B5591A">
            <w:pPr>
              <w:spacing w:before="61" w:line="301" w:lineRule="auto"/>
              <w:ind w:left="345" w:right="233" w:hanging="5"/>
              <w:rPr>
                <w:rFonts w:ascii="Calibri" w:hAnsi="Calibri" w:eastAsia="Calibri" w:cs="Calibri"/>
                <w:sz w:val="20"/>
                <w:szCs w:val="20"/>
              </w:rPr>
            </w:pPr>
            <w:r>
              <w:rPr>
                <w:rFonts w:ascii="Calibri" w:hAnsi="Calibri" w:eastAsia="Calibri" w:cs="Calibri"/>
                <w:spacing w:val="3"/>
                <w:sz w:val="20"/>
                <w:szCs w:val="20"/>
              </w:rPr>
              <w:t>/</w:t>
            </w:r>
            <w:r>
              <w:rPr>
                <w:rFonts w:ascii="Calibri" w:hAnsi="Calibri" w:eastAsia="Calibri" w:cs="Calibri"/>
                <w:sz w:val="20"/>
                <w:szCs w:val="20"/>
              </w:rPr>
              <w:t xml:space="preserve"> </w:t>
            </w:r>
            <w:r>
              <w:rPr>
                <w:rFonts w:ascii="Calibri" w:hAnsi="Calibri" w:eastAsia="Calibri" w:cs="Calibri"/>
                <w:spacing w:val="-14"/>
                <w:sz w:val="20"/>
                <w:szCs w:val="20"/>
              </w:rPr>
              <w:t>1</w:t>
            </w:r>
          </w:p>
          <w:p w14:paraId="27F480F2">
            <w:pPr>
              <w:spacing w:line="257" w:lineRule="auto"/>
              <w:rPr>
                <w:rFonts w:ascii="Arial"/>
                <w:sz w:val="21"/>
              </w:rPr>
            </w:pPr>
          </w:p>
          <w:p w14:paraId="240B3123">
            <w:pPr>
              <w:spacing w:line="257" w:lineRule="auto"/>
              <w:rPr>
                <w:rFonts w:ascii="Arial"/>
                <w:sz w:val="21"/>
              </w:rPr>
            </w:pPr>
          </w:p>
          <w:p w14:paraId="3084127D">
            <w:pPr>
              <w:spacing w:line="257" w:lineRule="auto"/>
              <w:rPr>
                <w:rFonts w:ascii="Arial"/>
                <w:sz w:val="21"/>
              </w:rPr>
            </w:pPr>
          </w:p>
          <w:p w14:paraId="6A83C4B9">
            <w:pPr>
              <w:spacing w:line="258" w:lineRule="auto"/>
              <w:rPr>
                <w:rFonts w:ascii="Arial"/>
                <w:sz w:val="21"/>
              </w:rPr>
            </w:pPr>
          </w:p>
          <w:p w14:paraId="72436BA1">
            <w:pPr>
              <w:spacing w:line="258" w:lineRule="auto"/>
              <w:rPr>
                <w:rFonts w:ascii="Arial"/>
                <w:sz w:val="21"/>
              </w:rPr>
            </w:pPr>
          </w:p>
          <w:p w14:paraId="5644284B">
            <w:pPr>
              <w:spacing w:line="258" w:lineRule="auto"/>
              <w:rPr>
                <w:rFonts w:ascii="Arial"/>
                <w:sz w:val="21"/>
              </w:rPr>
            </w:pPr>
          </w:p>
          <w:p w14:paraId="55FDF115">
            <w:pPr>
              <w:spacing w:line="258" w:lineRule="auto"/>
              <w:rPr>
                <w:rFonts w:ascii="Arial"/>
                <w:sz w:val="21"/>
              </w:rPr>
            </w:pPr>
          </w:p>
          <w:p w14:paraId="7407D251">
            <w:pPr>
              <w:spacing w:before="61" w:line="187" w:lineRule="auto"/>
              <w:ind w:left="340"/>
              <w:rPr>
                <w:rFonts w:ascii="Calibri" w:hAnsi="Calibri" w:eastAsia="Calibri" w:cs="Calibri"/>
                <w:sz w:val="20"/>
                <w:szCs w:val="20"/>
              </w:rPr>
            </w:pPr>
            <w:r>
              <w:rPr>
                <w:rFonts w:ascii="Calibri" w:hAnsi="Calibri" w:eastAsia="Calibri" w:cs="Calibri"/>
                <w:sz w:val="20"/>
                <w:szCs w:val="20"/>
              </w:rPr>
              <w:t>2</w:t>
            </w:r>
          </w:p>
        </w:tc>
        <w:tc>
          <w:tcPr>
            <w:tcW w:w="4802" w:type="dxa"/>
            <w:gridSpan w:val="6"/>
            <w:tcBorders>
              <w:left w:val="single" w:color="000000" w:sz="4" w:space="0"/>
              <w:right w:val="single" w:color="000000" w:sz="4" w:space="0"/>
            </w:tcBorders>
            <w:vAlign w:val="top"/>
          </w:tcPr>
          <w:p w14:paraId="6351C758">
            <w:pPr>
              <w:pStyle w:val="6"/>
              <w:spacing w:before="81" w:line="286" w:lineRule="auto"/>
              <w:ind w:left="30" w:hanging="31"/>
              <w:jc w:val="both"/>
              <w:rPr>
                <w:sz w:val="20"/>
                <w:szCs w:val="20"/>
              </w:rPr>
            </w:pPr>
            <w:r>
              <w:rPr>
                <w:rFonts w:ascii="Calibri" w:hAnsi="Calibri" w:eastAsia="Calibri" w:cs="Calibri"/>
                <w:spacing w:val="17"/>
                <w:sz w:val="20"/>
                <w:szCs w:val="20"/>
              </w:rPr>
              <w:t>“</w:t>
            </w:r>
            <w:r>
              <w:rPr>
                <w:rFonts w:ascii="Calibri" w:hAnsi="Calibri" w:eastAsia="Calibri" w:cs="Calibri"/>
                <w:sz w:val="20"/>
                <w:szCs w:val="20"/>
              </w:rPr>
              <w:t>VOCs</w:t>
            </w:r>
            <w:r>
              <w:rPr>
                <w:rFonts w:ascii="Calibri" w:hAnsi="Calibri" w:eastAsia="Calibri" w:cs="Calibri"/>
                <w:spacing w:val="37"/>
                <w:sz w:val="20"/>
                <w:szCs w:val="20"/>
              </w:rPr>
              <w:t xml:space="preserve"> </w:t>
            </w:r>
            <w:r>
              <w:rPr>
                <w:spacing w:val="17"/>
                <w:sz w:val="20"/>
                <w:szCs w:val="20"/>
              </w:rPr>
              <w:t>污染防治应遵循源头和过程控制与末端治理</w:t>
            </w:r>
            <w:r>
              <w:rPr>
                <w:sz w:val="20"/>
                <w:szCs w:val="20"/>
              </w:rPr>
              <w:t xml:space="preserve"> </w:t>
            </w:r>
            <w:r>
              <w:rPr>
                <w:spacing w:val="4"/>
                <w:sz w:val="20"/>
                <w:szCs w:val="20"/>
              </w:rPr>
              <w:t>相结合的综合防治原则。在工业生产中采用清洁生产</w:t>
            </w:r>
            <w:r>
              <w:rPr>
                <w:spacing w:val="15"/>
                <w:sz w:val="20"/>
                <w:szCs w:val="20"/>
              </w:rPr>
              <w:t xml:space="preserve"> </w:t>
            </w:r>
            <w:r>
              <w:rPr>
                <w:spacing w:val="7"/>
                <w:sz w:val="20"/>
                <w:szCs w:val="20"/>
              </w:rPr>
              <w:t>技术，严格控制含</w:t>
            </w:r>
            <w:r>
              <w:rPr>
                <w:spacing w:val="-31"/>
                <w:sz w:val="20"/>
                <w:szCs w:val="20"/>
              </w:rPr>
              <w:t xml:space="preserve"> </w:t>
            </w:r>
            <w:r>
              <w:rPr>
                <w:rFonts w:ascii="Calibri" w:hAnsi="Calibri" w:eastAsia="Calibri" w:cs="Calibri"/>
                <w:sz w:val="20"/>
                <w:szCs w:val="20"/>
              </w:rPr>
              <w:t>VOCs</w:t>
            </w:r>
            <w:r>
              <w:rPr>
                <w:rFonts w:ascii="Calibri" w:hAnsi="Calibri" w:eastAsia="Calibri" w:cs="Calibri"/>
                <w:spacing w:val="22"/>
                <w:w w:val="102"/>
                <w:sz w:val="20"/>
                <w:szCs w:val="20"/>
              </w:rPr>
              <w:t xml:space="preserve"> </w:t>
            </w:r>
            <w:r>
              <w:rPr>
                <w:spacing w:val="7"/>
                <w:sz w:val="20"/>
                <w:szCs w:val="20"/>
              </w:rPr>
              <w:t>原料与产品在生产和储运销</w:t>
            </w:r>
            <w:r>
              <w:rPr>
                <w:sz w:val="20"/>
                <w:szCs w:val="20"/>
              </w:rPr>
              <w:t xml:space="preserve"> 过程中的</w:t>
            </w:r>
            <w:r>
              <w:rPr>
                <w:spacing w:val="-34"/>
                <w:sz w:val="20"/>
                <w:szCs w:val="20"/>
              </w:rPr>
              <w:t xml:space="preserve"> </w:t>
            </w:r>
            <w:r>
              <w:rPr>
                <w:rFonts w:ascii="Calibri" w:hAnsi="Calibri" w:eastAsia="Calibri" w:cs="Calibri"/>
                <w:sz w:val="20"/>
                <w:szCs w:val="20"/>
              </w:rPr>
              <w:t>VOCs</w:t>
            </w:r>
            <w:r>
              <w:rPr>
                <w:rFonts w:ascii="Calibri" w:hAnsi="Calibri" w:eastAsia="Calibri" w:cs="Calibri"/>
                <w:spacing w:val="17"/>
                <w:w w:val="101"/>
                <w:sz w:val="20"/>
                <w:szCs w:val="20"/>
              </w:rPr>
              <w:t xml:space="preserve"> </w:t>
            </w:r>
            <w:r>
              <w:rPr>
                <w:sz w:val="20"/>
                <w:szCs w:val="20"/>
              </w:rPr>
              <w:t xml:space="preserve">排放，鼓励对资源和能源的回收利用； </w:t>
            </w:r>
            <w:r>
              <w:rPr>
                <w:spacing w:val="6"/>
                <w:sz w:val="20"/>
                <w:szCs w:val="20"/>
              </w:rPr>
              <w:t>鼓励在生产和生活中使用不含</w:t>
            </w:r>
            <w:r>
              <w:rPr>
                <w:spacing w:val="-28"/>
                <w:sz w:val="20"/>
                <w:szCs w:val="20"/>
              </w:rPr>
              <w:t xml:space="preserve"> </w:t>
            </w:r>
            <w:r>
              <w:rPr>
                <w:rFonts w:ascii="Calibri" w:hAnsi="Calibri" w:eastAsia="Calibri" w:cs="Calibri"/>
                <w:sz w:val="20"/>
                <w:szCs w:val="20"/>
              </w:rPr>
              <w:t>VOCs</w:t>
            </w:r>
            <w:r>
              <w:rPr>
                <w:rFonts w:ascii="Calibri" w:hAnsi="Calibri" w:eastAsia="Calibri" w:cs="Calibri"/>
                <w:spacing w:val="32"/>
                <w:w w:val="102"/>
                <w:sz w:val="20"/>
                <w:szCs w:val="20"/>
              </w:rPr>
              <w:t xml:space="preserve"> </w:t>
            </w:r>
            <w:r>
              <w:rPr>
                <w:spacing w:val="6"/>
                <w:sz w:val="20"/>
                <w:szCs w:val="20"/>
              </w:rPr>
              <w:t>的替代产品或低</w:t>
            </w:r>
            <w:r>
              <w:rPr>
                <w:sz w:val="20"/>
                <w:szCs w:val="20"/>
              </w:rPr>
              <w:t xml:space="preserve"> </w:t>
            </w:r>
            <w:r>
              <w:rPr>
                <w:rFonts w:ascii="Calibri" w:hAnsi="Calibri" w:eastAsia="Calibri" w:cs="Calibri"/>
                <w:sz w:val="20"/>
                <w:szCs w:val="20"/>
              </w:rPr>
              <w:t>VOCs</w:t>
            </w:r>
            <w:r>
              <w:rPr>
                <w:rFonts w:ascii="Calibri" w:hAnsi="Calibri" w:eastAsia="Calibri" w:cs="Calibri"/>
                <w:spacing w:val="22"/>
                <w:w w:val="101"/>
                <w:sz w:val="20"/>
                <w:szCs w:val="20"/>
              </w:rPr>
              <w:t xml:space="preserve"> </w:t>
            </w:r>
            <w:r>
              <w:rPr>
                <w:spacing w:val="10"/>
                <w:sz w:val="20"/>
                <w:szCs w:val="20"/>
              </w:rPr>
              <w:t>含量的产品</w:t>
            </w:r>
            <w:r>
              <w:rPr>
                <w:rFonts w:ascii="Calibri" w:hAnsi="Calibri" w:eastAsia="Calibri" w:cs="Calibri"/>
                <w:spacing w:val="10"/>
                <w:sz w:val="20"/>
                <w:szCs w:val="20"/>
              </w:rPr>
              <w:t>”</w:t>
            </w:r>
            <w:r>
              <w:rPr>
                <w:rFonts w:ascii="Calibri" w:hAnsi="Calibri" w:eastAsia="Calibri" w:cs="Calibri"/>
                <w:spacing w:val="-14"/>
                <w:sz w:val="20"/>
                <w:szCs w:val="20"/>
              </w:rPr>
              <w:t xml:space="preserve"> </w:t>
            </w:r>
            <w:r>
              <w:rPr>
                <w:spacing w:val="10"/>
                <w:sz w:val="20"/>
                <w:szCs w:val="20"/>
              </w:rPr>
              <w:t>；</w:t>
            </w:r>
            <w:r>
              <w:rPr>
                <w:rFonts w:ascii="Calibri" w:hAnsi="Calibri" w:eastAsia="Calibri" w:cs="Calibri"/>
                <w:spacing w:val="10"/>
                <w:sz w:val="20"/>
                <w:szCs w:val="20"/>
              </w:rPr>
              <w:t>“</w:t>
            </w:r>
            <w:r>
              <w:rPr>
                <w:spacing w:val="10"/>
                <w:sz w:val="20"/>
                <w:szCs w:val="20"/>
              </w:rPr>
              <w:t>鼓励研发的新技术、新材料和</w:t>
            </w:r>
            <w:r>
              <w:rPr>
                <w:sz w:val="20"/>
                <w:szCs w:val="20"/>
              </w:rPr>
              <w:t xml:space="preserve"> </w:t>
            </w:r>
            <w:r>
              <w:rPr>
                <w:spacing w:val="4"/>
                <w:sz w:val="20"/>
                <w:szCs w:val="20"/>
              </w:rPr>
              <w:t>新装备，鼓励以下新技术、新材料和新装备的研发和</w:t>
            </w:r>
            <w:r>
              <w:rPr>
                <w:spacing w:val="15"/>
                <w:sz w:val="20"/>
                <w:szCs w:val="20"/>
              </w:rPr>
              <w:t xml:space="preserve"> </w:t>
            </w:r>
            <w:r>
              <w:rPr>
                <w:spacing w:val="7"/>
                <w:sz w:val="20"/>
                <w:szCs w:val="20"/>
              </w:rPr>
              <w:t>推广：工业生产过程中能够减少</w:t>
            </w:r>
            <w:r>
              <w:rPr>
                <w:spacing w:val="-28"/>
                <w:sz w:val="20"/>
                <w:szCs w:val="20"/>
              </w:rPr>
              <w:t xml:space="preserve"> </w:t>
            </w:r>
            <w:r>
              <w:rPr>
                <w:rFonts w:ascii="Calibri" w:hAnsi="Calibri" w:eastAsia="Calibri" w:cs="Calibri"/>
                <w:sz w:val="20"/>
                <w:szCs w:val="20"/>
              </w:rPr>
              <w:t>VOCs</w:t>
            </w:r>
            <w:r>
              <w:rPr>
                <w:rFonts w:ascii="Calibri" w:hAnsi="Calibri" w:eastAsia="Calibri" w:cs="Calibri"/>
                <w:spacing w:val="20"/>
                <w:sz w:val="20"/>
                <w:szCs w:val="20"/>
              </w:rPr>
              <w:t xml:space="preserve"> </w:t>
            </w:r>
            <w:r>
              <w:rPr>
                <w:spacing w:val="7"/>
                <w:sz w:val="20"/>
                <w:szCs w:val="20"/>
              </w:rPr>
              <w:t>形成和挥发的</w:t>
            </w:r>
            <w:r>
              <w:rPr>
                <w:sz w:val="20"/>
                <w:szCs w:val="20"/>
              </w:rPr>
              <w:t xml:space="preserve"> </w:t>
            </w:r>
            <w:r>
              <w:rPr>
                <w:spacing w:val="5"/>
                <w:sz w:val="20"/>
                <w:szCs w:val="20"/>
              </w:rPr>
              <w:t>清洁生产技术</w:t>
            </w:r>
            <w:r>
              <w:rPr>
                <w:rFonts w:ascii="Calibri" w:hAnsi="Calibri" w:eastAsia="Calibri" w:cs="Calibri"/>
                <w:spacing w:val="5"/>
                <w:sz w:val="20"/>
                <w:szCs w:val="20"/>
              </w:rPr>
              <w:t>”</w:t>
            </w:r>
            <w:r>
              <w:rPr>
                <w:spacing w:val="5"/>
                <w:sz w:val="20"/>
                <w:szCs w:val="20"/>
              </w:rPr>
              <w:t>；</w:t>
            </w:r>
          </w:p>
        </w:tc>
        <w:tc>
          <w:tcPr>
            <w:tcW w:w="2951" w:type="dxa"/>
            <w:gridSpan w:val="3"/>
            <w:vMerge w:val="restart"/>
            <w:tcBorders>
              <w:left w:val="single" w:color="000000" w:sz="4" w:space="0"/>
              <w:bottom w:val="nil"/>
              <w:right w:val="single" w:color="000000" w:sz="10" w:space="0"/>
            </w:tcBorders>
            <w:vAlign w:val="top"/>
          </w:tcPr>
          <w:p w14:paraId="78564EFD">
            <w:pPr>
              <w:pStyle w:val="6"/>
              <w:spacing w:before="89" w:line="288" w:lineRule="auto"/>
              <w:ind w:left="38" w:right="128" w:firstLine="12"/>
              <w:jc w:val="both"/>
              <w:rPr>
                <w:sz w:val="20"/>
                <w:szCs w:val="20"/>
              </w:rPr>
            </w:pPr>
            <w:r>
              <w:rPr>
                <w:spacing w:val="10"/>
                <w:sz w:val="20"/>
                <w:szCs w:val="20"/>
              </w:rPr>
              <w:t>1.本项目拆解过程中产生的非</w:t>
            </w:r>
            <w:r>
              <w:rPr>
                <w:spacing w:val="12"/>
                <w:sz w:val="20"/>
                <w:szCs w:val="20"/>
              </w:rPr>
              <w:t xml:space="preserve"> 甲烷总烃经集气罩收集通过活</w:t>
            </w:r>
            <w:r>
              <w:rPr>
                <w:spacing w:val="9"/>
                <w:sz w:val="20"/>
                <w:szCs w:val="20"/>
              </w:rPr>
              <w:t xml:space="preserve"> </w:t>
            </w:r>
            <w:r>
              <w:rPr>
                <w:spacing w:val="12"/>
                <w:sz w:val="20"/>
                <w:szCs w:val="20"/>
              </w:rPr>
              <w:t>性炭吸附装置处理后通过</w:t>
            </w:r>
            <w:r>
              <w:rPr>
                <w:spacing w:val="-4"/>
                <w:sz w:val="20"/>
                <w:szCs w:val="20"/>
              </w:rPr>
              <w:t xml:space="preserve"> </w:t>
            </w:r>
            <w:r>
              <w:rPr>
                <w:spacing w:val="12"/>
                <w:sz w:val="20"/>
                <w:szCs w:val="20"/>
              </w:rPr>
              <w:t>15m</w:t>
            </w:r>
            <w:r>
              <w:rPr>
                <w:sz w:val="20"/>
                <w:szCs w:val="20"/>
              </w:rPr>
              <w:t xml:space="preserve"> </w:t>
            </w:r>
            <w:r>
              <w:rPr>
                <w:spacing w:val="5"/>
                <w:sz w:val="20"/>
                <w:szCs w:val="20"/>
              </w:rPr>
              <w:t>高排气筒</w:t>
            </w:r>
            <w:r>
              <w:rPr>
                <w:spacing w:val="-35"/>
                <w:sz w:val="20"/>
                <w:szCs w:val="20"/>
              </w:rPr>
              <w:t xml:space="preserve"> </w:t>
            </w:r>
            <w:r>
              <w:rPr>
                <w:sz w:val="20"/>
                <w:szCs w:val="20"/>
              </w:rPr>
              <w:t>DA</w:t>
            </w:r>
            <w:r>
              <w:rPr>
                <w:spacing w:val="5"/>
                <w:sz w:val="20"/>
                <w:szCs w:val="20"/>
              </w:rPr>
              <w:t>002</w:t>
            </w:r>
            <w:r>
              <w:rPr>
                <w:spacing w:val="-41"/>
                <w:sz w:val="20"/>
                <w:szCs w:val="20"/>
              </w:rPr>
              <w:t xml:space="preserve"> </w:t>
            </w:r>
            <w:r>
              <w:rPr>
                <w:spacing w:val="5"/>
                <w:sz w:val="20"/>
                <w:szCs w:val="20"/>
              </w:rPr>
              <w:t>排放。</w:t>
            </w:r>
          </w:p>
          <w:p w14:paraId="57B8A31D">
            <w:pPr>
              <w:pStyle w:val="6"/>
              <w:spacing w:before="29" w:line="290" w:lineRule="auto"/>
              <w:ind w:left="36" w:right="128" w:firstLine="3"/>
              <w:jc w:val="both"/>
              <w:rPr>
                <w:sz w:val="20"/>
                <w:szCs w:val="20"/>
              </w:rPr>
            </w:pPr>
            <w:r>
              <w:rPr>
                <w:rFonts w:ascii="Calibri" w:hAnsi="Calibri" w:eastAsia="Calibri" w:cs="Calibri"/>
                <w:spacing w:val="13"/>
                <w:sz w:val="20"/>
                <w:szCs w:val="20"/>
              </w:rPr>
              <w:t>2.</w:t>
            </w:r>
            <w:r>
              <w:rPr>
                <w:rFonts w:ascii="Calibri" w:hAnsi="Calibri" w:eastAsia="Calibri" w:cs="Calibri"/>
                <w:spacing w:val="-18"/>
                <w:sz w:val="20"/>
                <w:szCs w:val="20"/>
              </w:rPr>
              <w:t xml:space="preserve"> </w:t>
            </w:r>
            <w:r>
              <w:rPr>
                <w:spacing w:val="13"/>
                <w:sz w:val="20"/>
                <w:szCs w:val="20"/>
              </w:rPr>
              <w:t>结合活性炭吸附装置活性炭</w:t>
            </w:r>
            <w:r>
              <w:rPr>
                <w:sz w:val="20"/>
                <w:szCs w:val="20"/>
              </w:rPr>
              <w:t xml:space="preserve"> </w:t>
            </w:r>
            <w:r>
              <w:rPr>
                <w:spacing w:val="12"/>
                <w:sz w:val="20"/>
                <w:szCs w:val="20"/>
              </w:rPr>
              <w:t>配置情况，要求本项目活性炭</w:t>
            </w:r>
            <w:r>
              <w:rPr>
                <w:spacing w:val="11"/>
                <w:sz w:val="20"/>
                <w:szCs w:val="20"/>
              </w:rPr>
              <w:t xml:space="preserve"> </w:t>
            </w:r>
            <w:r>
              <w:rPr>
                <w:spacing w:val="3"/>
                <w:sz w:val="20"/>
                <w:szCs w:val="20"/>
              </w:rPr>
              <w:t>更换周期为</w:t>
            </w:r>
            <w:r>
              <w:rPr>
                <w:spacing w:val="-24"/>
                <w:sz w:val="20"/>
                <w:szCs w:val="20"/>
              </w:rPr>
              <w:t xml:space="preserve"> </w:t>
            </w:r>
            <w:r>
              <w:rPr>
                <w:rFonts w:ascii="Calibri" w:hAnsi="Calibri" w:eastAsia="Calibri" w:cs="Calibri"/>
                <w:spacing w:val="3"/>
                <w:sz w:val="20"/>
                <w:szCs w:val="20"/>
              </w:rPr>
              <w:t>1</w:t>
            </w:r>
            <w:r>
              <w:rPr>
                <w:rFonts w:ascii="Calibri" w:hAnsi="Calibri" w:eastAsia="Calibri" w:cs="Calibri"/>
                <w:spacing w:val="21"/>
                <w:w w:val="101"/>
                <w:sz w:val="20"/>
                <w:szCs w:val="20"/>
              </w:rPr>
              <w:t xml:space="preserve"> </w:t>
            </w:r>
            <w:r>
              <w:rPr>
                <w:spacing w:val="3"/>
                <w:sz w:val="20"/>
                <w:szCs w:val="20"/>
              </w:rPr>
              <w:t>次</w:t>
            </w:r>
            <w:r>
              <w:rPr>
                <w:rFonts w:ascii="Calibri" w:hAnsi="Calibri" w:eastAsia="Calibri" w:cs="Calibri"/>
                <w:spacing w:val="3"/>
                <w:sz w:val="20"/>
                <w:szCs w:val="20"/>
              </w:rPr>
              <w:t>/5</w:t>
            </w:r>
            <w:r>
              <w:rPr>
                <w:rFonts w:ascii="Calibri" w:hAnsi="Calibri" w:eastAsia="Calibri" w:cs="Calibri"/>
                <w:spacing w:val="16"/>
                <w:sz w:val="20"/>
                <w:szCs w:val="20"/>
              </w:rPr>
              <w:t xml:space="preserve"> </w:t>
            </w:r>
            <w:r>
              <w:rPr>
                <w:spacing w:val="3"/>
                <w:sz w:val="20"/>
                <w:szCs w:val="20"/>
              </w:rPr>
              <w:t>个月。</w:t>
            </w:r>
          </w:p>
          <w:p w14:paraId="19D9DAFB">
            <w:pPr>
              <w:pStyle w:val="6"/>
              <w:spacing w:before="21" w:line="283" w:lineRule="auto"/>
              <w:ind w:left="32" w:right="128" w:firstLine="5"/>
              <w:rPr>
                <w:sz w:val="20"/>
                <w:szCs w:val="20"/>
              </w:rPr>
            </w:pPr>
            <w:r>
              <w:rPr>
                <w:rFonts w:ascii="Calibri" w:hAnsi="Calibri" w:eastAsia="Calibri" w:cs="Calibri"/>
                <w:spacing w:val="15"/>
                <w:sz w:val="20"/>
                <w:szCs w:val="20"/>
              </w:rPr>
              <w:t>3.</w:t>
            </w:r>
            <w:r>
              <w:rPr>
                <w:spacing w:val="15"/>
                <w:sz w:val="20"/>
                <w:szCs w:val="20"/>
              </w:rPr>
              <w:t>废弃活性炭暂存于危险废物</w:t>
            </w:r>
            <w:r>
              <w:rPr>
                <w:spacing w:val="3"/>
                <w:sz w:val="20"/>
                <w:szCs w:val="20"/>
              </w:rPr>
              <w:t xml:space="preserve"> </w:t>
            </w:r>
            <w:r>
              <w:rPr>
                <w:spacing w:val="10"/>
                <w:sz w:val="20"/>
                <w:szCs w:val="20"/>
              </w:rPr>
              <w:t xml:space="preserve">贮存库，委托资质单位处置。 </w:t>
            </w:r>
            <w:r>
              <w:rPr>
                <w:rFonts w:ascii="Calibri" w:hAnsi="Calibri" w:eastAsia="Calibri" w:cs="Calibri"/>
                <w:spacing w:val="14"/>
                <w:sz w:val="20"/>
                <w:szCs w:val="20"/>
              </w:rPr>
              <w:t>4.</w:t>
            </w:r>
            <w:r>
              <w:rPr>
                <w:rFonts w:ascii="Calibri" w:hAnsi="Calibri" w:eastAsia="Calibri" w:cs="Calibri"/>
                <w:spacing w:val="-25"/>
                <w:sz w:val="20"/>
                <w:szCs w:val="20"/>
              </w:rPr>
              <w:t xml:space="preserve"> </w:t>
            </w:r>
            <w:r>
              <w:rPr>
                <w:spacing w:val="14"/>
                <w:sz w:val="20"/>
                <w:szCs w:val="20"/>
              </w:rPr>
              <w:t>企业定期开展监测，加强日</w:t>
            </w:r>
            <w:r>
              <w:rPr>
                <w:sz w:val="20"/>
                <w:szCs w:val="20"/>
              </w:rPr>
              <w:t xml:space="preserve"> </w:t>
            </w:r>
            <w:r>
              <w:rPr>
                <w:spacing w:val="13"/>
                <w:sz w:val="20"/>
                <w:szCs w:val="20"/>
              </w:rPr>
              <w:t>常管理制度，并根据工艺要求</w:t>
            </w:r>
            <w:r>
              <w:rPr>
                <w:spacing w:val="2"/>
                <w:sz w:val="20"/>
                <w:szCs w:val="20"/>
              </w:rPr>
              <w:t xml:space="preserve"> </w:t>
            </w:r>
            <w:r>
              <w:rPr>
                <w:spacing w:val="5"/>
                <w:sz w:val="20"/>
                <w:szCs w:val="20"/>
              </w:rPr>
              <w:t>定期对各类设备、</w:t>
            </w:r>
            <w:r>
              <w:rPr>
                <w:spacing w:val="-47"/>
                <w:sz w:val="20"/>
                <w:szCs w:val="20"/>
              </w:rPr>
              <w:t xml:space="preserve"> </w:t>
            </w:r>
            <w:r>
              <w:rPr>
                <w:spacing w:val="5"/>
                <w:sz w:val="20"/>
                <w:szCs w:val="20"/>
              </w:rPr>
              <w:t>电气、</w:t>
            </w:r>
            <w:r>
              <w:rPr>
                <w:spacing w:val="-47"/>
                <w:sz w:val="20"/>
                <w:szCs w:val="20"/>
              </w:rPr>
              <w:t xml:space="preserve"> </w:t>
            </w:r>
            <w:r>
              <w:rPr>
                <w:spacing w:val="5"/>
                <w:sz w:val="20"/>
                <w:szCs w:val="20"/>
              </w:rPr>
              <w:t>自控</w:t>
            </w:r>
            <w:r>
              <w:rPr>
                <w:sz w:val="20"/>
                <w:szCs w:val="20"/>
              </w:rPr>
              <w:t xml:space="preserve"> </w:t>
            </w:r>
            <w:r>
              <w:rPr>
                <w:spacing w:val="13"/>
                <w:sz w:val="20"/>
                <w:szCs w:val="20"/>
              </w:rPr>
              <w:t>仪表等进行检修维护，确保设</w:t>
            </w:r>
            <w:r>
              <w:rPr>
                <w:spacing w:val="2"/>
                <w:sz w:val="20"/>
                <w:szCs w:val="20"/>
              </w:rPr>
              <w:t xml:space="preserve"> </w:t>
            </w:r>
            <w:r>
              <w:rPr>
                <w:spacing w:val="7"/>
                <w:sz w:val="20"/>
                <w:szCs w:val="20"/>
              </w:rPr>
              <w:t>施的稳定运行。</w:t>
            </w:r>
          </w:p>
        </w:tc>
      </w:tr>
      <w:tr w14:paraId="395EE0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2" w:hRule="atLeast"/>
        </w:trPr>
        <w:tc>
          <w:tcPr>
            <w:tcW w:w="494" w:type="dxa"/>
            <w:vMerge w:val="continue"/>
            <w:tcBorders>
              <w:top w:val="nil"/>
              <w:left w:val="single" w:color="000000" w:sz="10" w:space="0"/>
              <w:bottom w:val="nil"/>
            </w:tcBorders>
            <w:vAlign w:val="top"/>
          </w:tcPr>
          <w:p w14:paraId="514D397D">
            <w:pPr>
              <w:rPr>
                <w:rFonts w:ascii="Arial"/>
                <w:sz w:val="21"/>
              </w:rPr>
            </w:pPr>
          </w:p>
        </w:tc>
        <w:tc>
          <w:tcPr>
            <w:tcW w:w="675" w:type="dxa"/>
            <w:gridSpan w:val="3"/>
            <w:vMerge w:val="continue"/>
            <w:tcBorders>
              <w:top w:val="nil"/>
              <w:right w:val="single" w:color="000000" w:sz="4" w:space="0"/>
            </w:tcBorders>
            <w:vAlign w:val="top"/>
          </w:tcPr>
          <w:p w14:paraId="657439CA">
            <w:pPr>
              <w:rPr>
                <w:rFonts w:ascii="Arial"/>
                <w:sz w:val="21"/>
              </w:rPr>
            </w:pPr>
          </w:p>
        </w:tc>
        <w:tc>
          <w:tcPr>
            <w:tcW w:w="4802" w:type="dxa"/>
            <w:gridSpan w:val="6"/>
            <w:tcBorders>
              <w:left w:val="single" w:color="000000" w:sz="4" w:space="0"/>
              <w:right w:val="single" w:color="000000" w:sz="4" w:space="0"/>
            </w:tcBorders>
            <w:vAlign w:val="top"/>
          </w:tcPr>
          <w:p w14:paraId="5C31DBD0">
            <w:pPr>
              <w:pStyle w:val="6"/>
              <w:spacing w:before="91" w:line="277" w:lineRule="auto"/>
              <w:ind w:left="37" w:hanging="37"/>
              <w:jc w:val="both"/>
              <w:rPr>
                <w:rFonts w:ascii="Calibri" w:hAnsi="Calibri" w:eastAsia="Calibri" w:cs="Calibri"/>
                <w:sz w:val="20"/>
                <w:szCs w:val="20"/>
              </w:rPr>
            </w:pPr>
            <w:r>
              <w:rPr>
                <w:rFonts w:ascii="Calibri" w:hAnsi="Calibri" w:eastAsia="Calibri" w:cs="Calibri"/>
                <w:spacing w:val="4"/>
                <w:sz w:val="20"/>
                <w:szCs w:val="20"/>
              </w:rPr>
              <w:t>“</w:t>
            </w:r>
            <w:r>
              <w:rPr>
                <w:spacing w:val="4"/>
                <w:sz w:val="20"/>
                <w:szCs w:val="20"/>
              </w:rPr>
              <w:t>运行与监测：鼓励企业自行开展</w:t>
            </w:r>
            <w:r>
              <w:rPr>
                <w:spacing w:val="-39"/>
                <w:sz w:val="20"/>
                <w:szCs w:val="20"/>
              </w:rPr>
              <w:t xml:space="preserve"> </w:t>
            </w:r>
            <w:r>
              <w:rPr>
                <w:rFonts w:ascii="Calibri" w:hAnsi="Calibri" w:eastAsia="Calibri" w:cs="Calibri"/>
                <w:sz w:val="20"/>
                <w:szCs w:val="20"/>
              </w:rPr>
              <w:t>VOCs</w:t>
            </w:r>
            <w:r>
              <w:rPr>
                <w:rFonts w:ascii="Calibri" w:hAnsi="Calibri" w:eastAsia="Calibri" w:cs="Calibri"/>
                <w:spacing w:val="16"/>
                <w:w w:val="101"/>
                <w:sz w:val="20"/>
                <w:szCs w:val="20"/>
              </w:rPr>
              <w:t xml:space="preserve"> </w:t>
            </w:r>
            <w:r>
              <w:rPr>
                <w:spacing w:val="4"/>
                <w:sz w:val="20"/>
                <w:szCs w:val="20"/>
              </w:rPr>
              <w:t>监测，并及时</w:t>
            </w:r>
            <w:r>
              <w:rPr>
                <w:sz w:val="20"/>
                <w:szCs w:val="20"/>
              </w:rPr>
              <w:t xml:space="preserve"> </w:t>
            </w:r>
            <w:r>
              <w:rPr>
                <w:spacing w:val="3"/>
                <w:sz w:val="20"/>
                <w:szCs w:val="20"/>
              </w:rPr>
              <w:t>主动向当地环保行政主管部门报送监测结果；企业应</w:t>
            </w:r>
            <w:r>
              <w:rPr>
                <w:spacing w:val="14"/>
                <w:sz w:val="20"/>
                <w:szCs w:val="20"/>
              </w:rPr>
              <w:t xml:space="preserve"> </w:t>
            </w:r>
            <w:r>
              <w:rPr>
                <w:spacing w:val="6"/>
                <w:sz w:val="20"/>
                <w:szCs w:val="20"/>
              </w:rPr>
              <w:t>建立健全</w:t>
            </w:r>
            <w:r>
              <w:rPr>
                <w:spacing w:val="-35"/>
                <w:sz w:val="20"/>
                <w:szCs w:val="20"/>
              </w:rPr>
              <w:t xml:space="preserve"> </w:t>
            </w:r>
            <w:r>
              <w:rPr>
                <w:rFonts w:ascii="Calibri" w:hAnsi="Calibri" w:eastAsia="Calibri" w:cs="Calibri"/>
                <w:sz w:val="20"/>
                <w:szCs w:val="20"/>
              </w:rPr>
              <w:t>VOCs</w:t>
            </w:r>
            <w:r>
              <w:rPr>
                <w:rFonts w:ascii="Calibri" w:hAnsi="Calibri" w:eastAsia="Calibri" w:cs="Calibri"/>
                <w:spacing w:val="20"/>
                <w:sz w:val="20"/>
                <w:szCs w:val="20"/>
              </w:rPr>
              <w:t xml:space="preserve"> </w:t>
            </w:r>
            <w:r>
              <w:rPr>
                <w:spacing w:val="6"/>
                <w:sz w:val="20"/>
                <w:szCs w:val="20"/>
              </w:rPr>
              <w:t>治理设施的运行维护规程和台帐等日</w:t>
            </w:r>
            <w:r>
              <w:rPr>
                <w:sz w:val="20"/>
                <w:szCs w:val="20"/>
              </w:rPr>
              <w:t xml:space="preserve"> </w:t>
            </w:r>
            <w:r>
              <w:rPr>
                <w:spacing w:val="-2"/>
                <w:sz w:val="20"/>
                <w:szCs w:val="20"/>
              </w:rPr>
              <w:t>常管理制度，并根据工艺要求定期对各类设备、电气、</w:t>
            </w:r>
            <w:r>
              <w:rPr>
                <w:spacing w:val="1"/>
                <w:sz w:val="20"/>
                <w:szCs w:val="20"/>
              </w:rPr>
              <w:t xml:space="preserve"> </w:t>
            </w:r>
            <w:r>
              <w:rPr>
                <w:spacing w:val="8"/>
                <w:sz w:val="20"/>
                <w:szCs w:val="20"/>
              </w:rPr>
              <w:t>自控仪表等进行检修维护，确保设施的稳定运行。</w:t>
            </w:r>
            <w:r>
              <w:rPr>
                <w:rFonts w:ascii="Calibri" w:hAnsi="Calibri" w:eastAsia="Calibri" w:cs="Calibri"/>
                <w:spacing w:val="8"/>
                <w:sz w:val="20"/>
                <w:szCs w:val="20"/>
              </w:rPr>
              <w:t>”</w:t>
            </w:r>
          </w:p>
        </w:tc>
        <w:tc>
          <w:tcPr>
            <w:tcW w:w="2951" w:type="dxa"/>
            <w:gridSpan w:val="3"/>
            <w:vMerge w:val="continue"/>
            <w:tcBorders>
              <w:top w:val="nil"/>
              <w:left w:val="single" w:color="000000" w:sz="4" w:space="0"/>
              <w:right w:val="single" w:color="000000" w:sz="10" w:space="0"/>
            </w:tcBorders>
            <w:vAlign w:val="top"/>
          </w:tcPr>
          <w:p w14:paraId="52DEA825">
            <w:pPr>
              <w:rPr>
                <w:rFonts w:ascii="Arial"/>
                <w:sz w:val="21"/>
              </w:rPr>
            </w:pPr>
          </w:p>
        </w:tc>
      </w:tr>
      <w:tr w14:paraId="0484AB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15" w:hRule="atLeast"/>
        </w:trPr>
        <w:tc>
          <w:tcPr>
            <w:tcW w:w="494" w:type="dxa"/>
            <w:vMerge w:val="continue"/>
            <w:tcBorders>
              <w:top w:val="nil"/>
              <w:left w:val="single" w:color="000000" w:sz="10" w:space="0"/>
              <w:bottom w:val="nil"/>
            </w:tcBorders>
            <w:vAlign w:val="top"/>
          </w:tcPr>
          <w:p w14:paraId="66C2B124">
            <w:pPr>
              <w:rPr>
                <w:rFonts w:ascii="Arial"/>
                <w:sz w:val="21"/>
              </w:rPr>
            </w:pPr>
          </w:p>
        </w:tc>
        <w:tc>
          <w:tcPr>
            <w:tcW w:w="8428" w:type="dxa"/>
            <w:gridSpan w:val="12"/>
            <w:tcBorders>
              <w:bottom w:val="single" w:color="000000" w:sz="10" w:space="0"/>
              <w:right w:val="single" w:color="000000" w:sz="10" w:space="0"/>
            </w:tcBorders>
            <w:vAlign w:val="top"/>
          </w:tcPr>
          <w:p w14:paraId="025E4B11">
            <w:pPr>
              <w:pStyle w:val="6"/>
              <w:spacing w:before="130" w:line="219" w:lineRule="auto"/>
              <w:ind w:left="583"/>
            </w:pPr>
            <w:r>
              <w:rPr>
                <w:spacing w:val="-1"/>
              </w:rPr>
              <w:t>本项目的建设符合《挥发性有机物（</w:t>
            </w:r>
            <w:r>
              <w:rPr>
                <w:rFonts w:ascii="Calibri" w:hAnsi="Calibri" w:eastAsia="Calibri" w:cs="Calibri"/>
                <w:spacing w:val="-1"/>
              </w:rPr>
              <w:t>VOCs</w:t>
            </w:r>
            <w:r>
              <w:rPr>
                <w:spacing w:val="-1"/>
              </w:rPr>
              <w:t>）污染防治技术政策》。</w:t>
            </w:r>
          </w:p>
          <w:p w14:paraId="72225453">
            <w:pPr>
              <w:pStyle w:val="6"/>
              <w:spacing w:before="184" w:line="285" w:lineRule="auto"/>
              <w:ind w:left="101" w:right="97" w:firstLine="481"/>
            </w:pPr>
            <w:r>
              <w:rPr>
                <w:rFonts w:ascii="Calibri" w:hAnsi="Calibri" w:eastAsia="Calibri" w:cs="Calibri"/>
                <w:spacing w:val="-4"/>
              </w:rPr>
              <w:t>9</w:t>
            </w:r>
            <w:r>
              <w:rPr>
                <w:rFonts w:ascii="Calibri" w:hAnsi="Calibri" w:eastAsia="Calibri" w:cs="Calibri"/>
                <w:spacing w:val="-27"/>
              </w:rPr>
              <w:t xml:space="preserve"> </w:t>
            </w:r>
            <w:r>
              <w:rPr>
                <w:spacing w:val="-4"/>
              </w:rPr>
              <w:t>、</w:t>
            </w:r>
            <w:r>
              <w:rPr>
                <w:b/>
                <w:bCs/>
                <w:spacing w:val="-4"/>
              </w:rPr>
              <w:t>与《报废农业机械回收拆解技术规范》（</w:t>
            </w:r>
            <w:r>
              <w:rPr>
                <w:rFonts w:ascii="Times New Roman" w:hAnsi="Times New Roman" w:eastAsia="Times New Roman" w:cs="Times New Roman"/>
                <w:b/>
                <w:bCs/>
                <w:spacing w:val="-4"/>
              </w:rPr>
              <w:t>NY</w:t>
            </w:r>
            <w:r>
              <w:rPr>
                <w:rFonts w:ascii="Times New Roman" w:hAnsi="Times New Roman" w:eastAsia="Times New Roman" w:cs="Times New Roman"/>
                <w:b/>
                <w:bCs/>
                <w:spacing w:val="-5"/>
              </w:rPr>
              <w:t>/T 2900-2022</w:t>
            </w:r>
            <w:r>
              <w:rPr>
                <w:b/>
                <w:bCs/>
                <w:spacing w:val="-5"/>
              </w:rPr>
              <w:t>）符合性分析</w:t>
            </w:r>
            <w:r>
              <w:t xml:space="preserve"> </w:t>
            </w:r>
            <w:r>
              <w:rPr>
                <w:b/>
                <w:bCs/>
                <w:spacing w:val="-3"/>
              </w:rPr>
              <w:t>表</w:t>
            </w:r>
            <w:r>
              <w:rPr>
                <w:spacing w:val="-44"/>
              </w:rPr>
              <w:t xml:space="preserve"> </w:t>
            </w:r>
            <w:r>
              <w:rPr>
                <w:rFonts w:ascii="Times New Roman" w:hAnsi="Times New Roman" w:eastAsia="Times New Roman" w:cs="Times New Roman"/>
                <w:b/>
                <w:bCs/>
                <w:spacing w:val="-3"/>
              </w:rPr>
              <w:t xml:space="preserve">1-10  </w:t>
            </w:r>
            <w:r>
              <w:rPr>
                <w:b/>
                <w:bCs/>
                <w:spacing w:val="-3"/>
              </w:rPr>
              <w:t>与《报废农业机械回收拆解技</w:t>
            </w:r>
            <w:r>
              <w:rPr>
                <w:b/>
                <w:bCs/>
                <w:spacing w:val="-4"/>
              </w:rPr>
              <w:t>术规范》（</w:t>
            </w:r>
            <w:r>
              <w:rPr>
                <w:rFonts w:ascii="Times New Roman" w:hAnsi="Times New Roman" w:eastAsia="Times New Roman" w:cs="Times New Roman"/>
                <w:b/>
                <w:bCs/>
                <w:spacing w:val="-4"/>
              </w:rPr>
              <w:t>NY/T 2900-2022</w:t>
            </w:r>
            <w:r>
              <w:rPr>
                <w:b/>
                <w:bCs/>
                <w:spacing w:val="-4"/>
              </w:rPr>
              <w:t>）相符性分析</w:t>
            </w:r>
          </w:p>
        </w:tc>
      </w:tr>
      <w:tr w14:paraId="1A3C10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8" w:hRule="atLeast"/>
        </w:trPr>
        <w:tc>
          <w:tcPr>
            <w:tcW w:w="494" w:type="dxa"/>
            <w:vMerge w:val="continue"/>
            <w:tcBorders>
              <w:top w:val="nil"/>
              <w:left w:val="single" w:color="000000" w:sz="10" w:space="0"/>
              <w:bottom w:val="nil"/>
            </w:tcBorders>
            <w:vAlign w:val="top"/>
          </w:tcPr>
          <w:p w14:paraId="21CDC774">
            <w:pPr>
              <w:rPr>
                <w:rFonts w:ascii="Arial"/>
                <w:sz w:val="21"/>
              </w:rPr>
            </w:pPr>
          </w:p>
        </w:tc>
        <w:tc>
          <w:tcPr>
            <w:tcW w:w="548" w:type="dxa"/>
            <w:gridSpan w:val="2"/>
            <w:tcBorders>
              <w:top w:val="single" w:color="000000" w:sz="10" w:space="0"/>
            </w:tcBorders>
            <w:textDirection w:val="tbRlV"/>
            <w:vAlign w:val="top"/>
          </w:tcPr>
          <w:p w14:paraId="652F5E28">
            <w:pPr>
              <w:pStyle w:val="6"/>
              <w:spacing w:before="125" w:line="218" w:lineRule="auto"/>
              <w:ind w:left="61"/>
              <w:rPr>
                <w:sz w:val="20"/>
                <w:szCs w:val="20"/>
              </w:rPr>
            </w:pPr>
            <w:r>
              <w:rPr>
                <w:b/>
                <w:bCs/>
                <w:spacing w:val="5"/>
                <w:sz w:val="20"/>
                <w:szCs w:val="20"/>
              </w:rPr>
              <w:t>序</w:t>
            </w:r>
            <w:r>
              <w:rPr>
                <w:spacing w:val="5"/>
                <w:sz w:val="20"/>
                <w:szCs w:val="20"/>
              </w:rPr>
              <w:t xml:space="preserve"> </w:t>
            </w:r>
            <w:r>
              <w:rPr>
                <w:b/>
                <w:bCs/>
                <w:spacing w:val="5"/>
                <w:sz w:val="20"/>
                <w:szCs w:val="20"/>
              </w:rPr>
              <w:t>号</w:t>
            </w:r>
          </w:p>
        </w:tc>
        <w:tc>
          <w:tcPr>
            <w:tcW w:w="996" w:type="dxa"/>
            <w:gridSpan w:val="4"/>
            <w:tcBorders>
              <w:top w:val="single" w:color="000000" w:sz="10" w:space="0"/>
            </w:tcBorders>
            <w:vAlign w:val="top"/>
          </w:tcPr>
          <w:p w14:paraId="001FABCB">
            <w:pPr>
              <w:pStyle w:val="6"/>
              <w:spacing w:before="217" w:line="228" w:lineRule="auto"/>
              <w:ind w:left="286"/>
              <w:rPr>
                <w:sz w:val="20"/>
                <w:szCs w:val="20"/>
              </w:rPr>
            </w:pPr>
            <w:r>
              <w:rPr>
                <w:b/>
                <w:bCs/>
                <w:spacing w:val="2"/>
                <w:sz w:val="20"/>
                <w:szCs w:val="20"/>
              </w:rPr>
              <w:t>项目</w:t>
            </w:r>
          </w:p>
        </w:tc>
        <w:tc>
          <w:tcPr>
            <w:tcW w:w="3422" w:type="dxa"/>
            <w:gridSpan w:val="2"/>
            <w:tcBorders>
              <w:top w:val="single" w:color="000000" w:sz="10" w:space="0"/>
            </w:tcBorders>
            <w:vAlign w:val="top"/>
          </w:tcPr>
          <w:p w14:paraId="5F75288D">
            <w:pPr>
              <w:pStyle w:val="6"/>
              <w:spacing w:before="217" w:line="228" w:lineRule="auto"/>
              <w:ind w:left="1292"/>
              <w:rPr>
                <w:sz w:val="20"/>
                <w:szCs w:val="20"/>
              </w:rPr>
            </w:pPr>
            <w:r>
              <w:rPr>
                <w:b/>
                <w:bCs/>
                <w:spacing w:val="6"/>
                <w:sz w:val="20"/>
                <w:szCs w:val="20"/>
              </w:rPr>
              <w:t>政策要求</w:t>
            </w:r>
          </w:p>
        </w:tc>
        <w:tc>
          <w:tcPr>
            <w:tcW w:w="2317" w:type="dxa"/>
            <w:gridSpan w:val="3"/>
            <w:tcBorders>
              <w:top w:val="single" w:color="000000" w:sz="10" w:space="0"/>
            </w:tcBorders>
            <w:vAlign w:val="top"/>
          </w:tcPr>
          <w:p w14:paraId="0209FC3E">
            <w:pPr>
              <w:pStyle w:val="6"/>
              <w:spacing w:before="217" w:line="227" w:lineRule="auto"/>
              <w:ind w:left="644"/>
              <w:rPr>
                <w:sz w:val="20"/>
                <w:szCs w:val="20"/>
              </w:rPr>
            </w:pPr>
            <w:r>
              <w:rPr>
                <w:b/>
                <w:bCs/>
                <w:spacing w:val="6"/>
                <w:sz w:val="20"/>
                <w:szCs w:val="20"/>
              </w:rPr>
              <w:t>本项目情况</w:t>
            </w:r>
          </w:p>
        </w:tc>
        <w:tc>
          <w:tcPr>
            <w:tcW w:w="1145" w:type="dxa"/>
            <w:tcBorders>
              <w:top w:val="single" w:color="000000" w:sz="10" w:space="0"/>
              <w:right w:val="single" w:color="000000" w:sz="10" w:space="0"/>
            </w:tcBorders>
            <w:vAlign w:val="top"/>
          </w:tcPr>
          <w:p w14:paraId="28287E86">
            <w:pPr>
              <w:pStyle w:val="6"/>
              <w:spacing w:before="216" w:line="228" w:lineRule="auto"/>
              <w:ind w:left="212"/>
              <w:rPr>
                <w:sz w:val="20"/>
                <w:szCs w:val="20"/>
              </w:rPr>
            </w:pPr>
            <w:r>
              <w:rPr>
                <w:b/>
                <w:bCs/>
                <w:spacing w:val="5"/>
                <w:sz w:val="20"/>
                <w:szCs w:val="20"/>
              </w:rPr>
              <w:t>相符性</w:t>
            </w:r>
          </w:p>
        </w:tc>
      </w:tr>
      <w:tr w14:paraId="360527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0" w:hRule="atLeast"/>
        </w:trPr>
        <w:tc>
          <w:tcPr>
            <w:tcW w:w="494" w:type="dxa"/>
            <w:vMerge w:val="continue"/>
            <w:tcBorders>
              <w:top w:val="nil"/>
              <w:left w:val="single" w:color="000000" w:sz="10" w:space="0"/>
              <w:bottom w:val="single" w:color="000000" w:sz="10" w:space="0"/>
            </w:tcBorders>
            <w:vAlign w:val="top"/>
          </w:tcPr>
          <w:p w14:paraId="034DB579">
            <w:pPr>
              <w:rPr>
                <w:rFonts w:ascii="Arial"/>
                <w:sz w:val="21"/>
              </w:rPr>
            </w:pPr>
          </w:p>
        </w:tc>
        <w:tc>
          <w:tcPr>
            <w:tcW w:w="548" w:type="dxa"/>
            <w:gridSpan w:val="2"/>
            <w:tcBorders>
              <w:bottom w:val="single" w:color="000000" w:sz="10" w:space="0"/>
            </w:tcBorders>
            <w:vAlign w:val="top"/>
          </w:tcPr>
          <w:p w14:paraId="60D0A2A1">
            <w:pPr>
              <w:spacing w:line="258" w:lineRule="auto"/>
              <w:rPr>
                <w:rFonts w:ascii="Arial"/>
                <w:sz w:val="21"/>
              </w:rPr>
            </w:pPr>
          </w:p>
          <w:p w14:paraId="000220BF">
            <w:pPr>
              <w:spacing w:line="258" w:lineRule="auto"/>
              <w:rPr>
                <w:rFonts w:ascii="Arial"/>
                <w:sz w:val="21"/>
              </w:rPr>
            </w:pPr>
          </w:p>
          <w:p w14:paraId="17F3E072">
            <w:pPr>
              <w:spacing w:line="258" w:lineRule="auto"/>
              <w:rPr>
                <w:rFonts w:ascii="Arial"/>
                <w:sz w:val="21"/>
              </w:rPr>
            </w:pPr>
          </w:p>
          <w:p w14:paraId="04636289">
            <w:pPr>
              <w:spacing w:line="258" w:lineRule="auto"/>
              <w:rPr>
                <w:rFonts w:ascii="Arial"/>
                <w:sz w:val="21"/>
              </w:rPr>
            </w:pPr>
          </w:p>
          <w:p w14:paraId="45627500">
            <w:pPr>
              <w:spacing w:line="258" w:lineRule="auto"/>
              <w:rPr>
                <w:rFonts w:ascii="Arial"/>
                <w:sz w:val="21"/>
              </w:rPr>
            </w:pPr>
          </w:p>
          <w:p w14:paraId="71EEE43F">
            <w:pPr>
              <w:spacing w:before="57" w:line="195" w:lineRule="auto"/>
              <w:ind w:left="285"/>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436" w:type="dxa"/>
            <w:gridSpan w:val="2"/>
            <w:tcBorders>
              <w:bottom w:val="single" w:color="000000" w:sz="10" w:space="0"/>
            </w:tcBorders>
            <w:textDirection w:val="tbRlV"/>
            <w:vAlign w:val="top"/>
          </w:tcPr>
          <w:p w14:paraId="1466BB21">
            <w:pPr>
              <w:pStyle w:val="6"/>
              <w:spacing w:before="119" w:line="215" w:lineRule="auto"/>
              <w:ind w:left="851"/>
              <w:rPr>
                <w:sz w:val="20"/>
                <w:szCs w:val="20"/>
              </w:rPr>
            </w:pPr>
            <w:r>
              <w:rPr>
                <w:spacing w:val="6"/>
                <w:sz w:val="20"/>
                <w:szCs w:val="20"/>
              </w:rPr>
              <w:t>基 本 要 求</w:t>
            </w:r>
          </w:p>
        </w:tc>
        <w:tc>
          <w:tcPr>
            <w:tcW w:w="560" w:type="dxa"/>
            <w:gridSpan w:val="2"/>
            <w:tcBorders>
              <w:bottom w:val="single" w:color="000000" w:sz="10" w:space="0"/>
            </w:tcBorders>
            <w:vAlign w:val="top"/>
          </w:tcPr>
          <w:p w14:paraId="26DD683A">
            <w:pPr>
              <w:pStyle w:val="6"/>
              <w:spacing w:before="101" w:line="278" w:lineRule="auto"/>
              <w:ind w:left="170" w:right="133" w:hanging="48"/>
              <w:jc w:val="both"/>
              <w:rPr>
                <w:sz w:val="20"/>
                <w:szCs w:val="20"/>
              </w:rPr>
            </w:pPr>
            <w:r>
              <w:rPr>
                <w:rFonts w:ascii="Calibri" w:hAnsi="Calibri" w:eastAsia="Calibri" w:cs="Calibri"/>
                <w:spacing w:val="-2"/>
              </w:rPr>
              <w:t>4.2</w:t>
            </w:r>
            <w:r>
              <w:rPr>
                <w:rFonts w:ascii="Calibri" w:hAnsi="Calibri" w:eastAsia="Calibri" w:cs="Calibri"/>
              </w:rPr>
              <w:t xml:space="preserve"> </w:t>
            </w:r>
            <w:r>
              <w:rPr>
                <w:spacing w:val="2"/>
                <w:sz w:val="20"/>
                <w:szCs w:val="20"/>
              </w:rPr>
              <w:t>报</w:t>
            </w:r>
            <w:r>
              <w:rPr>
                <w:sz w:val="20"/>
                <w:szCs w:val="20"/>
              </w:rPr>
              <w:t xml:space="preserve"> </w:t>
            </w:r>
            <w:r>
              <w:rPr>
                <w:spacing w:val="2"/>
                <w:sz w:val="20"/>
                <w:szCs w:val="20"/>
              </w:rPr>
              <w:t>废</w:t>
            </w:r>
            <w:r>
              <w:rPr>
                <w:sz w:val="20"/>
                <w:szCs w:val="20"/>
              </w:rPr>
              <w:t xml:space="preserve"> </w:t>
            </w:r>
            <w:r>
              <w:rPr>
                <w:spacing w:val="2"/>
                <w:sz w:val="20"/>
                <w:szCs w:val="20"/>
              </w:rPr>
              <w:t>农</w:t>
            </w:r>
            <w:r>
              <w:rPr>
                <w:sz w:val="20"/>
                <w:szCs w:val="20"/>
              </w:rPr>
              <w:t xml:space="preserve"> </w:t>
            </w:r>
            <w:r>
              <w:rPr>
                <w:spacing w:val="2"/>
                <w:sz w:val="20"/>
                <w:szCs w:val="20"/>
              </w:rPr>
              <w:t>业</w:t>
            </w:r>
            <w:r>
              <w:rPr>
                <w:sz w:val="20"/>
                <w:szCs w:val="20"/>
              </w:rPr>
              <w:t xml:space="preserve"> </w:t>
            </w:r>
            <w:r>
              <w:rPr>
                <w:spacing w:val="2"/>
                <w:sz w:val="20"/>
                <w:szCs w:val="20"/>
              </w:rPr>
              <w:t>机</w:t>
            </w:r>
            <w:r>
              <w:rPr>
                <w:sz w:val="20"/>
                <w:szCs w:val="20"/>
              </w:rPr>
              <w:t xml:space="preserve"> </w:t>
            </w:r>
            <w:r>
              <w:rPr>
                <w:spacing w:val="2"/>
                <w:sz w:val="20"/>
                <w:szCs w:val="20"/>
              </w:rPr>
              <w:t>械</w:t>
            </w:r>
            <w:r>
              <w:rPr>
                <w:sz w:val="20"/>
                <w:szCs w:val="20"/>
              </w:rPr>
              <w:t xml:space="preserve"> </w:t>
            </w:r>
            <w:r>
              <w:rPr>
                <w:spacing w:val="2"/>
                <w:sz w:val="20"/>
                <w:szCs w:val="20"/>
              </w:rPr>
              <w:t>拆</w:t>
            </w:r>
            <w:r>
              <w:rPr>
                <w:sz w:val="20"/>
                <w:szCs w:val="20"/>
              </w:rPr>
              <w:t xml:space="preserve"> </w:t>
            </w:r>
            <w:r>
              <w:rPr>
                <w:spacing w:val="2"/>
                <w:sz w:val="20"/>
                <w:szCs w:val="20"/>
              </w:rPr>
              <w:t>解</w:t>
            </w:r>
          </w:p>
        </w:tc>
        <w:tc>
          <w:tcPr>
            <w:tcW w:w="3422" w:type="dxa"/>
            <w:gridSpan w:val="2"/>
            <w:tcBorders>
              <w:bottom w:val="single" w:color="000000" w:sz="10" w:space="0"/>
            </w:tcBorders>
            <w:vAlign w:val="top"/>
          </w:tcPr>
          <w:p w14:paraId="3CCFD29C">
            <w:pPr>
              <w:pStyle w:val="6"/>
              <w:spacing w:before="82" w:line="273" w:lineRule="auto"/>
              <w:ind w:left="112" w:right="40" w:firstLine="477"/>
              <w:rPr>
                <w:sz w:val="20"/>
                <w:szCs w:val="20"/>
              </w:rPr>
            </w:pPr>
            <w:r>
              <w:rPr>
                <w:rFonts w:ascii="Calibri" w:hAnsi="Calibri" w:eastAsia="Calibri" w:cs="Calibri"/>
                <w:spacing w:val="15"/>
              </w:rPr>
              <w:t>4.2.1</w:t>
            </w:r>
            <w:r>
              <w:rPr>
                <w:spacing w:val="15"/>
                <w:sz w:val="20"/>
                <w:szCs w:val="20"/>
              </w:rPr>
              <w:t>企业应具有专业技术人</w:t>
            </w:r>
            <w:r>
              <w:rPr>
                <w:spacing w:val="4"/>
                <w:sz w:val="20"/>
                <w:szCs w:val="20"/>
              </w:rPr>
              <w:t xml:space="preserve"> 员，其专业能力应能达到规范拆解、</w:t>
            </w:r>
            <w:r>
              <w:rPr>
                <w:sz w:val="20"/>
                <w:szCs w:val="20"/>
              </w:rPr>
              <w:t xml:space="preserve"> </w:t>
            </w:r>
            <w:r>
              <w:rPr>
                <w:spacing w:val="12"/>
                <w:sz w:val="20"/>
                <w:szCs w:val="20"/>
              </w:rPr>
              <w:t xml:space="preserve">环保作业、安全操作（含危险物质 收集存储、运输）等相应要求，并 配备专业安全生产管理人员和环保 </w:t>
            </w:r>
            <w:r>
              <w:rPr>
                <w:spacing w:val="4"/>
                <w:sz w:val="20"/>
                <w:szCs w:val="20"/>
              </w:rPr>
              <w:t>人员，国家有持证上岗规定的岗位，</w:t>
            </w:r>
            <w:r>
              <w:rPr>
                <w:sz w:val="20"/>
                <w:szCs w:val="20"/>
              </w:rPr>
              <w:t xml:space="preserve"> </w:t>
            </w:r>
            <w:r>
              <w:rPr>
                <w:spacing w:val="6"/>
                <w:sz w:val="20"/>
                <w:szCs w:val="20"/>
              </w:rPr>
              <w:t>应持证上岗。</w:t>
            </w:r>
          </w:p>
          <w:p w14:paraId="52FE75DA">
            <w:pPr>
              <w:pStyle w:val="6"/>
              <w:spacing w:before="72" w:line="239" w:lineRule="auto"/>
              <w:ind w:left="111" w:right="110" w:firstLine="478"/>
              <w:rPr>
                <w:sz w:val="20"/>
                <w:szCs w:val="20"/>
              </w:rPr>
            </w:pPr>
            <w:r>
              <w:rPr>
                <w:rFonts w:ascii="Calibri" w:hAnsi="Calibri" w:eastAsia="Calibri" w:cs="Calibri"/>
                <w:spacing w:val="15"/>
              </w:rPr>
              <w:t>4.2.2</w:t>
            </w:r>
            <w:r>
              <w:rPr>
                <w:spacing w:val="15"/>
                <w:sz w:val="20"/>
                <w:szCs w:val="20"/>
              </w:rPr>
              <w:t>具有拆解电动自走式农</w:t>
            </w:r>
            <w:r>
              <w:rPr>
                <w:spacing w:val="4"/>
                <w:sz w:val="20"/>
                <w:szCs w:val="20"/>
              </w:rPr>
              <w:t xml:space="preserve"> </w:t>
            </w:r>
            <w:r>
              <w:rPr>
                <w:spacing w:val="12"/>
                <w:sz w:val="20"/>
                <w:szCs w:val="20"/>
              </w:rPr>
              <w:t>业机械业务的企业，应具有动力蓄</w:t>
            </w:r>
          </w:p>
        </w:tc>
        <w:tc>
          <w:tcPr>
            <w:tcW w:w="2317" w:type="dxa"/>
            <w:gridSpan w:val="3"/>
            <w:tcBorders>
              <w:bottom w:val="single" w:color="000000" w:sz="10" w:space="0"/>
            </w:tcBorders>
            <w:vAlign w:val="top"/>
          </w:tcPr>
          <w:p w14:paraId="012FBAA8">
            <w:pPr>
              <w:spacing w:line="444" w:lineRule="auto"/>
              <w:rPr>
                <w:rFonts w:ascii="Arial"/>
                <w:sz w:val="21"/>
              </w:rPr>
            </w:pPr>
          </w:p>
          <w:p w14:paraId="0C2F7739">
            <w:pPr>
              <w:pStyle w:val="6"/>
              <w:spacing w:before="78" w:line="233" w:lineRule="auto"/>
              <w:ind w:left="117" w:right="84" w:firstLine="479"/>
              <w:jc w:val="both"/>
            </w:pPr>
            <w:r>
              <w:rPr>
                <w:spacing w:val="-2"/>
              </w:rPr>
              <w:t>配备专业安全</w:t>
            </w:r>
            <w:r>
              <w:t xml:space="preserve">  </w:t>
            </w:r>
            <w:r>
              <w:rPr>
                <w:spacing w:val="-2"/>
              </w:rPr>
              <w:t>生产管理人员和环</w:t>
            </w:r>
            <w:r>
              <w:rPr>
                <w:spacing w:val="2"/>
              </w:rPr>
              <w:t xml:space="preserve">  </w:t>
            </w:r>
            <w:r>
              <w:rPr>
                <w:spacing w:val="-6"/>
              </w:rPr>
              <w:t>保人员，持证上岗。</w:t>
            </w:r>
          </w:p>
          <w:p w14:paraId="4F19DBC5">
            <w:pPr>
              <w:pStyle w:val="6"/>
              <w:spacing w:before="28" w:line="233" w:lineRule="auto"/>
              <w:ind w:left="116" w:right="284" w:firstLine="480"/>
              <w:jc w:val="both"/>
            </w:pPr>
            <w:r>
              <w:rPr>
                <w:spacing w:val="-2"/>
              </w:rPr>
              <w:t>本项目不涉及</w:t>
            </w:r>
            <w:r>
              <w:t xml:space="preserve"> </w:t>
            </w:r>
            <w:r>
              <w:rPr>
                <w:spacing w:val="-2"/>
              </w:rPr>
              <w:t>电动自走式农机具</w:t>
            </w:r>
            <w:r>
              <w:rPr>
                <w:spacing w:val="5"/>
              </w:rPr>
              <w:t xml:space="preserve"> </w:t>
            </w:r>
            <w:r>
              <w:rPr>
                <w:spacing w:val="-4"/>
              </w:rPr>
              <w:t>拆解。</w:t>
            </w:r>
          </w:p>
        </w:tc>
        <w:tc>
          <w:tcPr>
            <w:tcW w:w="1145" w:type="dxa"/>
            <w:tcBorders>
              <w:bottom w:val="single" w:color="000000" w:sz="10" w:space="0"/>
              <w:right w:val="single" w:color="000000" w:sz="10" w:space="0"/>
            </w:tcBorders>
            <w:vAlign w:val="top"/>
          </w:tcPr>
          <w:p w14:paraId="43D034C9">
            <w:pPr>
              <w:spacing w:line="249" w:lineRule="auto"/>
              <w:rPr>
                <w:rFonts w:ascii="Arial"/>
                <w:sz w:val="21"/>
              </w:rPr>
            </w:pPr>
          </w:p>
          <w:p w14:paraId="3BC503AB">
            <w:pPr>
              <w:spacing w:line="249" w:lineRule="auto"/>
              <w:rPr>
                <w:rFonts w:ascii="Arial"/>
                <w:sz w:val="21"/>
              </w:rPr>
            </w:pPr>
          </w:p>
          <w:p w14:paraId="302B53D1">
            <w:pPr>
              <w:spacing w:line="249" w:lineRule="auto"/>
              <w:rPr>
                <w:rFonts w:ascii="Arial"/>
                <w:sz w:val="21"/>
              </w:rPr>
            </w:pPr>
          </w:p>
          <w:p w14:paraId="2A910C6D">
            <w:pPr>
              <w:spacing w:line="249" w:lineRule="auto"/>
              <w:rPr>
                <w:rFonts w:ascii="Arial"/>
                <w:sz w:val="21"/>
              </w:rPr>
            </w:pPr>
          </w:p>
          <w:p w14:paraId="069E25C0">
            <w:pPr>
              <w:spacing w:line="250" w:lineRule="auto"/>
              <w:rPr>
                <w:rFonts w:ascii="Arial"/>
                <w:sz w:val="21"/>
              </w:rPr>
            </w:pPr>
          </w:p>
          <w:p w14:paraId="01166E67">
            <w:pPr>
              <w:pStyle w:val="6"/>
              <w:spacing w:before="65" w:line="228" w:lineRule="auto"/>
              <w:ind w:left="320"/>
              <w:rPr>
                <w:sz w:val="20"/>
                <w:szCs w:val="20"/>
              </w:rPr>
            </w:pPr>
            <w:r>
              <w:rPr>
                <w:spacing w:val="3"/>
                <w:sz w:val="20"/>
                <w:szCs w:val="20"/>
              </w:rPr>
              <w:t>符合</w:t>
            </w:r>
          </w:p>
        </w:tc>
      </w:tr>
    </w:tbl>
    <w:p w14:paraId="01BB5B35">
      <w:pPr>
        <w:pStyle w:val="2"/>
        <w:spacing w:line="220" w:lineRule="exact"/>
        <w:rPr>
          <w:sz w:val="19"/>
        </w:rPr>
      </w:pPr>
    </w:p>
    <w:p w14:paraId="1DA7055E">
      <w:pPr>
        <w:spacing w:line="220" w:lineRule="exact"/>
        <w:rPr>
          <w:sz w:val="19"/>
          <w:szCs w:val="19"/>
        </w:rPr>
        <w:sectPr>
          <w:footerReference r:id="rId15" w:type="default"/>
          <w:pgSz w:w="11906" w:h="16839"/>
          <w:pgMar w:top="1270" w:right="1479" w:bottom="1261"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07A480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8" w:hRule="atLeast"/>
        </w:trPr>
        <w:tc>
          <w:tcPr>
            <w:tcW w:w="494" w:type="dxa"/>
            <w:vMerge w:val="restart"/>
            <w:tcBorders>
              <w:top w:val="single" w:color="000000" w:sz="10" w:space="0"/>
              <w:left w:val="single" w:color="000000" w:sz="10" w:space="0"/>
              <w:bottom w:val="nil"/>
            </w:tcBorders>
            <w:vAlign w:val="top"/>
          </w:tcPr>
          <w:p w14:paraId="71673716">
            <w:pPr>
              <w:rPr>
                <w:rFonts w:ascii="Arial"/>
                <w:sz w:val="21"/>
              </w:rPr>
            </w:pPr>
            <w:r>
              <w:pict>
                <v:shape id="_x0000_s1028" o:spid="_x0000_s1028" style="position:absolute;left:0pt;margin-left:104.1pt;margin-top:766.5pt;height:1.45pt;width:411.15pt;mso-position-horizontal-relative:page;mso-position-vertical-relative:page;z-index:251662336;mso-width-relative:page;mso-height-relative:page;" filled="f" stroked="t" coordsize="8222,29" o:allowincell="f" path="m0,14l8222,14e">
                  <v:fill on="f" focussize="0,0"/>
                  <v:stroke weight="1.44pt" color="#000000" miterlimit="2" joinstyle="bevel"/>
                  <v:imagedata o:title=""/>
                  <o:lock v:ext="edit"/>
                </v:shape>
              </w:pict>
            </w:r>
          </w:p>
        </w:tc>
        <w:tc>
          <w:tcPr>
            <w:tcW w:w="547" w:type="dxa"/>
            <w:vMerge w:val="restart"/>
            <w:tcBorders>
              <w:top w:val="single" w:color="000000" w:sz="10" w:space="0"/>
              <w:bottom w:val="nil"/>
            </w:tcBorders>
            <w:vAlign w:val="top"/>
          </w:tcPr>
          <w:p w14:paraId="252504E4">
            <w:pPr>
              <w:rPr>
                <w:rFonts w:ascii="Arial"/>
                <w:sz w:val="21"/>
              </w:rPr>
            </w:pPr>
          </w:p>
        </w:tc>
        <w:tc>
          <w:tcPr>
            <w:tcW w:w="436" w:type="dxa"/>
            <w:vMerge w:val="restart"/>
            <w:tcBorders>
              <w:top w:val="single" w:color="000000" w:sz="10" w:space="0"/>
              <w:bottom w:val="nil"/>
            </w:tcBorders>
            <w:vAlign w:val="top"/>
          </w:tcPr>
          <w:p w14:paraId="7F0752AB">
            <w:pPr>
              <w:rPr>
                <w:rFonts w:ascii="Arial"/>
                <w:sz w:val="21"/>
              </w:rPr>
            </w:pPr>
          </w:p>
        </w:tc>
        <w:tc>
          <w:tcPr>
            <w:tcW w:w="560" w:type="dxa"/>
            <w:tcBorders>
              <w:top w:val="single" w:color="000000" w:sz="10" w:space="0"/>
            </w:tcBorders>
            <w:textDirection w:val="tbRlV"/>
            <w:vAlign w:val="top"/>
          </w:tcPr>
          <w:p w14:paraId="387533B1">
            <w:pPr>
              <w:pStyle w:val="6"/>
              <w:spacing w:before="180" w:line="216" w:lineRule="auto"/>
              <w:ind w:left="45"/>
              <w:rPr>
                <w:sz w:val="20"/>
                <w:szCs w:val="20"/>
              </w:rPr>
            </w:pPr>
            <w:r>
              <w:rPr>
                <w:spacing w:val="6"/>
                <w:sz w:val="20"/>
                <w:szCs w:val="20"/>
              </w:rPr>
              <w:t>人 员 要 求</w:t>
            </w:r>
          </w:p>
        </w:tc>
        <w:tc>
          <w:tcPr>
            <w:tcW w:w="3422" w:type="dxa"/>
            <w:tcBorders>
              <w:top w:val="single" w:color="000000" w:sz="10" w:space="0"/>
            </w:tcBorders>
            <w:vAlign w:val="top"/>
          </w:tcPr>
          <w:p w14:paraId="210BE1B5">
            <w:pPr>
              <w:pStyle w:val="6"/>
              <w:spacing w:before="44" w:line="279" w:lineRule="auto"/>
              <w:ind w:left="113" w:right="109" w:firstLine="24"/>
              <w:jc w:val="both"/>
              <w:rPr>
                <w:sz w:val="20"/>
                <w:szCs w:val="20"/>
              </w:rPr>
            </w:pPr>
            <w:r>
              <w:rPr>
                <w:spacing w:val="17"/>
                <w:sz w:val="20"/>
                <w:szCs w:val="20"/>
              </w:rPr>
              <w:t>电池储存管理人员及</w:t>
            </w:r>
            <w:r>
              <w:rPr>
                <w:rFonts w:ascii="Times New Roman" w:hAnsi="Times New Roman" w:eastAsia="Times New Roman" w:cs="Times New Roman"/>
                <w:spacing w:val="17"/>
                <w:sz w:val="20"/>
                <w:szCs w:val="20"/>
              </w:rPr>
              <w:t>2</w:t>
            </w:r>
            <w:r>
              <w:rPr>
                <w:spacing w:val="17"/>
                <w:sz w:val="20"/>
                <w:szCs w:val="20"/>
              </w:rPr>
              <w:t>名以上持电</w:t>
            </w:r>
            <w:r>
              <w:rPr>
                <w:spacing w:val="13"/>
                <w:sz w:val="20"/>
                <w:szCs w:val="20"/>
              </w:rPr>
              <w:t xml:space="preserve"> </w:t>
            </w:r>
            <w:r>
              <w:rPr>
                <w:spacing w:val="12"/>
                <w:sz w:val="20"/>
                <w:szCs w:val="20"/>
              </w:rPr>
              <w:t xml:space="preserve">工特种作业操作证人员。动力蓄电 池储存管理人员应具有动力蓄电池 防火、防泄漏、防短路等相关专业 知识。拆解人员应在机备生产企业 </w:t>
            </w:r>
            <w:r>
              <w:rPr>
                <w:spacing w:val="8"/>
                <w:sz w:val="20"/>
                <w:szCs w:val="20"/>
              </w:rPr>
              <w:t>提供的拆解信息指导下进行拆解。</w:t>
            </w:r>
          </w:p>
        </w:tc>
        <w:tc>
          <w:tcPr>
            <w:tcW w:w="2318" w:type="dxa"/>
            <w:tcBorders>
              <w:top w:val="single" w:color="000000" w:sz="10" w:space="0"/>
            </w:tcBorders>
            <w:vAlign w:val="top"/>
          </w:tcPr>
          <w:p w14:paraId="51411186">
            <w:pPr>
              <w:rPr>
                <w:rFonts w:ascii="Arial"/>
                <w:sz w:val="21"/>
              </w:rPr>
            </w:pPr>
          </w:p>
        </w:tc>
        <w:tc>
          <w:tcPr>
            <w:tcW w:w="1145" w:type="dxa"/>
            <w:vMerge w:val="restart"/>
            <w:tcBorders>
              <w:top w:val="single" w:color="000000" w:sz="10" w:space="0"/>
              <w:bottom w:val="nil"/>
              <w:right w:val="single" w:color="000000" w:sz="10" w:space="0"/>
            </w:tcBorders>
            <w:vAlign w:val="top"/>
          </w:tcPr>
          <w:p w14:paraId="62382697">
            <w:pPr>
              <w:spacing w:line="241" w:lineRule="auto"/>
              <w:rPr>
                <w:rFonts w:ascii="Arial"/>
                <w:sz w:val="21"/>
              </w:rPr>
            </w:pPr>
          </w:p>
          <w:p w14:paraId="7686A733">
            <w:pPr>
              <w:spacing w:line="241" w:lineRule="auto"/>
              <w:rPr>
                <w:rFonts w:ascii="Arial"/>
                <w:sz w:val="21"/>
              </w:rPr>
            </w:pPr>
          </w:p>
          <w:p w14:paraId="77DD9941">
            <w:pPr>
              <w:spacing w:line="241" w:lineRule="auto"/>
              <w:rPr>
                <w:rFonts w:ascii="Arial"/>
                <w:sz w:val="21"/>
              </w:rPr>
            </w:pPr>
          </w:p>
          <w:p w14:paraId="30849F00">
            <w:pPr>
              <w:spacing w:line="241" w:lineRule="auto"/>
              <w:rPr>
                <w:rFonts w:ascii="Arial"/>
                <w:sz w:val="21"/>
              </w:rPr>
            </w:pPr>
          </w:p>
          <w:p w14:paraId="6A37A973">
            <w:pPr>
              <w:spacing w:line="241" w:lineRule="auto"/>
              <w:rPr>
                <w:rFonts w:ascii="Arial"/>
                <w:sz w:val="21"/>
              </w:rPr>
            </w:pPr>
          </w:p>
          <w:p w14:paraId="464E5B1D">
            <w:pPr>
              <w:spacing w:line="242" w:lineRule="auto"/>
              <w:rPr>
                <w:rFonts w:ascii="Arial"/>
                <w:sz w:val="21"/>
              </w:rPr>
            </w:pPr>
          </w:p>
          <w:p w14:paraId="5978640B">
            <w:pPr>
              <w:spacing w:line="242" w:lineRule="auto"/>
              <w:rPr>
                <w:rFonts w:ascii="Arial"/>
                <w:sz w:val="21"/>
              </w:rPr>
            </w:pPr>
          </w:p>
          <w:p w14:paraId="4585FBCA">
            <w:pPr>
              <w:spacing w:line="242" w:lineRule="auto"/>
              <w:rPr>
                <w:rFonts w:ascii="Arial"/>
                <w:sz w:val="21"/>
              </w:rPr>
            </w:pPr>
          </w:p>
          <w:p w14:paraId="359F80FA">
            <w:pPr>
              <w:spacing w:line="242" w:lineRule="auto"/>
              <w:rPr>
                <w:rFonts w:ascii="Arial"/>
                <w:sz w:val="21"/>
              </w:rPr>
            </w:pPr>
          </w:p>
          <w:p w14:paraId="020FE04D">
            <w:pPr>
              <w:spacing w:line="242" w:lineRule="auto"/>
              <w:rPr>
                <w:rFonts w:ascii="Arial"/>
                <w:sz w:val="21"/>
              </w:rPr>
            </w:pPr>
          </w:p>
          <w:p w14:paraId="47E6EE8D">
            <w:pPr>
              <w:spacing w:line="242" w:lineRule="auto"/>
              <w:rPr>
                <w:rFonts w:ascii="Arial"/>
                <w:sz w:val="21"/>
              </w:rPr>
            </w:pPr>
          </w:p>
          <w:p w14:paraId="1DC87194">
            <w:pPr>
              <w:spacing w:line="242" w:lineRule="auto"/>
              <w:rPr>
                <w:rFonts w:ascii="Arial"/>
                <w:sz w:val="21"/>
              </w:rPr>
            </w:pPr>
          </w:p>
          <w:p w14:paraId="038FDF4C">
            <w:pPr>
              <w:spacing w:line="242" w:lineRule="auto"/>
              <w:rPr>
                <w:rFonts w:ascii="Arial"/>
                <w:sz w:val="21"/>
              </w:rPr>
            </w:pPr>
          </w:p>
          <w:p w14:paraId="454B8480">
            <w:pPr>
              <w:spacing w:line="242" w:lineRule="auto"/>
              <w:rPr>
                <w:rFonts w:ascii="Arial"/>
                <w:sz w:val="21"/>
              </w:rPr>
            </w:pPr>
          </w:p>
          <w:p w14:paraId="6AC3939E">
            <w:pPr>
              <w:spacing w:line="242" w:lineRule="auto"/>
              <w:rPr>
                <w:rFonts w:ascii="Arial"/>
                <w:sz w:val="21"/>
              </w:rPr>
            </w:pPr>
          </w:p>
          <w:p w14:paraId="01A9836D">
            <w:pPr>
              <w:spacing w:line="242" w:lineRule="auto"/>
              <w:rPr>
                <w:rFonts w:ascii="Arial"/>
                <w:sz w:val="21"/>
              </w:rPr>
            </w:pPr>
          </w:p>
          <w:p w14:paraId="47B0DA03">
            <w:pPr>
              <w:spacing w:line="242" w:lineRule="auto"/>
              <w:rPr>
                <w:rFonts w:ascii="Arial"/>
                <w:sz w:val="21"/>
              </w:rPr>
            </w:pPr>
          </w:p>
          <w:p w14:paraId="098CC8DB">
            <w:pPr>
              <w:spacing w:line="242" w:lineRule="auto"/>
              <w:rPr>
                <w:rFonts w:ascii="Arial"/>
                <w:sz w:val="21"/>
              </w:rPr>
            </w:pPr>
          </w:p>
          <w:p w14:paraId="36214DC9">
            <w:pPr>
              <w:spacing w:line="242" w:lineRule="auto"/>
              <w:rPr>
                <w:rFonts w:ascii="Arial"/>
                <w:sz w:val="21"/>
              </w:rPr>
            </w:pPr>
          </w:p>
          <w:p w14:paraId="6FC6AB05">
            <w:pPr>
              <w:spacing w:line="242" w:lineRule="auto"/>
              <w:rPr>
                <w:rFonts w:ascii="Arial"/>
                <w:sz w:val="21"/>
              </w:rPr>
            </w:pPr>
          </w:p>
          <w:p w14:paraId="3E8B2F09">
            <w:pPr>
              <w:spacing w:line="242" w:lineRule="auto"/>
              <w:rPr>
                <w:rFonts w:ascii="Arial"/>
                <w:sz w:val="21"/>
              </w:rPr>
            </w:pPr>
          </w:p>
          <w:p w14:paraId="5489932B">
            <w:pPr>
              <w:spacing w:line="242" w:lineRule="auto"/>
              <w:rPr>
                <w:rFonts w:ascii="Arial"/>
                <w:sz w:val="21"/>
              </w:rPr>
            </w:pPr>
          </w:p>
          <w:p w14:paraId="17740907">
            <w:pPr>
              <w:spacing w:line="242" w:lineRule="auto"/>
              <w:rPr>
                <w:rFonts w:ascii="Arial"/>
                <w:sz w:val="21"/>
              </w:rPr>
            </w:pPr>
          </w:p>
          <w:p w14:paraId="57C5CE58">
            <w:pPr>
              <w:spacing w:line="242" w:lineRule="auto"/>
              <w:rPr>
                <w:rFonts w:ascii="Arial"/>
                <w:sz w:val="21"/>
              </w:rPr>
            </w:pPr>
          </w:p>
          <w:p w14:paraId="49FBEBFE">
            <w:pPr>
              <w:spacing w:line="242" w:lineRule="auto"/>
              <w:rPr>
                <w:rFonts w:ascii="Arial"/>
                <w:sz w:val="21"/>
              </w:rPr>
            </w:pPr>
          </w:p>
          <w:p w14:paraId="2991B9F7">
            <w:pPr>
              <w:spacing w:line="242" w:lineRule="auto"/>
              <w:rPr>
                <w:rFonts w:ascii="Arial"/>
                <w:sz w:val="21"/>
              </w:rPr>
            </w:pPr>
          </w:p>
          <w:p w14:paraId="18573621">
            <w:pPr>
              <w:spacing w:line="242" w:lineRule="auto"/>
              <w:rPr>
                <w:rFonts w:ascii="Arial"/>
                <w:sz w:val="21"/>
              </w:rPr>
            </w:pPr>
          </w:p>
          <w:p w14:paraId="1B3885A0">
            <w:pPr>
              <w:spacing w:line="242" w:lineRule="auto"/>
              <w:rPr>
                <w:rFonts w:ascii="Arial"/>
                <w:sz w:val="21"/>
              </w:rPr>
            </w:pPr>
          </w:p>
          <w:p w14:paraId="0A61FC5C">
            <w:pPr>
              <w:spacing w:line="242" w:lineRule="auto"/>
              <w:rPr>
                <w:rFonts w:ascii="Arial"/>
                <w:sz w:val="21"/>
              </w:rPr>
            </w:pPr>
          </w:p>
          <w:p w14:paraId="16127E55">
            <w:pPr>
              <w:spacing w:line="242" w:lineRule="auto"/>
              <w:rPr>
                <w:rFonts w:ascii="Arial"/>
                <w:sz w:val="21"/>
              </w:rPr>
            </w:pPr>
          </w:p>
          <w:p w14:paraId="53AB8D2B">
            <w:pPr>
              <w:spacing w:line="242" w:lineRule="auto"/>
              <w:rPr>
                <w:rFonts w:ascii="Arial"/>
                <w:sz w:val="21"/>
              </w:rPr>
            </w:pPr>
          </w:p>
          <w:p w14:paraId="253C6A9A">
            <w:pPr>
              <w:spacing w:line="242" w:lineRule="auto"/>
              <w:rPr>
                <w:rFonts w:ascii="Arial"/>
                <w:sz w:val="21"/>
              </w:rPr>
            </w:pPr>
          </w:p>
          <w:p w14:paraId="6B66E0BE">
            <w:pPr>
              <w:pStyle w:val="6"/>
              <w:spacing w:before="65" w:line="228" w:lineRule="auto"/>
              <w:ind w:left="320"/>
              <w:rPr>
                <w:sz w:val="20"/>
                <w:szCs w:val="20"/>
              </w:rPr>
            </w:pPr>
            <w:r>
              <w:rPr>
                <w:spacing w:val="3"/>
                <w:sz w:val="20"/>
                <w:szCs w:val="20"/>
              </w:rPr>
              <w:t>符合</w:t>
            </w:r>
          </w:p>
        </w:tc>
      </w:tr>
      <w:tr w14:paraId="48F8F0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95" w:hRule="atLeast"/>
        </w:trPr>
        <w:tc>
          <w:tcPr>
            <w:tcW w:w="494" w:type="dxa"/>
            <w:vMerge w:val="continue"/>
            <w:tcBorders>
              <w:top w:val="nil"/>
              <w:left w:val="single" w:color="000000" w:sz="10" w:space="0"/>
              <w:bottom w:val="single" w:color="000000" w:sz="10" w:space="0"/>
            </w:tcBorders>
            <w:vAlign w:val="top"/>
          </w:tcPr>
          <w:p w14:paraId="1AAA8727">
            <w:pPr>
              <w:rPr>
                <w:rFonts w:ascii="Arial"/>
                <w:sz w:val="21"/>
              </w:rPr>
            </w:pPr>
          </w:p>
        </w:tc>
        <w:tc>
          <w:tcPr>
            <w:tcW w:w="547" w:type="dxa"/>
            <w:vMerge w:val="continue"/>
            <w:tcBorders>
              <w:top w:val="nil"/>
              <w:bottom w:val="single" w:color="000000" w:sz="10" w:space="0"/>
            </w:tcBorders>
            <w:vAlign w:val="top"/>
          </w:tcPr>
          <w:p w14:paraId="129DDE38">
            <w:pPr>
              <w:rPr>
                <w:rFonts w:ascii="Arial"/>
                <w:sz w:val="21"/>
              </w:rPr>
            </w:pPr>
          </w:p>
        </w:tc>
        <w:tc>
          <w:tcPr>
            <w:tcW w:w="436" w:type="dxa"/>
            <w:vMerge w:val="continue"/>
            <w:tcBorders>
              <w:top w:val="nil"/>
              <w:bottom w:val="single" w:color="000000" w:sz="10" w:space="0"/>
            </w:tcBorders>
            <w:vAlign w:val="top"/>
          </w:tcPr>
          <w:p w14:paraId="602FC330">
            <w:pPr>
              <w:rPr>
                <w:rFonts w:ascii="Arial"/>
                <w:sz w:val="21"/>
              </w:rPr>
            </w:pPr>
          </w:p>
        </w:tc>
        <w:tc>
          <w:tcPr>
            <w:tcW w:w="560" w:type="dxa"/>
            <w:tcBorders>
              <w:bottom w:val="single" w:color="000000" w:sz="10" w:space="0"/>
            </w:tcBorders>
            <w:vAlign w:val="top"/>
          </w:tcPr>
          <w:p w14:paraId="4D60E97A">
            <w:pPr>
              <w:spacing w:line="248" w:lineRule="auto"/>
              <w:rPr>
                <w:rFonts w:ascii="Arial"/>
                <w:sz w:val="21"/>
              </w:rPr>
            </w:pPr>
          </w:p>
          <w:p w14:paraId="4561ED5F">
            <w:pPr>
              <w:spacing w:line="248" w:lineRule="auto"/>
              <w:rPr>
                <w:rFonts w:ascii="Arial"/>
                <w:sz w:val="21"/>
              </w:rPr>
            </w:pPr>
          </w:p>
          <w:p w14:paraId="300E6AE8">
            <w:pPr>
              <w:spacing w:line="248" w:lineRule="auto"/>
              <w:rPr>
                <w:rFonts w:ascii="Arial"/>
                <w:sz w:val="21"/>
              </w:rPr>
            </w:pPr>
          </w:p>
          <w:p w14:paraId="4AC0CB5F">
            <w:pPr>
              <w:spacing w:line="248" w:lineRule="auto"/>
              <w:rPr>
                <w:rFonts w:ascii="Arial"/>
                <w:sz w:val="21"/>
              </w:rPr>
            </w:pPr>
          </w:p>
          <w:p w14:paraId="0422FE70">
            <w:pPr>
              <w:spacing w:line="248" w:lineRule="auto"/>
              <w:rPr>
                <w:rFonts w:ascii="Arial"/>
                <w:sz w:val="21"/>
              </w:rPr>
            </w:pPr>
          </w:p>
          <w:p w14:paraId="799F1697">
            <w:pPr>
              <w:spacing w:line="248" w:lineRule="auto"/>
              <w:rPr>
                <w:rFonts w:ascii="Arial"/>
                <w:sz w:val="21"/>
              </w:rPr>
            </w:pPr>
          </w:p>
          <w:p w14:paraId="6A8795A3">
            <w:pPr>
              <w:spacing w:line="248" w:lineRule="auto"/>
              <w:rPr>
                <w:rFonts w:ascii="Arial"/>
                <w:sz w:val="21"/>
              </w:rPr>
            </w:pPr>
          </w:p>
          <w:p w14:paraId="37937986">
            <w:pPr>
              <w:spacing w:line="248" w:lineRule="auto"/>
              <w:rPr>
                <w:rFonts w:ascii="Arial"/>
                <w:sz w:val="21"/>
              </w:rPr>
            </w:pPr>
          </w:p>
          <w:p w14:paraId="7D778715">
            <w:pPr>
              <w:spacing w:line="248" w:lineRule="auto"/>
              <w:rPr>
                <w:rFonts w:ascii="Arial"/>
                <w:sz w:val="21"/>
              </w:rPr>
            </w:pPr>
          </w:p>
          <w:p w14:paraId="3A5BB5AA">
            <w:pPr>
              <w:spacing w:line="248" w:lineRule="auto"/>
              <w:rPr>
                <w:rFonts w:ascii="Arial"/>
                <w:sz w:val="21"/>
              </w:rPr>
            </w:pPr>
          </w:p>
          <w:p w14:paraId="73FBB63D">
            <w:pPr>
              <w:spacing w:line="249" w:lineRule="auto"/>
              <w:rPr>
                <w:rFonts w:ascii="Arial"/>
                <w:sz w:val="21"/>
              </w:rPr>
            </w:pPr>
          </w:p>
          <w:p w14:paraId="7EA9675A">
            <w:pPr>
              <w:spacing w:line="249" w:lineRule="auto"/>
              <w:rPr>
                <w:rFonts w:ascii="Arial"/>
                <w:sz w:val="21"/>
              </w:rPr>
            </w:pPr>
          </w:p>
          <w:p w14:paraId="5273EB48">
            <w:pPr>
              <w:spacing w:line="249" w:lineRule="auto"/>
              <w:rPr>
                <w:rFonts w:ascii="Arial"/>
                <w:sz w:val="21"/>
              </w:rPr>
            </w:pPr>
          </w:p>
          <w:p w14:paraId="12926924">
            <w:pPr>
              <w:spacing w:line="249" w:lineRule="auto"/>
              <w:rPr>
                <w:rFonts w:ascii="Arial"/>
                <w:sz w:val="21"/>
              </w:rPr>
            </w:pPr>
          </w:p>
          <w:p w14:paraId="4961C46A">
            <w:pPr>
              <w:spacing w:line="249" w:lineRule="auto"/>
              <w:rPr>
                <w:rFonts w:ascii="Arial"/>
                <w:sz w:val="21"/>
              </w:rPr>
            </w:pPr>
          </w:p>
          <w:p w14:paraId="4AA69546">
            <w:pPr>
              <w:spacing w:line="249" w:lineRule="auto"/>
              <w:rPr>
                <w:rFonts w:ascii="Arial"/>
                <w:sz w:val="21"/>
              </w:rPr>
            </w:pPr>
          </w:p>
          <w:p w14:paraId="5EC6E48C">
            <w:pPr>
              <w:spacing w:line="249" w:lineRule="auto"/>
              <w:rPr>
                <w:rFonts w:ascii="Arial"/>
                <w:sz w:val="21"/>
              </w:rPr>
            </w:pPr>
          </w:p>
          <w:p w14:paraId="40E2BE70">
            <w:pPr>
              <w:spacing w:line="249" w:lineRule="auto"/>
              <w:rPr>
                <w:rFonts w:ascii="Arial"/>
                <w:sz w:val="21"/>
              </w:rPr>
            </w:pPr>
          </w:p>
          <w:p w14:paraId="08F065F3">
            <w:pPr>
              <w:spacing w:line="249" w:lineRule="auto"/>
              <w:rPr>
                <w:rFonts w:ascii="Arial"/>
                <w:sz w:val="21"/>
              </w:rPr>
            </w:pPr>
          </w:p>
          <w:p w14:paraId="5C6D8268">
            <w:pPr>
              <w:spacing w:line="249" w:lineRule="auto"/>
              <w:rPr>
                <w:rFonts w:ascii="Arial"/>
                <w:sz w:val="21"/>
              </w:rPr>
            </w:pPr>
          </w:p>
          <w:p w14:paraId="7E141EA0">
            <w:pPr>
              <w:pStyle w:val="6"/>
              <w:spacing w:before="74" w:line="276" w:lineRule="auto"/>
              <w:ind w:left="172" w:right="132" w:hanging="49"/>
              <w:jc w:val="both"/>
              <w:rPr>
                <w:sz w:val="20"/>
                <w:szCs w:val="20"/>
              </w:rPr>
            </w:pPr>
            <w:r>
              <w:rPr>
                <w:rFonts w:ascii="Calibri" w:hAnsi="Calibri" w:eastAsia="Calibri" w:cs="Calibri"/>
                <w:spacing w:val="-2"/>
              </w:rPr>
              <w:t>4.3</w:t>
            </w:r>
            <w:r>
              <w:rPr>
                <w:rFonts w:ascii="Calibri" w:hAnsi="Calibri" w:eastAsia="Calibri" w:cs="Calibri"/>
              </w:rPr>
              <w:t xml:space="preserve"> </w:t>
            </w:r>
            <w:r>
              <w:rPr>
                <w:spacing w:val="1"/>
                <w:sz w:val="20"/>
                <w:szCs w:val="20"/>
              </w:rPr>
              <w:t>场</w:t>
            </w:r>
            <w:r>
              <w:rPr>
                <w:sz w:val="20"/>
                <w:szCs w:val="20"/>
              </w:rPr>
              <w:t xml:space="preserve"> </w:t>
            </w:r>
            <w:r>
              <w:rPr>
                <w:spacing w:val="1"/>
                <w:sz w:val="20"/>
                <w:szCs w:val="20"/>
              </w:rPr>
              <w:t>地</w:t>
            </w:r>
            <w:r>
              <w:rPr>
                <w:sz w:val="20"/>
                <w:szCs w:val="20"/>
              </w:rPr>
              <w:t xml:space="preserve"> </w:t>
            </w:r>
            <w:r>
              <w:rPr>
                <w:spacing w:val="1"/>
                <w:sz w:val="20"/>
                <w:szCs w:val="20"/>
              </w:rPr>
              <w:t>建</w:t>
            </w:r>
            <w:r>
              <w:rPr>
                <w:sz w:val="20"/>
                <w:szCs w:val="20"/>
              </w:rPr>
              <w:t xml:space="preserve"> </w:t>
            </w:r>
            <w:r>
              <w:rPr>
                <w:spacing w:val="1"/>
                <w:sz w:val="20"/>
                <w:szCs w:val="20"/>
              </w:rPr>
              <w:t>设</w:t>
            </w:r>
            <w:r>
              <w:rPr>
                <w:sz w:val="20"/>
                <w:szCs w:val="20"/>
              </w:rPr>
              <w:t xml:space="preserve"> </w:t>
            </w:r>
            <w:r>
              <w:rPr>
                <w:spacing w:val="1"/>
                <w:sz w:val="20"/>
                <w:szCs w:val="20"/>
              </w:rPr>
              <w:t>要</w:t>
            </w:r>
            <w:r>
              <w:rPr>
                <w:sz w:val="20"/>
                <w:szCs w:val="20"/>
              </w:rPr>
              <w:t xml:space="preserve"> </w:t>
            </w:r>
            <w:r>
              <w:rPr>
                <w:spacing w:val="1"/>
                <w:sz w:val="20"/>
                <w:szCs w:val="20"/>
              </w:rPr>
              <w:t>求</w:t>
            </w:r>
          </w:p>
        </w:tc>
        <w:tc>
          <w:tcPr>
            <w:tcW w:w="3422" w:type="dxa"/>
            <w:tcBorders>
              <w:bottom w:val="single" w:color="000000" w:sz="10" w:space="0"/>
            </w:tcBorders>
            <w:vAlign w:val="top"/>
          </w:tcPr>
          <w:p w14:paraId="112676C0">
            <w:pPr>
              <w:spacing w:line="301" w:lineRule="auto"/>
              <w:rPr>
                <w:rFonts w:ascii="Arial"/>
                <w:sz w:val="21"/>
              </w:rPr>
            </w:pPr>
          </w:p>
          <w:p w14:paraId="2E40C694">
            <w:pPr>
              <w:spacing w:line="301" w:lineRule="auto"/>
              <w:rPr>
                <w:rFonts w:ascii="Arial"/>
                <w:sz w:val="21"/>
              </w:rPr>
            </w:pPr>
          </w:p>
          <w:p w14:paraId="1FF55918">
            <w:pPr>
              <w:pStyle w:val="6"/>
              <w:spacing w:before="73" w:line="278" w:lineRule="auto"/>
              <w:ind w:left="112" w:right="108" w:firstLine="478"/>
              <w:rPr>
                <w:sz w:val="20"/>
                <w:szCs w:val="20"/>
              </w:rPr>
            </w:pPr>
            <w:r>
              <w:rPr>
                <w:rFonts w:ascii="Calibri" w:hAnsi="Calibri" w:eastAsia="Calibri" w:cs="Calibri"/>
                <w:spacing w:val="15"/>
              </w:rPr>
              <w:t>4.3.1</w:t>
            </w:r>
            <w:r>
              <w:rPr>
                <w:spacing w:val="15"/>
                <w:sz w:val="20"/>
                <w:szCs w:val="20"/>
              </w:rPr>
              <w:t>报废农业机械拆解作业</w:t>
            </w:r>
            <w:r>
              <w:rPr>
                <w:spacing w:val="4"/>
                <w:sz w:val="20"/>
                <w:szCs w:val="20"/>
              </w:rPr>
              <w:t xml:space="preserve"> </w:t>
            </w:r>
            <w:r>
              <w:rPr>
                <w:spacing w:val="12"/>
                <w:sz w:val="20"/>
                <w:szCs w:val="20"/>
              </w:rPr>
              <w:t>场地应有独立的拆解区、产品及拆</w:t>
            </w:r>
            <w:r>
              <w:rPr>
                <w:spacing w:val="13"/>
                <w:sz w:val="20"/>
                <w:szCs w:val="20"/>
              </w:rPr>
              <w:t xml:space="preserve"> </w:t>
            </w:r>
            <w:r>
              <w:rPr>
                <w:spacing w:val="12"/>
                <w:sz w:val="20"/>
                <w:szCs w:val="20"/>
              </w:rPr>
              <w:t>解后物料储存区、固体废物或危险</w:t>
            </w:r>
            <w:r>
              <w:rPr>
                <w:spacing w:val="13"/>
                <w:sz w:val="20"/>
                <w:szCs w:val="20"/>
              </w:rPr>
              <w:t xml:space="preserve"> </w:t>
            </w:r>
            <w:r>
              <w:rPr>
                <w:spacing w:val="12"/>
                <w:sz w:val="20"/>
                <w:szCs w:val="20"/>
              </w:rPr>
              <w:t>废物料储存控制区等各功能区，各</w:t>
            </w:r>
            <w:r>
              <w:rPr>
                <w:spacing w:val="13"/>
                <w:sz w:val="20"/>
                <w:szCs w:val="20"/>
              </w:rPr>
              <w:t xml:space="preserve"> </w:t>
            </w:r>
            <w:r>
              <w:rPr>
                <w:spacing w:val="12"/>
                <w:sz w:val="20"/>
                <w:szCs w:val="20"/>
              </w:rPr>
              <w:t>功能区场地面积应与拆解能力相匹</w:t>
            </w:r>
            <w:r>
              <w:rPr>
                <w:spacing w:val="13"/>
                <w:sz w:val="20"/>
                <w:szCs w:val="20"/>
              </w:rPr>
              <w:t xml:space="preserve"> </w:t>
            </w:r>
            <w:r>
              <w:rPr>
                <w:spacing w:val="5"/>
                <w:sz w:val="20"/>
                <w:szCs w:val="20"/>
              </w:rPr>
              <w:t>配，场地总面积宜不低于</w:t>
            </w:r>
            <w:r>
              <w:rPr>
                <w:rFonts w:ascii="Times New Roman" w:hAnsi="Times New Roman" w:eastAsia="Times New Roman" w:cs="Times New Roman"/>
                <w:spacing w:val="5"/>
                <w:sz w:val="20"/>
                <w:szCs w:val="20"/>
              </w:rPr>
              <w:t xml:space="preserve">2000  </w:t>
            </w:r>
            <w:r>
              <w:rPr>
                <w:spacing w:val="5"/>
                <w:sz w:val="20"/>
                <w:szCs w:val="20"/>
              </w:rPr>
              <w:t>㎡，</w:t>
            </w:r>
            <w:r>
              <w:rPr>
                <w:sz w:val="20"/>
                <w:szCs w:val="20"/>
              </w:rPr>
              <w:t xml:space="preserve"> </w:t>
            </w:r>
            <w:r>
              <w:rPr>
                <w:spacing w:val="11"/>
                <w:sz w:val="20"/>
                <w:szCs w:val="20"/>
              </w:rPr>
              <w:t>作业场地（包括拆解和储存场地）</w:t>
            </w:r>
            <w:r>
              <w:rPr>
                <w:spacing w:val="10"/>
                <w:sz w:val="20"/>
                <w:szCs w:val="20"/>
              </w:rPr>
              <w:t xml:space="preserve"> </w:t>
            </w:r>
            <w:r>
              <w:rPr>
                <w:spacing w:val="12"/>
                <w:sz w:val="20"/>
                <w:szCs w:val="20"/>
              </w:rPr>
              <w:t>面积不低于场地总面积的</w:t>
            </w:r>
            <w:r>
              <w:rPr>
                <w:rFonts w:ascii="Times New Roman" w:hAnsi="Times New Roman" w:eastAsia="Times New Roman" w:cs="Times New Roman"/>
                <w:spacing w:val="12"/>
                <w:sz w:val="20"/>
                <w:szCs w:val="20"/>
              </w:rPr>
              <w:t>70%</w:t>
            </w:r>
            <w:r>
              <w:rPr>
                <w:rFonts w:ascii="Times New Roman" w:hAnsi="Times New Roman" w:eastAsia="Times New Roman" w:cs="Times New Roman"/>
                <w:spacing w:val="-16"/>
                <w:sz w:val="20"/>
                <w:szCs w:val="20"/>
              </w:rPr>
              <w:t xml:space="preserve"> </w:t>
            </w:r>
            <w:r>
              <w:rPr>
                <w:spacing w:val="12"/>
                <w:sz w:val="20"/>
                <w:szCs w:val="20"/>
              </w:rPr>
              <w:t>。报</w:t>
            </w:r>
            <w:r>
              <w:rPr>
                <w:sz w:val="20"/>
                <w:szCs w:val="20"/>
              </w:rPr>
              <w:t xml:space="preserve"> </w:t>
            </w:r>
            <w:r>
              <w:rPr>
                <w:spacing w:val="12"/>
                <w:sz w:val="20"/>
                <w:szCs w:val="20"/>
              </w:rPr>
              <w:t>废农机回收拆解企业应通过环境影</w:t>
            </w:r>
            <w:r>
              <w:rPr>
                <w:spacing w:val="13"/>
                <w:sz w:val="20"/>
                <w:szCs w:val="20"/>
              </w:rPr>
              <w:t xml:space="preserve"> </w:t>
            </w:r>
            <w:r>
              <w:rPr>
                <w:spacing w:val="7"/>
                <w:sz w:val="20"/>
                <w:szCs w:val="20"/>
              </w:rPr>
              <w:t>响评价，选址合理。</w:t>
            </w:r>
          </w:p>
          <w:p w14:paraId="5DAF4E4F">
            <w:pPr>
              <w:pStyle w:val="6"/>
              <w:spacing w:before="70" w:line="277" w:lineRule="auto"/>
              <w:ind w:left="112" w:right="39" w:firstLine="478"/>
              <w:rPr>
                <w:sz w:val="20"/>
                <w:szCs w:val="20"/>
              </w:rPr>
            </w:pPr>
            <w:r>
              <w:rPr>
                <w:rFonts w:ascii="Calibri" w:hAnsi="Calibri" w:eastAsia="Calibri" w:cs="Calibri"/>
                <w:spacing w:val="1"/>
              </w:rPr>
              <w:t>4.3.2</w:t>
            </w:r>
            <w:r>
              <w:rPr>
                <w:spacing w:val="1"/>
                <w:sz w:val="20"/>
                <w:szCs w:val="20"/>
              </w:rPr>
              <w:t>拆解区、产品及拆解后物</w:t>
            </w:r>
            <w:r>
              <w:rPr>
                <w:spacing w:val="13"/>
                <w:sz w:val="20"/>
                <w:szCs w:val="20"/>
              </w:rPr>
              <w:t xml:space="preserve"> </w:t>
            </w:r>
            <w:r>
              <w:rPr>
                <w:spacing w:val="12"/>
                <w:sz w:val="20"/>
                <w:szCs w:val="20"/>
              </w:rPr>
              <w:t>料储存区、固体废物或危险废物储</w:t>
            </w:r>
            <w:r>
              <w:rPr>
                <w:spacing w:val="13"/>
                <w:sz w:val="20"/>
                <w:szCs w:val="20"/>
              </w:rPr>
              <w:t xml:space="preserve"> </w:t>
            </w:r>
            <w:r>
              <w:rPr>
                <w:spacing w:val="14"/>
                <w:sz w:val="20"/>
                <w:szCs w:val="20"/>
              </w:rPr>
              <w:t>存控制区功能设计符合拆解能力，</w:t>
            </w:r>
            <w:r>
              <w:rPr>
                <w:sz w:val="20"/>
                <w:szCs w:val="20"/>
              </w:rPr>
              <w:t xml:space="preserve"> </w:t>
            </w:r>
            <w:r>
              <w:rPr>
                <w:spacing w:val="12"/>
                <w:sz w:val="20"/>
                <w:szCs w:val="20"/>
              </w:rPr>
              <w:t>标识明显，具有防风、防雨和防雷</w:t>
            </w:r>
            <w:r>
              <w:rPr>
                <w:spacing w:val="13"/>
                <w:sz w:val="20"/>
                <w:szCs w:val="20"/>
              </w:rPr>
              <w:t xml:space="preserve"> </w:t>
            </w:r>
            <w:r>
              <w:rPr>
                <w:sz w:val="20"/>
                <w:szCs w:val="20"/>
              </w:rPr>
              <w:t>功能，并满足</w:t>
            </w:r>
            <w:r>
              <w:rPr>
                <w:rFonts w:ascii="Times New Roman" w:hAnsi="Times New Roman" w:eastAsia="Times New Roman" w:cs="Times New Roman"/>
                <w:sz w:val="20"/>
                <w:szCs w:val="20"/>
              </w:rPr>
              <w:t>GB</w:t>
            </w:r>
            <w:r>
              <w:rPr>
                <w:rFonts w:ascii="Times New Roman" w:hAnsi="Times New Roman" w:eastAsia="Times New Roman" w:cs="Times New Roman"/>
                <w:spacing w:val="36"/>
                <w:sz w:val="20"/>
                <w:szCs w:val="20"/>
              </w:rPr>
              <w:t xml:space="preserve"> </w:t>
            </w:r>
            <w:r>
              <w:rPr>
                <w:rFonts w:ascii="Times New Roman" w:hAnsi="Times New Roman" w:eastAsia="Times New Roman" w:cs="Times New Roman"/>
                <w:sz w:val="20"/>
                <w:szCs w:val="20"/>
              </w:rPr>
              <w:t>18599</w:t>
            </w:r>
            <w:r>
              <w:rPr>
                <w:sz w:val="20"/>
                <w:szCs w:val="20"/>
              </w:rPr>
              <w:t xml:space="preserve">规定的要求。 </w:t>
            </w:r>
            <w:r>
              <w:rPr>
                <w:spacing w:val="45"/>
                <w:sz w:val="20"/>
                <w:szCs w:val="20"/>
              </w:rPr>
              <w:t>固体废物储存场地应具有满足</w:t>
            </w:r>
            <w:r>
              <w:rPr>
                <w:spacing w:val="8"/>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13"/>
                <w:sz w:val="20"/>
                <w:szCs w:val="20"/>
              </w:rPr>
              <w:t>18599</w:t>
            </w:r>
            <w:r>
              <w:rPr>
                <w:spacing w:val="13"/>
                <w:sz w:val="20"/>
                <w:szCs w:val="20"/>
              </w:rPr>
              <w:t>要求的一般工业固废储存</w:t>
            </w:r>
            <w:r>
              <w:rPr>
                <w:spacing w:val="7"/>
                <w:sz w:val="20"/>
                <w:szCs w:val="20"/>
              </w:rPr>
              <w:t xml:space="preserve"> </w:t>
            </w:r>
            <w:r>
              <w:rPr>
                <w:spacing w:val="8"/>
                <w:sz w:val="20"/>
                <w:szCs w:val="20"/>
              </w:rPr>
              <w:t>设施和满足</w:t>
            </w:r>
            <w:r>
              <w:rPr>
                <w:rFonts w:ascii="Times New Roman" w:hAnsi="Times New Roman" w:eastAsia="Times New Roman" w:cs="Times New Roman"/>
                <w:sz w:val="20"/>
                <w:szCs w:val="20"/>
              </w:rPr>
              <w:t>GB</w:t>
            </w:r>
            <w:r>
              <w:rPr>
                <w:rFonts w:ascii="Times New Roman" w:hAnsi="Times New Roman" w:eastAsia="Times New Roman" w:cs="Times New Roman"/>
                <w:spacing w:val="37"/>
                <w:w w:val="101"/>
                <w:sz w:val="20"/>
                <w:szCs w:val="20"/>
              </w:rPr>
              <w:t xml:space="preserve"> </w:t>
            </w:r>
            <w:r>
              <w:rPr>
                <w:rFonts w:ascii="Times New Roman" w:hAnsi="Times New Roman" w:eastAsia="Times New Roman" w:cs="Times New Roman"/>
                <w:spacing w:val="8"/>
                <w:sz w:val="20"/>
                <w:szCs w:val="20"/>
              </w:rPr>
              <w:t>18597</w:t>
            </w:r>
            <w:r>
              <w:rPr>
                <w:spacing w:val="8"/>
                <w:sz w:val="20"/>
                <w:szCs w:val="20"/>
              </w:rPr>
              <w:t>要求的危险废</w:t>
            </w:r>
            <w:r>
              <w:rPr>
                <w:sz w:val="20"/>
                <w:szCs w:val="20"/>
              </w:rPr>
              <w:t xml:space="preserve"> </w:t>
            </w:r>
            <w:r>
              <w:rPr>
                <w:spacing w:val="6"/>
                <w:sz w:val="20"/>
                <w:szCs w:val="20"/>
              </w:rPr>
              <w:t>物储存设施。</w:t>
            </w:r>
          </w:p>
          <w:p w14:paraId="6A99EF83">
            <w:pPr>
              <w:pStyle w:val="6"/>
              <w:spacing w:before="74" w:line="271" w:lineRule="auto"/>
              <w:ind w:left="112" w:right="57" w:firstLine="478"/>
              <w:rPr>
                <w:sz w:val="20"/>
                <w:szCs w:val="20"/>
              </w:rPr>
            </w:pPr>
            <w:r>
              <w:rPr>
                <w:rFonts w:ascii="Calibri" w:hAnsi="Calibri" w:eastAsia="Calibri" w:cs="Calibri"/>
                <w:spacing w:val="15"/>
              </w:rPr>
              <w:t>4.3.3</w:t>
            </w:r>
            <w:r>
              <w:rPr>
                <w:spacing w:val="15"/>
                <w:sz w:val="20"/>
                <w:szCs w:val="20"/>
              </w:rPr>
              <w:t>拆解车间应为封闭或半</w:t>
            </w:r>
            <w:r>
              <w:rPr>
                <w:spacing w:val="4"/>
                <w:sz w:val="20"/>
                <w:szCs w:val="20"/>
              </w:rPr>
              <w:t xml:space="preserve"> </w:t>
            </w:r>
            <w:r>
              <w:rPr>
                <w:spacing w:val="12"/>
                <w:sz w:val="20"/>
                <w:szCs w:val="20"/>
              </w:rPr>
              <w:t>封闭车间，通风、光线良好，地面</w:t>
            </w:r>
            <w:r>
              <w:rPr>
                <w:spacing w:val="13"/>
                <w:sz w:val="20"/>
                <w:szCs w:val="20"/>
              </w:rPr>
              <w:t xml:space="preserve"> </w:t>
            </w:r>
            <w:r>
              <w:rPr>
                <w:spacing w:val="2"/>
                <w:sz w:val="20"/>
                <w:szCs w:val="20"/>
              </w:rPr>
              <w:t>硬化且防渗漏，安全防范设施齐全；</w:t>
            </w:r>
            <w:r>
              <w:rPr>
                <w:spacing w:val="13"/>
                <w:sz w:val="20"/>
                <w:szCs w:val="20"/>
              </w:rPr>
              <w:t xml:space="preserve"> </w:t>
            </w:r>
            <w:r>
              <w:rPr>
                <w:spacing w:val="10"/>
                <w:sz w:val="20"/>
                <w:szCs w:val="20"/>
              </w:rPr>
              <w:t>存储场地（包括临时存储）</w:t>
            </w:r>
            <w:r>
              <w:rPr>
                <w:spacing w:val="-57"/>
                <w:sz w:val="20"/>
                <w:szCs w:val="20"/>
              </w:rPr>
              <w:t xml:space="preserve"> </w:t>
            </w:r>
            <w:r>
              <w:rPr>
                <w:spacing w:val="10"/>
                <w:sz w:val="20"/>
                <w:szCs w:val="20"/>
              </w:rPr>
              <w:t>的地面</w:t>
            </w:r>
            <w:r>
              <w:rPr>
                <w:sz w:val="20"/>
                <w:szCs w:val="20"/>
              </w:rPr>
              <w:t xml:space="preserve"> </w:t>
            </w:r>
            <w:r>
              <w:rPr>
                <w:spacing w:val="12"/>
                <w:sz w:val="20"/>
                <w:szCs w:val="20"/>
              </w:rPr>
              <w:t>应硬化并防渗漏。所有场所应满足</w:t>
            </w:r>
            <w:r>
              <w:rPr>
                <w:spacing w:val="13"/>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50037</w:t>
            </w:r>
            <w:r>
              <w:rPr>
                <w:spacing w:val="7"/>
                <w:sz w:val="20"/>
                <w:szCs w:val="20"/>
              </w:rPr>
              <w:t>规定的防渗漏要求。</w:t>
            </w:r>
          </w:p>
          <w:p w14:paraId="59684181">
            <w:pPr>
              <w:pStyle w:val="6"/>
              <w:spacing w:before="75" w:line="273" w:lineRule="auto"/>
              <w:ind w:left="113" w:right="39" w:firstLine="477"/>
              <w:rPr>
                <w:sz w:val="20"/>
                <w:szCs w:val="20"/>
              </w:rPr>
            </w:pPr>
            <w:r>
              <w:rPr>
                <w:rFonts w:ascii="Calibri" w:hAnsi="Calibri" w:eastAsia="Calibri" w:cs="Calibri"/>
                <w:spacing w:val="15"/>
              </w:rPr>
              <w:t>4.3.4</w:t>
            </w:r>
            <w:r>
              <w:rPr>
                <w:spacing w:val="15"/>
                <w:sz w:val="20"/>
                <w:szCs w:val="20"/>
              </w:rPr>
              <w:t>场地建设应包含有害气</w:t>
            </w:r>
            <w:r>
              <w:rPr>
                <w:spacing w:val="4"/>
                <w:sz w:val="20"/>
                <w:szCs w:val="20"/>
              </w:rPr>
              <w:t xml:space="preserve"> </w:t>
            </w:r>
            <w:r>
              <w:rPr>
                <w:spacing w:val="12"/>
                <w:sz w:val="20"/>
                <w:szCs w:val="20"/>
              </w:rPr>
              <w:t xml:space="preserve">体、易燃气体处置场所，且工艺符 </w:t>
            </w:r>
            <w:r>
              <w:rPr>
                <w:spacing w:val="4"/>
                <w:sz w:val="20"/>
                <w:szCs w:val="20"/>
              </w:rPr>
              <w:t>合</w:t>
            </w:r>
            <w:r>
              <w:rPr>
                <w:rFonts w:ascii="Times New Roman" w:hAnsi="Times New Roman" w:eastAsia="Times New Roman" w:cs="Times New Roman"/>
                <w:sz w:val="20"/>
                <w:szCs w:val="20"/>
              </w:rPr>
              <w:t>HJ</w:t>
            </w:r>
            <w:r>
              <w:rPr>
                <w:rFonts w:ascii="Times New Roman" w:hAnsi="Times New Roman" w:eastAsia="Times New Roman" w:cs="Times New Roman"/>
                <w:spacing w:val="4"/>
                <w:sz w:val="20"/>
                <w:szCs w:val="20"/>
              </w:rPr>
              <w:t>348</w:t>
            </w:r>
            <w:r>
              <w:rPr>
                <w:spacing w:val="4"/>
                <w:sz w:val="20"/>
                <w:szCs w:val="20"/>
              </w:rPr>
              <w:t>的相关规定。应对污水进行</w:t>
            </w:r>
            <w:r>
              <w:rPr>
                <w:spacing w:val="6"/>
                <w:sz w:val="20"/>
                <w:szCs w:val="20"/>
              </w:rPr>
              <w:t xml:space="preserve"> </w:t>
            </w:r>
            <w:r>
              <w:rPr>
                <w:spacing w:val="13"/>
                <w:sz w:val="20"/>
                <w:szCs w:val="20"/>
              </w:rPr>
              <w:t xml:space="preserve">无害处理，污水、清水做好分流， </w:t>
            </w:r>
            <w:r>
              <w:rPr>
                <w:spacing w:val="4"/>
                <w:sz w:val="20"/>
                <w:szCs w:val="20"/>
              </w:rPr>
              <w:t>符合</w:t>
            </w:r>
            <w:r>
              <w:rPr>
                <w:rFonts w:ascii="Times New Roman" w:hAnsi="Times New Roman" w:eastAsia="Times New Roman" w:cs="Times New Roman"/>
                <w:sz w:val="20"/>
                <w:szCs w:val="20"/>
              </w:rPr>
              <w:t>HJ</w:t>
            </w:r>
            <w:r>
              <w:rPr>
                <w:rFonts w:ascii="Times New Roman" w:hAnsi="Times New Roman" w:eastAsia="Times New Roman" w:cs="Times New Roman"/>
                <w:spacing w:val="4"/>
                <w:sz w:val="20"/>
                <w:szCs w:val="20"/>
              </w:rPr>
              <w:t>348</w:t>
            </w:r>
            <w:r>
              <w:rPr>
                <w:spacing w:val="4"/>
                <w:sz w:val="20"/>
                <w:szCs w:val="20"/>
              </w:rPr>
              <w:t>的相关规定；拆解车间消</w:t>
            </w:r>
            <w:r>
              <w:rPr>
                <w:spacing w:val="6"/>
                <w:sz w:val="20"/>
                <w:szCs w:val="20"/>
              </w:rPr>
              <w:t xml:space="preserve"> </w:t>
            </w:r>
            <w:r>
              <w:rPr>
                <w:spacing w:val="4"/>
                <w:sz w:val="20"/>
                <w:szCs w:val="20"/>
              </w:rPr>
              <w:t>防设施齐全，应有足够的安全通道、</w:t>
            </w:r>
            <w:r>
              <w:rPr>
                <w:sz w:val="20"/>
                <w:szCs w:val="20"/>
              </w:rPr>
              <w:t xml:space="preserve"> </w:t>
            </w:r>
            <w:r>
              <w:rPr>
                <w:spacing w:val="8"/>
                <w:sz w:val="20"/>
                <w:szCs w:val="20"/>
              </w:rPr>
              <w:t>应急照明及疏散标识。</w:t>
            </w:r>
          </w:p>
          <w:p w14:paraId="75A94257">
            <w:pPr>
              <w:pStyle w:val="6"/>
              <w:spacing w:before="73" w:line="255" w:lineRule="auto"/>
              <w:ind w:left="112" w:right="108" w:firstLine="478"/>
              <w:rPr>
                <w:sz w:val="20"/>
                <w:szCs w:val="20"/>
              </w:rPr>
            </w:pPr>
            <w:r>
              <w:rPr>
                <w:rFonts w:ascii="Calibri" w:hAnsi="Calibri" w:eastAsia="Calibri" w:cs="Calibri"/>
                <w:spacing w:val="15"/>
              </w:rPr>
              <w:t>4.3.5</w:t>
            </w:r>
            <w:r>
              <w:rPr>
                <w:spacing w:val="15"/>
                <w:sz w:val="20"/>
                <w:szCs w:val="20"/>
              </w:rPr>
              <w:t>拆解电动自走式农业机</w:t>
            </w:r>
            <w:r>
              <w:rPr>
                <w:spacing w:val="4"/>
                <w:sz w:val="20"/>
                <w:szCs w:val="20"/>
              </w:rPr>
              <w:t xml:space="preserve"> </w:t>
            </w:r>
            <w:r>
              <w:rPr>
                <w:spacing w:val="9"/>
                <w:sz w:val="20"/>
                <w:szCs w:val="20"/>
              </w:rPr>
              <w:t>械企业的场地建设应符合</w:t>
            </w:r>
            <w:r>
              <w:rPr>
                <w:rFonts w:ascii="Times New Roman" w:hAnsi="Times New Roman" w:eastAsia="Times New Roman" w:cs="Times New Roman"/>
                <w:sz w:val="20"/>
                <w:szCs w:val="20"/>
              </w:rPr>
              <w:t>GB</w:t>
            </w:r>
            <w:r>
              <w:rPr>
                <w:rFonts w:ascii="Times New Roman" w:hAnsi="Times New Roman" w:eastAsia="Times New Roman" w:cs="Times New Roman"/>
                <w:spacing w:val="9"/>
                <w:sz w:val="20"/>
                <w:szCs w:val="20"/>
              </w:rPr>
              <w:t xml:space="preserve"> 22128</w:t>
            </w:r>
            <w:r>
              <w:rPr>
                <w:rFonts w:ascii="Times New Roman" w:hAnsi="Times New Roman" w:eastAsia="Times New Roman" w:cs="Times New Roman"/>
                <w:spacing w:val="13"/>
                <w:w w:val="101"/>
                <w:sz w:val="20"/>
                <w:szCs w:val="20"/>
              </w:rPr>
              <w:t xml:space="preserve"> </w:t>
            </w:r>
            <w:r>
              <w:rPr>
                <w:spacing w:val="5"/>
                <w:sz w:val="20"/>
                <w:szCs w:val="20"/>
              </w:rPr>
              <w:t>的规定。</w:t>
            </w:r>
          </w:p>
        </w:tc>
        <w:tc>
          <w:tcPr>
            <w:tcW w:w="2318" w:type="dxa"/>
            <w:tcBorders>
              <w:bottom w:val="single" w:color="000000" w:sz="10" w:space="0"/>
            </w:tcBorders>
            <w:vAlign w:val="top"/>
          </w:tcPr>
          <w:p w14:paraId="098A13D5">
            <w:pPr>
              <w:pStyle w:val="6"/>
              <w:spacing w:before="75" w:line="294" w:lineRule="auto"/>
              <w:ind w:left="115" w:right="93" w:firstLine="420"/>
              <w:rPr>
                <w:sz w:val="20"/>
                <w:szCs w:val="20"/>
              </w:rPr>
            </w:pPr>
            <w:r>
              <w:rPr>
                <w:spacing w:val="9"/>
                <w:sz w:val="20"/>
                <w:szCs w:val="20"/>
              </w:rPr>
              <w:t>根据规范中要求作</w:t>
            </w:r>
            <w:r>
              <w:rPr>
                <w:spacing w:val="6"/>
                <w:sz w:val="20"/>
                <w:szCs w:val="20"/>
              </w:rPr>
              <w:t xml:space="preserve"> </w:t>
            </w:r>
            <w:r>
              <w:rPr>
                <w:spacing w:val="4"/>
                <w:sz w:val="20"/>
                <w:szCs w:val="20"/>
              </w:rPr>
              <w:t>业场地至少为</w:t>
            </w:r>
            <w:r>
              <w:rPr>
                <w:rFonts w:ascii="Times New Roman" w:hAnsi="Times New Roman" w:eastAsia="Times New Roman" w:cs="Times New Roman"/>
                <w:spacing w:val="4"/>
                <w:sz w:val="20"/>
                <w:szCs w:val="20"/>
              </w:rPr>
              <w:t>2000</w:t>
            </w:r>
            <w:r>
              <w:rPr>
                <w:spacing w:val="4"/>
                <w:sz w:val="20"/>
                <w:szCs w:val="20"/>
              </w:rPr>
              <w:t>㎡</w:t>
            </w:r>
            <w:r>
              <w:rPr>
                <w:spacing w:val="-46"/>
                <w:sz w:val="20"/>
                <w:szCs w:val="20"/>
              </w:rPr>
              <w:t xml:space="preserve"> </w:t>
            </w:r>
            <w:r>
              <w:rPr>
                <w:spacing w:val="4"/>
                <w:sz w:val="20"/>
                <w:szCs w:val="20"/>
              </w:rPr>
              <w:t>，</w:t>
            </w:r>
            <w:r>
              <w:rPr>
                <w:sz w:val="20"/>
                <w:szCs w:val="20"/>
              </w:rPr>
              <w:t xml:space="preserve"> </w:t>
            </w:r>
            <w:r>
              <w:rPr>
                <w:spacing w:val="2"/>
                <w:sz w:val="20"/>
                <w:szCs w:val="20"/>
              </w:rPr>
              <w:t>本</w:t>
            </w:r>
            <w:r>
              <w:rPr>
                <w:spacing w:val="-58"/>
                <w:sz w:val="20"/>
                <w:szCs w:val="20"/>
              </w:rPr>
              <w:t xml:space="preserve"> </w:t>
            </w:r>
            <w:r>
              <w:rPr>
                <w:spacing w:val="2"/>
                <w:sz w:val="20"/>
                <w:szCs w:val="20"/>
              </w:rPr>
              <w:t>项</w:t>
            </w:r>
            <w:r>
              <w:rPr>
                <w:spacing w:val="-18"/>
                <w:sz w:val="20"/>
                <w:szCs w:val="20"/>
              </w:rPr>
              <w:t xml:space="preserve"> </w:t>
            </w:r>
            <w:r>
              <w:rPr>
                <w:spacing w:val="2"/>
                <w:sz w:val="20"/>
                <w:szCs w:val="20"/>
              </w:rPr>
              <w:t>目</w:t>
            </w:r>
            <w:r>
              <w:rPr>
                <w:spacing w:val="-27"/>
                <w:sz w:val="20"/>
                <w:szCs w:val="20"/>
              </w:rPr>
              <w:t xml:space="preserve"> </w:t>
            </w:r>
            <w:r>
              <w:rPr>
                <w:spacing w:val="2"/>
                <w:sz w:val="20"/>
                <w:szCs w:val="20"/>
              </w:rPr>
              <w:t>占</w:t>
            </w:r>
            <w:r>
              <w:rPr>
                <w:spacing w:val="-58"/>
                <w:sz w:val="20"/>
                <w:szCs w:val="20"/>
              </w:rPr>
              <w:t xml:space="preserve"> </w:t>
            </w:r>
            <w:r>
              <w:rPr>
                <w:spacing w:val="2"/>
                <w:sz w:val="20"/>
                <w:szCs w:val="20"/>
              </w:rPr>
              <w:t>地面</w:t>
            </w:r>
            <w:r>
              <w:rPr>
                <w:spacing w:val="-59"/>
                <w:sz w:val="20"/>
                <w:szCs w:val="20"/>
              </w:rPr>
              <w:t xml:space="preserve"> </w:t>
            </w:r>
            <w:r>
              <w:rPr>
                <w:spacing w:val="2"/>
                <w:sz w:val="20"/>
                <w:szCs w:val="20"/>
              </w:rPr>
              <w:t>积</w:t>
            </w:r>
            <w:r>
              <w:rPr>
                <w:rFonts w:ascii="Times New Roman" w:hAnsi="Times New Roman" w:eastAsia="Times New Roman" w:cs="Times New Roman"/>
                <w:spacing w:val="2"/>
                <w:sz w:val="20"/>
                <w:szCs w:val="20"/>
              </w:rPr>
              <w:t>2500</w:t>
            </w:r>
            <w:r>
              <w:rPr>
                <w:rFonts w:ascii="Times New Roman" w:hAnsi="Times New Roman" w:eastAsia="Times New Roman" w:cs="Times New Roman"/>
                <w:sz w:val="20"/>
                <w:szCs w:val="20"/>
              </w:rPr>
              <w:t xml:space="preserve"> </w:t>
            </w:r>
            <w:r>
              <w:rPr>
                <w:spacing w:val="5"/>
                <w:sz w:val="20"/>
                <w:szCs w:val="20"/>
              </w:rPr>
              <w:t>㎡</w:t>
            </w:r>
            <w:r>
              <w:rPr>
                <w:spacing w:val="-52"/>
                <w:sz w:val="20"/>
                <w:szCs w:val="20"/>
              </w:rPr>
              <w:t xml:space="preserve"> </w:t>
            </w:r>
            <w:r>
              <w:rPr>
                <w:spacing w:val="5"/>
                <w:sz w:val="20"/>
                <w:szCs w:val="20"/>
              </w:rPr>
              <w:t>，设置独立的拆解车</w:t>
            </w:r>
            <w:r>
              <w:rPr>
                <w:sz w:val="20"/>
                <w:szCs w:val="20"/>
              </w:rPr>
              <w:t xml:space="preserve"> </w:t>
            </w:r>
            <w:r>
              <w:rPr>
                <w:spacing w:val="10"/>
                <w:sz w:val="20"/>
                <w:szCs w:val="20"/>
              </w:rPr>
              <w:t>间、报废农机暂存区、</w:t>
            </w:r>
            <w:r>
              <w:rPr>
                <w:spacing w:val="2"/>
                <w:sz w:val="20"/>
                <w:szCs w:val="20"/>
              </w:rPr>
              <w:t xml:space="preserve"> </w:t>
            </w:r>
            <w:r>
              <w:rPr>
                <w:spacing w:val="10"/>
                <w:sz w:val="20"/>
                <w:szCs w:val="20"/>
              </w:rPr>
              <w:t>拆解后物料储存区、待</w:t>
            </w:r>
            <w:r>
              <w:rPr>
                <w:sz w:val="20"/>
                <w:szCs w:val="20"/>
              </w:rPr>
              <w:t xml:space="preserve"> </w:t>
            </w:r>
            <w:r>
              <w:rPr>
                <w:spacing w:val="9"/>
                <w:sz w:val="20"/>
                <w:szCs w:val="20"/>
              </w:rPr>
              <w:t>拆解暂存区、危险废物</w:t>
            </w:r>
            <w:r>
              <w:rPr>
                <w:spacing w:val="8"/>
                <w:sz w:val="20"/>
                <w:szCs w:val="20"/>
              </w:rPr>
              <w:t xml:space="preserve"> </w:t>
            </w:r>
            <w:r>
              <w:rPr>
                <w:spacing w:val="10"/>
                <w:sz w:val="20"/>
                <w:szCs w:val="20"/>
              </w:rPr>
              <w:t>贮存库。其中，拆解车</w:t>
            </w:r>
            <w:r>
              <w:rPr>
                <w:sz w:val="20"/>
                <w:szCs w:val="20"/>
              </w:rPr>
              <w:t xml:space="preserve"> 间</w:t>
            </w:r>
            <w:r>
              <w:rPr>
                <w:rFonts w:ascii="Times New Roman" w:hAnsi="Times New Roman" w:eastAsia="Times New Roman" w:cs="Times New Roman"/>
                <w:sz w:val="20"/>
                <w:szCs w:val="20"/>
              </w:rPr>
              <w:t>400</w:t>
            </w:r>
            <w:r>
              <w:rPr>
                <w:sz w:val="20"/>
                <w:szCs w:val="20"/>
              </w:rPr>
              <w:t>㎡，待拆解农机存 储</w:t>
            </w:r>
            <w:r>
              <w:rPr>
                <w:rFonts w:ascii="Times New Roman" w:hAnsi="Times New Roman" w:eastAsia="Times New Roman" w:cs="Times New Roman"/>
                <w:sz w:val="20"/>
                <w:szCs w:val="20"/>
              </w:rPr>
              <w:t>200</w:t>
            </w:r>
            <w:r>
              <w:rPr>
                <w:sz w:val="20"/>
                <w:szCs w:val="20"/>
              </w:rPr>
              <w:t xml:space="preserve">㎡，拆解后物料存 </w:t>
            </w:r>
            <w:r>
              <w:rPr>
                <w:spacing w:val="9"/>
                <w:sz w:val="20"/>
                <w:szCs w:val="20"/>
              </w:rPr>
              <w:t>储区和报废农机暂存区</w:t>
            </w:r>
            <w:r>
              <w:rPr>
                <w:spacing w:val="8"/>
                <w:sz w:val="20"/>
                <w:szCs w:val="20"/>
              </w:rPr>
              <w:t xml:space="preserve"> </w:t>
            </w:r>
            <w:r>
              <w:rPr>
                <w:rFonts w:ascii="Times New Roman" w:hAnsi="Times New Roman" w:eastAsia="Times New Roman" w:cs="Times New Roman"/>
                <w:spacing w:val="4"/>
                <w:sz w:val="20"/>
                <w:szCs w:val="20"/>
              </w:rPr>
              <w:t>1510</w:t>
            </w:r>
            <w:r>
              <w:rPr>
                <w:spacing w:val="4"/>
                <w:sz w:val="20"/>
                <w:szCs w:val="20"/>
              </w:rPr>
              <w:t>㎡</w:t>
            </w:r>
            <w:r>
              <w:rPr>
                <w:spacing w:val="-49"/>
                <w:sz w:val="20"/>
                <w:szCs w:val="20"/>
              </w:rPr>
              <w:t xml:space="preserve"> </w:t>
            </w:r>
            <w:r>
              <w:rPr>
                <w:spacing w:val="4"/>
                <w:sz w:val="20"/>
                <w:szCs w:val="20"/>
              </w:rPr>
              <w:t>。作业场地（包</w:t>
            </w:r>
            <w:r>
              <w:rPr>
                <w:sz w:val="20"/>
                <w:szCs w:val="20"/>
              </w:rPr>
              <w:t xml:space="preserve"> </w:t>
            </w:r>
            <w:r>
              <w:rPr>
                <w:spacing w:val="10"/>
                <w:sz w:val="20"/>
                <w:szCs w:val="20"/>
              </w:rPr>
              <w:t>括拆解和储存场地）面</w:t>
            </w:r>
            <w:r>
              <w:rPr>
                <w:sz w:val="20"/>
                <w:szCs w:val="20"/>
              </w:rPr>
              <w:t xml:space="preserve"> 积共</w:t>
            </w:r>
            <w:r>
              <w:rPr>
                <w:rFonts w:ascii="Times New Roman" w:hAnsi="Times New Roman" w:eastAsia="Times New Roman" w:cs="Times New Roman"/>
                <w:sz w:val="20"/>
                <w:szCs w:val="20"/>
              </w:rPr>
              <w:t>2110</w:t>
            </w:r>
            <w:r>
              <w:rPr>
                <w:sz w:val="20"/>
                <w:szCs w:val="20"/>
              </w:rPr>
              <w:t>㎡</w:t>
            </w:r>
            <w:r>
              <w:rPr>
                <w:spacing w:val="-53"/>
                <w:sz w:val="20"/>
                <w:szCs w:val="20"/>
              </w:rPr>
              <w:t xml:space="preserve"> </w:t>
            </w:r>
            <w:r>
              <w:rPr>
                <w:sz w:val="20"/>
                <w:szCs w:val="20"/>
              </w:rPr>
              <w:t>，</w:t>
            </w:r>
            <w:r>
              <w:rPr>
                <w:spacing w:val="-46"/>
                <w:sz w:val="20"/>
                <w:szCs w:val="20"/>
              </w:rPr>
              <w:t xml:space="preserve"> </w:t>
            </w:r>
            <w:r>
              <w:rPr>
                <w:sz w:val="20"/>
                <w:szCs w:val="20"/>
              </w:rPr>
              <w:t xml:space="preserve">占总面积 </w:t>
            </w:r>
            <w:r>
              <w:rPr>
                <w:spacing w:val="4"/>
                <w:sz w:val="20"/>
                <w:szCs w:val="20"/>
              </w:rPr>
              <w:t>的</w:t>
            </w:r>
            <w:r>
              <w:rPr>
                <w:rFonts w:ascii="Times New Roman" w:hAnsi="Times New Roman" w:eastAsia="Times New Roman" w:cs="Times New Roman"/>
                <w:spacing w:val="4"/>
                <w:sz w:val="20"/>
                <w:szCs w:val="20"/>
              </w:rPr>
              <w:t>70.3%</w:t>
            </w:r>
            <w:r>
              <w:rPr>
                <w:spacing w:val="4"/>
                <w:sz w:val="20"/>
                <w:szCs w:val="20"/>
              </w:rPr>
              <w:t>。</w:t>
            </w:r>
          </w:p>
          <w:p w14:paraId="51B4A4C6">
            <w:pPr>
              <w:pStyle w:val="6"/>
              <w:spacing w:before="27" w:line="227" w:lineRule="auto"/>
              <w:ind w:left="537"/>
              <w:rPr>
                <w:sz w:val="20"/>
                <w:szCs w:val="20"/>
              </w:rPr>
            </w:pPr>
            <w:r>
              <w:rPr>
                <w:spacing w:val="8"/>
                <w:sz w:val="20"/>
                <w:szCs w:val="20"/>
              </w:rPr>
              <w:t>本项目拆解车间、</w:t>
            </w:r>
          </w:p>
          <w:p w14:paraId="14F89BC5">
            <w:pPr>
              <w:pStyle w:val="6"/>
              <w:spacing w:before="73" w:line="286" w:lineRule="auto"/>
              <w:ind w:left="115" w:right="97"/>
              <w:rPr>
                <w:sz w:val="20"/>
                <w:szCs w:val="20"/>
              </w:rPr>
            </w:pPr>
            <w:r>
              <w:rPr>
                <w:spacing w:val="9"/>
                <w:sz w:val="20"/>
                <w:szCs w:val="20"/>
              </w:rPr>
              <w:t>拆解后物料存储区、报</w:t>
            </w:r>
            <w:r>
              <w:rPr>
                <w:spacing w:val="8"/>
                <w:sz w:val="20"/>
                <w:szCs w:val="20"/>
              </w:rPr>
              <w:t xml:space="preserve"> </w:t>
            </w:r>
            <w:r>
              <w:rPr>
                <w:spacing w:val="9"/>
                <w:sz w:val="20"/>
                <w:szCs w:val="20"/>
              </w:rPr>
              <w:t>废农机暂存区和危废贮</w:t>
            </w:r>
            <w:r>
              <w:rPr>
                <w:spacing w:val="8"/>
                <w:sz w:val="20"/>
                <w:szCs w:val="20"/>
              </w:rPr>
              <w:t xml:space="preserve"> 存库均设有明显标识，</w:t>
            </w:r>
          </w:p>
          <w:p w14:paraId="75B51F73">
            <w:pPr>
              <w:pStyle w:val="6"/>
              <w:spacing w:before="30" w:line="289" w:lineRule="auto"/>
              <w:ind w:left="114" w:right="26" w:firstLine="5"/>
              <w:rPr>
                <w:sz w:val="20"/>
                <w:szCs w:val="20"/>
              </w:rPr>
            </w:pPr>
            <w:r>
              <w:rPr>
                <w:spacing w:val="9"/>
                <w:sz w:val="20"/>
                <w:szCs w:val="20"/>
              </w:rPr>
              <w:t>具有防风、防雨和防雷</w:t>
            </w:r>
            <w:r>
              <w:rPr>
                <w:spacing w:val="3"/>
                <w:sz w:val="20"/>
                <w:szCs w:val="20"/>
              </w:rPr>
              <w:t xml:space="preserve"> </w:t>
            </w:r>
            <w:r>
              <w:rPr>
                <w:spacing w:val="10"/>
                <w:sz w:val="20"/>
                <w:szCs w:val="20"/>
              </w:rPr>
              <w:t>功能，拆解后物料存储</w:t>
            </w:r>
            <w:r>
              <w:rPr>
                <w:sz w:val="20"/>
                <w:szCs w:val="20"/>
              </w:rPr>
              <w:t xml:space="preserve"> </w:t>
            </w:r>
            <w:r>
              <w:rPr>
                <w:spacing w:val="10"/>
                <w:sz w:val="20"/>
                <w:szCs w:val="20"/>
              </w:rPr>
              <w:t>区和报废农机暂存区满</w:t>
            </w:r>
            <w:r>
              <w:rPr>
                <w:sz w:val="20"/>
                <w:szCs w:val="20"/>
              </w:rPr>
              <w:t xml:space="preserve"> </w:t>
            </w:r>
            <w:r>
              <w:rPr>
                <w:spacing w:val="10"/>
                <w:sz w:val="20"/>
                <w:szCs w:val="20"/>
              </w:rPr>
              <w:t>足</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0"/>
                <w:sz w:val="20"/>
                <w:szCs w:val="20"/>
              </w:rPr>
              <w:t>《一般工业固体废物</w:t>
            </w:r>
            <w:r>
              <w:rPr>
                <w:spacing w:val="10"/>
                <w:sz w:val="20"/>
                <w:szCs w:val="20"/>
              </w:rPr>
              <w:fldChar w:fldCharType="end"/>
            </w:r>
            <w:r>
              <w:rPr>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0"/>
                <w:sz w:val="20"/>
                <w:szCs w:val="20"/>
              </w:rPr>
              <w:t>贮存和填埋污染控制标</w:t>
            </w:r>
            <w:r>
              <w:rPr>
                <w:spacing w:val="10"/>
                <w:sz w:val="20"/>
                <w:szCs w:val="20"/>
              </w:rPr>
              <w:fldChar w:fldCharType="end"/>
            </w:r>
            <w:r>
              <w:rPr>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6"/>
                <w:sz w:val="20"/>
                <w:szCs w:val="20"/>
              </w:rPr>
              <w:t>准》（</w:t>
            </w: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18599-2020</w:t>
            </w:r>
            <w:r>
              <w:rPr>
                <w:spacing w:val="6"/>
                <w:sz w:val="20"/>
                <w:szCs w:val="20"/>
              </w:rPr>
              <w:t>）</w:t>
            </w:r>
            <w:r>
              <w:rPr>
                <w:spacing w:val="6"/>
                <w:sz w:val="20"/>
                <w:szCs w:val="20"/>
              </w:rPr>
              <w:fldChar w:fldCharType="end"/>
            </w:r>
            <w:r>
              <w:rPr>
                <w:spacing w:val="2"/>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0"/>
                <w:sz w:val="20"/>
                <w:szCs w:val="20"/>
              </w:rPr>
              <w:t>相关要求；危废贮存库</w:t>
            </w:r>
            <w:r>
              <w:rPr>
                <w:spacing w:val="10"/>
                <w:sz w:val="20"/>
                <w:szCs w:val="20"/>
              </w:rPr>
              <w:fldChar w:fldCharType="end"/>
            </w:r>
            <w:r>
              <w:rPr>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0"/>
                <w:sz w:val="20"/>
                <w:szCs w:val="20"/>
              </w:rPr>
              <w:t>满足《危险废物贮存污</w:t>
            </w:r>
            <w:r>
              <w:rPr>
                <w:spacing w:val="10"/>
                <w:sz w:val="20"/>
                <w:szCs w:val="20"/>
              </w:rPr>
              <w:fldChar w:fldCharType="end"/>
            </w:r>
            <w:r>
              <w:rPr>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6"/>
                <w:sz w:val="20"/>
                <w:szCs w:val="20"/>
              </w:rPr>
              <w:t>染控制标准》（</w:t>
            </w:r>
            <w:r>
              <w:rPr>
                <w:rFonts w:ascii="Times New Roman" w:hAnsi="Times New Roman" w:eastAsia="Times New Roman" w:cs="Times New Roman"/>
                <w:spacing w:val="-6"/>
                <w:sz w:val="20"/>
                <w:szCs w:val="20"/>
              </w:rPr>
              <w:t>GB18597</w:t>
            </w:r>
            <w:r>
              <w:rPr>
                <w:rFonts w:ascii="Times New Roman" w:hAnsi="Times New Roman" w:eastAsia="Times New Roman" w:cs="Times New Roman"/>
                <w:spacing w:val="-6"/>
                <w:sz w:val="20"/>
                <w:szCs w:val="20"/>
              </w:rPr>
              <w:fldChar w:fldCharType="end"/>
            </w:r>
            <w:r>
              <w:rPr>
                <w:rFonts w:ascii="Times New Roman" w:hAnsi="Times New Roman" w:eastAsia="Times New Roman" w:cs="Times New Roman"/>
                <w:spacing w:val="3"/>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3"/>
                <w:sz w:val="20"/>
                <w:szCs w:val="20"/>
              </w:rPr>
              <w:t>—</w:t>
            </w:r>
            <w:r>
              <w:rPr>
                <w:rFonts w:ascii="Times New Roman" w:hAnsi="Times New Roman" w:eastAsia="Times New Roman" w:cs="Times New Roman"/>
                <w:spacing w:val="-3"/>
                <w:sz w:val="20"/>
                <w:szCs w:val="20"/>
              </w:rPr>
              <w:t>2023</w:t>
            </w:r>
            <w:r>
              <w:rPr>
                <w:spacing w:val="-3"/>
                <w:sz w:val="20"/>
                <w:szCs w:val="20"/>
              </w:rPr>
              <w:t>）中的相关要求。</w:t>
            </w:r>
            <w:r>
              <w:rPr>
                <w:spacing w:val="-3"/>
                <w:sz w:val="20"/>
                <w:szCs w:val="20"/>
              </w:rPr>
              <w:fldChar w:fldCharType="end"/>
            </w:r>
          </w:p>
          <w:p w14:paraId="60EF9508">
            <w:pPr>
              <w:pStyle w:val="6"/>
              <w:spacing w:before="67" w:line="292" w:lineRule="auto"/>
              <w:ind w:left="112" w:right="95" w:firstLine="423"/>
              <w:rPr>
                <w:sz w:val="20"/>
                <w:szCs w:val="20"/>
              </w:rPr>
            </w:pP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2"/>
                <w:sz w:val="20"/>
                <w:szCs w:val="20"/>
              </w:rPr>
              <w:t>拆 解 车 间 为 长</w:t>
            </w:r>
            <w:r>
              <w:rPr>
                <w:spacing w:val="-2"/>
                <w:sz w:val="20"/>
                <w:szCs w:val="20"/>
              </w:rPr>
              <w:fldChar w:fldCharType="end"/>
            </w:r>
            <w:r>
              <w:rPr>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rFonts w:ascii="Times New Roman" w:hAnsi="Times New Roman" w:eastAsia="Times New Roman" w:cs="Times New Roman"/>
                <w:spacing w:val="7"/>
                <w:sz w:val="20"/>
                <w:szCs w:val="20"/>
              </w:rPr>
              <w:t>25m</w:t>
            </w:r>
            <w:r>
              <w:rPr>
                <w:spacing w:val="7"/>
                <w:sz w:val="20"/>
                <w:szCs w:val="20"/>
              </w:rPr>
              <w:t>，</w:t>
            </w:r>
            <w:r>
              <w:rPr>
                <w:spacing w:val="-56"/>
                <w:sz w:val="20"/>
                <w:szCs w:val="20"/>
              </w:rPr>
              <w:t xml:space="preserve"> </w:t>
            </w:r>
            <w:r>
              <w:rPr>
                <w:spacing w:val="7"/>
                <w:sz w:val="20"/>
                <w:szCs w:val="20"/>
              </w:rPr>
              <w:t>宽</w:t>
            </w:r>
            <w:r>
              <w:rPr>
                <w:rFonts w:ascii="Times New Roman" w:hAnsi="Times New Roman" w:eastAsia="Times New Roman" w:cs="Times New Roman"/>
                <w:spacing w:val="7"/>
                <w:sz w:val="20"/>
                <w:szCs w:val="20"/>
              </w:rPr>
              <w:t>16m</w:t>
            </w:r>
            <w:r>
              <w:rPr>
                <w:spacing w:val="7"/>
                <w:sz w:val="20"/>
                <w:szCs w:val="20"/>
              </w:rPr>
              <w:t>，高</w:t>
            </w:r>
            <w:r>
              <w:rPr>
                <w:rFonts w:ascii="Times New Roman" w:hAnsi="Times New Roman" w:eastAsia="Times New Roman" w:cs="Times New Roman"/>
                <w:spacing w:val="7"/>
                <w:sz w:val="20"/>
                <w:szCs w:val="20"/>
              </w:rPr>
              <w:t>7m</w:t>
            </w:r>
            <w:r>
              <w:rPr>
                <w:spacing w:val="7"/>
                <w:sz w:val="20"/>
                <w:szCs w:val="20"/>
              </w:rPr>
              <w:t>的</w:t>
            </w:r>
            <w:r>
              <w:rPr>
                <w:spacing w:val="7"/>
                <w:sz w:val="20"/>
                <w:szCs w:val="20"/>
              </w:rPr>
              <w:fldChar w:fldCharType="end"/>
            </w:r>
            <w:r>
              <w:rPr>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0"/>
                <w:sz w:val="20"/>
                <w:szCs w:val="20"/>
              </w:rPr>
              <w:t>全封闭车间，拆解区四</w:t>
            </w:r>
            <w:r>
              <w:rPr>
                <w:spacing w:val="10"/>
                <w:sz w:val="20"/>
                <w:szCs w:val="20"/>
              </w:rPr>
              <w:fldChar w:fldCharType="end"/>
            </w:r>
            <w:r>
              <w:rPr>
                <w:spacing w:val="4"/>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2"/>
                <w:sz w:val="20"/>
                <w:szCs w:val="20"/>
              </w:rPr>
              <w:t>周设置</w:t>
            </w:r>
            <w:r>
              <w:rPr>
                <w:rFonts w:ascii="Times New Roman" w:hAnsi="Times New Roman" w:eastAsia="Times New Roman" w:cs="Times New Roman"/>
                <w:spacing w:val="12"/>
                <w:sz w:val="20"/>
                <w:szCs w:val="20"/>
              </w:rPr>
              <w:t>0.4m</w:t>
            </w:r>
            <w:r>
              <w:rPr>
                <w:rFonts w:ascii="Arial" w:hAnsi="Arial" w:eastAsia="Arial" w:cs="Arial"/>
                <w:spacing w:val="12"/>
                <w:sz w:val="20"/>
                <w:szCs w:val="20"/>
              </w:rPr>
              <w:t>×</w:t>
            </w:r>
            <w:r>
              <w:rPr>
                <w:rFonts w:ascii="Times New Roman" w:hAnsi="Times New Roman" w:eastAsia="Times New Roman" w:cs="Times New Roman"/>
                <w:spacing w:val="12"/>
                <w:sz w:val="20"/>
                <w:szCs w:val="20"/>
              </w:rPr>
              <w:t>0.5m</w:t>
            </w:r>
            <w:r>
              <w:rPr>
                <w:spacing w:val="12"/>
                <w:sz w:val="20"/>
                <w:szCs w:val="20"/>
              </w:rPr>
              <w:t>导流</w:t>
            </w:r>
            <w:r>
              <w:rPr>
                <w:spacing w:val="12"/>
                <w:sz w:val="20"/>
                <w:szCs w:val="20"/>
              </w:rPr>
              <w:fldChar w:fldCharType="end"/>
            </w:r>
            <w:r>
              <w:rPr>
                <w:spacing w:val="6"/>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0"/>
                <w:sz w:val="20"/>
                <w:szCs w:val="20"/>
              </w:rPr>
              <w:t>槽，于拆解车间外侧西</w:t>
            </w:r>
            <w:r>
              <w:rPr>
                <w:spacing w:val="10"/>
                <w:sz w:val="20"/>
                <w:szCs w:val="20"/>
              </w:rPr>
              <w:fldChar w:fldCharType="end"/>
            </w:r>
            <w:r>
              <w:rPr>
                <w:spacing w:val="1"/>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2"/>
                <w:sz w:val="20"/>
                <w:szCs w:val="20"/>
              </w:rPr>
              <w:t>南</w:t>
            </w:r>
            <w:r>
              <w:rPr>
                <w:spacing w:val="-55"/>
                <w:sz w:val="20"/>
                <w:szCs w:val="20"/>
              </w:rPr>
              <w:t xml:space="preserve"> </w:t>
            </w:r>
            <w:r>
              <w:rPr>
                <w:spacing w:val="2"/>
                <w:sz w:val="20"/>
                <w:szCs w:val="20"/>
              </w:rPr>
              <w:t>角建</w:t>
            </w:r>
            <w:r>
              <w:rPr>
                <w:spacing w:val="-58"/>
                <w:sz w:val="20"/>
                <w:szCs w:val="20"/>
              </w:rPr>
              <w:t xml:space="preserve"> </w:t>
            </w:r>
            <w:r>
              <w:rPr>
                <w:spacing w:val="2"/>
                <w:sz w:val="20"/>
                <w:szCs w:val="20"/>
              </w:rPr>
              <w:t>设</w:t>
            </w:r>
            <w:r>
              <w:rPr>
                <w:spacing w:val="-47"/>
                <w:sz w:val="20"/>
                <w:szCs w:val="20"/>
              </w:rPr>
              <w:t xml:space="preserve"> </w:t>
            </w:r>
            <w:r>
              <w:rPr>
                <w:rFonts w:ascii="Times New Roman" w:hAnsi="Times New Roman" w:eastAsia="Times New Roman" w:cs="Times New Roman"/>
                <w:spacing w:val="2"/>
                <w:sz w:val="20"/>
                <w:szCs w:val="20"/>
              </w:rPr>
              <w:t>10m</w:t>
            </w:r>
            <w:r>
              <w:rPr>
                <w:rFonts w:ascii="Times New Roman" w:hAnsi="Times New Roman" w:eastAsia="Times New Roman" w:cs="Times New Roman"/>
                <w:spacing w:val="2"/>
                <w:sz w:val="13"/>
                <w:szCs w:val="13"/>
              </w:rPr>
              <w:t xml:space="preserve">3 </w:t>
            </w:r>
            <w:r>
              <w:rPr>
                <w:spacing w:val="2"/>
                <w:sz w:val="20"/>
                <w:szCs w:val="20"/>
              </w:rPr>
              <w:t>事</w:t>
            </w:r>
            <w:r>
              <w:rPr>
                <w:spacing w:val="-60"/>
                <w:sz w:val="20"/>
                <w:szCs w:val="20"/>
              </w:rPr>
              <w:t xml:space="preserve"> </w:t>
            </w:r>
            <w:r>
              <w:rPr>
                <w:spacing w:val="2"/>
                <w:sz w:val="20"/>
                <w:szCs w:val="20"/>
              </w:rPr>
              <w:t>故</w:t>
            </w:r>
            <w:r>
              <w:rPr>
                <w:spacing w:val="-56"/>
                <w:sz w:val="20"/>
                <w:szCs w:val="20"/>
              </w:rPr>
              <w:t xml:space="preserve"> </w:t>
            </w:r>
            <w:r>
              <w:rPr>
                <w:spacing w:val="2"/>
                <w:sz w:val="20"/>
                <w:szCs w:val="20"/>
              </w:rPr>
              <w:t>收</w:t>
            </w:r>
            <w:r>
              <w:rPr>
                <w:spacing w:val="2"/>
                <w:sz w:val="20"/>
                <w:szCs w:val="20"/>
              </w:rPr>
              <w:fldChar w:fldCharType="end"/>
            </w:r>
            <w:r>
              <w:rPr>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10"/>
                <w:sz w:val="20"/>
                <w:szCs w:val="20"/>
              </w:rPr>
              <w:t>集池。每年回收及拆解</w:t>
            </w:r>
            <w:r>
              <w:rPr>
                <w:spacing w:val="10"/>
                <w:sz w:val="20"/>
                <w:szCs w:val="20"/>
              </w:rPr>
              <w:fldChar w:fldCharType="end"/>
            </w:r>
            <w:r>
              <w:rPr>
                <w:spacing w:val="1"/>
                <w:sz w:val="20"/>
                <w:szCs w:val="20"/>
              </w:rPr>
              <w:t xml:space="preserve"> </w:t>
            </w:r>
            <w:r>
              <w:fldChar w:fldCharType="begin"/>
            </w:r>
            <w:r>
              <w:instrText xml:space="preserve"> HYPERLINK "http://www.baidu.com/link?url=5uVZqsaSx8j-j4oOLOYkU3OGxXiGz-w2-Y-NUYWdwmQ1ic9PL6Fedsws8Ge4kq8ELVXmxcVRqpvp7flXWjygZQm5gLHcxlnO7qHBh-fFxvfJ3hpR7aJK-dNMMXJwcf6PsWPixy_Owjiw5oSPPwXj65JXda6xcdInhA6eECcTJYp3WZFnbJTolOG_jGpgzdj4VSHtwTDQ8aMtI6Vka_5zPRwalmgpypQ8sCWu5bUM3j11vfmQu142MbCEpWtfBRM-tGaAASljb9A3ER26GXRIiGrnwlAxNraYN2ORW6wQEM1-9Ohf8pilb8BniS9FStbl" </w:instrText>
            </w:r>
            <w:r>
              <w:fldChar w:fldCharType="separate"/>
            </w:r>
            <w:r>
              <w:rPr>
                <w:spacing w:val="6"/>
                <w:sz w:val="20"/>
                <w:szCs w:val="20"/>
              </w:rPr>
              <w:t>废旧农机</w:t>
            </w:r>
            <w:r>
              <w:rPr>
                <w:rFonts w:ascii="Times New Roman" w:hAnsi="Times New Roman" w:eastAsia="Times New Roman" w:cs="Times New Roman"/>
                <w:spacing w:val="6"/>
                <w:sz w:val="20"/>
                <w:szCs w:val="20"/>
              </w:rPr>
              <w:t>800</w:t>
            </w:r>
            <w:r>
              <w:rPr>
                <w:spacing w:val="6"/>
                <w:sz w:val="20"/>
                <w:szCs w:val="20"/>
              </w:rPr>
              <w:t>台。</w:t>
            </w:r>
            <w:r>
              <w:rPr>
                <w:spacing w:val="6"/>
                <w:sz w:val="20"/>
                <w:szCs w:val="20"/>
              </w:rPr>
              <w:fldChar w:fldCharType="end"/>
            </w:r>
          </w:p>
          <w:p w14:paraId="1D37CF9E">
            <w:pPr>
              <w:pStyle w:val="6"/>
              <w:spacing w:before="31" w:line="227" w:lineRule="auto"/>
              <w:ind w:left="537"/>
              <w:rPr>
                <w:sz w:val="20"/>
                <w:szCs w:val="20"/>
              </w:rPr>
            </w:pPr>
            <w:r>
              <w:rPr>
                <w:spacing w:val="9"/>
                <w:sz w:val="20"/>
                <w:szCs w:val="20"/>
              </w:rPr>
              <w:t>本项目拆解区切割</w:t>
            </w:r>
          </w:p>
        </w:tc>
        <w:tc>
          <w:tcPr>
            <w:tcW w:w="1145" w:type="dxa"/>
            <w:vMerge w:val="continue"/>
            <w:tcBorders>
              <w:top w:val="nil"/>
              <w:bottom w:val="single" w:color="000000" w:sz="10" w:space="0"/>
              <w:right w:val="single" w:color="000000" w:sz="10" w:space="0"/>
            </w:tcBorders>
            <w:vAlign w:val="top"/>
          </w:tcPr>
          <w:p w14:paraId="7C0F685E">
            <w:pPr>
              <w:rPr>
                <w:rFonts w:ascii="Arial"/>
                <w:sz w:val="21"/>
              </w:rPr>
            </w:pPr>
          </w:p>
        </w:tc>
      </w:tr>
    </w:tbl>
    <w:p w14:paraId="14956E91">
      <w:pPr>
        <w:pStyle w:val="2"/>
        <w:spacing w:line="176" w:lineRule="exact"/>
        <w:rPr>
          <w:sz w:val="15"/>
        </w:rPr>
      </w:pPr>
    </w:p>
    <w:p w14:paraId="1636A3F3">
      <w:pPr>
        <w:spacing w:line="176" w:lineRule="exact"/>
        <w:rPr>
          <w:sz w:val="15"/>
          <w:szCs w:val="15"/>
        </w:rPr>
        <w:sectPr>
          <w:footerReference r:id="rId16"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05AE48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0" w:hRule="atLeast"/>
        </w:trPr>
        <w:tc>
          <w:tcPr>
            <w:tcW w:w="494" w:type="dxa"/>
            <w:vMerge w:val="restart"/>
            <w:tcBorders>
              <w:top w:val="single" w:color="000000" w:sz="10" w:space="0"/>
              <w:left w:val="single" w:color="000000" w:sz="10" w:space="0"/>
              <w:bottom w:val="nil"/>
            </w:tcBorders>
            <w:vAlign w:val="top"/>
          </w:tcPr>
          <w:p w14:paraId="65483AF1">
            <w:pPr>
              <w:rPr>
                <w:rFonts w:ascii="Arial"/>
                <w:sz w:val="21"/>
              </w:rPr>
            </w:pPr>
          </w:p>
        </w:tc>
        <w:tc>
          <w:tcPr>
            <w:tcW w:w="547" w:type="dxa"/>
            <w:vMerge w:val="restart"/>
            <w:tcBorders>
              <w:top w:val="single" w:color="000000" w:sz="10" w:space="0"/>
              <w:bottom w:val="nil"/>
            </w:tcBorders>
            <w:vAlign w:val="top"/>
          </w:tcPr>
          <w:p w14:paraId="58242C76">
            <w:pPr>
              <w:rPr>
                <w:rFonts w:ascii="Arial"/>
                <w:sz w:val="21"/>
              </w:rPr>
            </w:pPr>
          </w:p>
        </w:tc>
        <w:tc>
          <w:tcPr>
            <w:tcW w:w="436" w:type="dxa"/>
            <w:vMerge w:val="restart"/>
            <w:tcBorders>
              <w:top w:val="single" w:color="000000" w:sz="10" w:space="0"/>
              <w:bottom w:val="nil"/>
            </w:tcBorders>
            <w:vAlign w:val="top"/>
          </w:tcPr>
          <w:p w14:paraId="7CB59C29">
            <w:pPr>
              <w:rPr>
                <w:rFonts w:ascii="Arial"/>
                <w:sz w:val="21"/>
              </w:rPr>
            </w:pPr>
          </w:p>
        </w:tc>
        <w:tc>
          <w:tcPr>
            <w:tcW w:w="560" w:type="dxa"/>
            <w:tcBorders>
              <w:top w:val="single" w:color="000000" w:sz="10" w:space="0"/>
            </w:tcBorders>
            <w:vAlign w:val="top"/>
          </w:tcPr>
          <w:p w14:paraId="509C6944">
            <w:pPr>
              <w:rPr>
                <w:rFonts w:ascii="Arial"/>
                <w:sz w:val="21"/>
              </w:rPr>
            </w:pPr>
          </w:p>
        </w:tc>
        <w:tc>
          <w:tcPr>
            <w:tcW w:w="3422" w:type="dxa"/>
            <w:tcBorders>
              <w:top w:val="single" w:color="000000" w:sz="10" w:space="0"/>
            </w:tcBorders>
            <w:vAlign w:val="top"/>
          </w:tcPr>
          <w:p w14:paraId="6D798AB9">
            <w:pPr>
              <w:rPr>
                <w:rFonts w:ascii="Arial"/>
                <w:sz w:val="21"/>
              </w:rPr>
            </w:pPr>
          </w:p>
        </w:tc>
        <w:tc>
          <w:tcPr>
            <w:tcW w:w="2318" w:type="dxa"/>
            <w:tcBorders>
              <w:top w:val="single" w:color="000000" w:sz="10" w:space="0"/>
            </w:tcBorders>
            <w:vAlign w:val="top"/>
          </w:tcPr>
          <w:p w14:paraId="786A5668">
            <w:pPr>
              <w:pStyle w:val="6"/>
              <w:spacing w:before="79" w:line="290" w:lineRule="auto"/>
              <w:ind w:left="115" w:right="96" w:firstLine="3"/>
              <w:rPr>
                <w:sz w:val="20"/>
                <w:szCs w:val="20"/>
              </w:rPr>
            </w:pPr>
            <w:r>
              <w:rPr>
                <w:spacing w:val="9"/>
                <w:sz w:val="20"/>
                <w:szCs w:val="20"/>
              </w:rPr>
              <w:t>工段设置集气罩，收集</w:t>
            </w:r>
            <w:r>
              <w:rPr>
                <w:spacing w:val="5"/>
                <w:sz w:val="20"/>
                <w:szCs w:val="20"/>
              </w:rPr>
              <w:t xml:space="preserve"> </w:t>
            </w:r>
            <w:r>
              <w:rPr>
                <w:spacing w:val="20"/>
                <w:sz w:val="20"/>
                <w:szCs w:val="20"/>
              </w:rPr>
              <w:t>的废气经</w:t>
            </w:r>
            <w:r>
              <w:rPr>
                <w:rFonts w:ascii="Times New Roman" w:hAnsi="Times New Roman" w:eastAsia="Times New Roman" w:cs="Times New Roman"/>
                <w:spacing w:val="20"/>
                <w:sz w:val="20"/>
                <w:szCs w:val="20"/>
              </w:rPr>
              <w:t>1</w:t>
            </w:r>
            <w:r>
              <w:rPr>
                <w:spacing w:val="20"/>
                <w:sz w:val="20"/>
                <w:szCs w:val="20"/>
              </w:rPr>
              <w:t>套布袋除尘</w:t>
            </w:r>
            <w:r>
              <w:rPr>
                <w:sz w:val="20"/>
                <w:szCs w:val="20"/>
              </w:rPr>
              <w:t xml:space="preserve"> </w:t>
            </w:r>
            <w:r>
              <w:rPr>
                <w:spacing w:val="13"/>
                <w:sz w:val="20"/>
                <w:szCs w:val="20"/>
              </w:rPr>
              <w:t>器处理后由</w:t>
            </w:r>
            <w:r>
              <w:rPr>
                <w:rFonts w:ascii="Times New Roman" w:hAnsi="Times New Roman" w:eastAsia="Times New Roman" w:cs="Times New Roman"/>
                <w:spacing w:val="13"/>
                <w:sz w:val="20"/>
                <w:szCs w:val="20"/>
              </w:rPr>
              <w:t>15m</w:t>
            </w:r>
            <w:r>
              <w:rPr>
                <w:spacing w:val="13"/>
                <w:sz w:val="20"/>
                <w:szCs w:val="20"/>
              </w:rPr>
              <w:t>高排气</w:t>
            </w:r>
            <w:r>
              <w:rPr>
                <w:sz w:val="20"/>
                <w:szCs w:val="20"/>
              </w:rPr>
              <w:t xml:space="preserve"> </w:t>
            </w:r>
            <w:r>
              <w:rPr>
                <w:spacing w:val="9"/>
                <w:sz w:val="20"/>
                <w:szCs w:val="20"/>
              </w:rPr>
              <w:t>筒排放（</w:t>
            </w:r>
            <w:r>
              <w:rPr>
                <w:rFonts w:ascii="Times New Roman" w:hAnsi="Times New Roman" w:eastAsia="Times New Roman" w:cs="Times New Roman"/>
                <w:sz w:val="20"/>
                <w:szCs w:val="20"/>
              </w:rPr>
              <w:t>DA</w:t>
            </w:r>
            <w:r>
              <w:rPr>
                <w:rFonts w:ascii="Times New Roman" w:hAnsi="Times New Roman" w:eastAsia="Times New Roman" w:cs="Times New Roman"/>
                <w:spacing w:val="9"/>
                <w:sz w:val="20"/>
                <w:szCs w:val="20"/>
              </w:rPr>
              <w:t>001</w:t>
            </w:r>
            <w:r>
              <w:rPr>
                <w:spacing w:val="-3"/>
                <w:sz w:val="20"/>
                <w:szCs w:val="20"/>
              </w:rPr>
              <w:t>）</w:t>
            </w:r>
            <w:r>
              <w:rPr>
                <w:spacing w:val="-56"/>
                <w:sz w:val="20"/>
                <w:szCs w:val="20"/>
              </w:rPr>
              <w:t xml:space="preserve"> </w:t>
            </w:r>
            <w:r>
              <w:rPr>
                <w:spacing w:val="-3"/>
                <w:sz w:val="20"/>
                <w:szCs w:val="20"/>
              </w:rPr>
              <w:t>；</w:t>
            </w:r>
            <w:r>
              <w:rPr>
                <w:spacing w:val="9"/>
                <w:sz w:val="20"/>
                <w:szCs w:val="20"/>
              </w:rPr>
              <w:t>抽</w:t>
            </w:r>
            <w:r>
              <w:rPr>
                <w:sz w:val="20"/>
                <w:szCs w:val="20"/>
              </w:rPr>
              <w:t xml:space="preserve"> </w:t>
            </w:r>
            <w:r>
              <w:rPr>
                <w:spacing w:val="9"/>
                <w:sz w:val="20"/>
                <w:szCs w:val="20"/>
              </w:rPr>
              <w:t>油液工段与危险废物贮</w:t>
            </w:r>
            <w:r>
              <w:rPr>
                <w:spacing w:val="8"/>
                <w:sz w:val="20"/>
                <w:szCs w:val="20"/>
              </w:rPr>
              <w:t xml:space="preserve"> </w:t>
            </w:r>
            <w:r>
              <w:rPr>
                <w:spacing w:val="20"/>
                <w:sz w:val="20"/>
                <w:szCs w:val="20"/>
              </w:rPr>
              <w:t>存库共用</w:t>
            </w:r>
            <w:r>
              <w:rPr>
                <w:rFonts w:ascii="Times New Roman" w:hAnsi="Times New Roman" w:eastAsia="Times New Roman" w:cs="Times New Roman"/>
                <w:spacing w:val="20"/>
                <w:sz w:val="20"/>
                <w:szCs w:val="20"/>
              </w:rPr>
              <w:t>1</w:t>
            </w:r>
            <w:r>
              <w:rPr>
                <w:spacing w:val="20"/>
                <w:sz w:val="20"/>
                <w:szCs w:val="20"/>
              </w:rPr>
              <w:t>套设置集气</w:t>
            </w:r>
            <w:r>
              <w:rPr>
                <w:sz w:val="20"/>
                <w:szCs w:val="20"/>
              </w:rPr>
              <w:t xml:space="preserve"> </w:t>
            </w:r>
            <w:r>
              <w:rPr>
                <w:spacing w:val="20"/>
                <w:sz w:val="20"/>
                <w:szCs w:val="20"/>
              </w:rPr>
              <w:t>装置，收集的废气经</w:t>
            </w:r>
            <w:r>
              <w:rPr>
                <w:rFonts w:ascii="Times New Roman" w:hAnsi="Times New Roman" w:eastAsia="Times New Roman" w:cs="Times New Roman"/>
                <w:spacing w:val="20"/>
                <w:sz w:val="20"/>
                <w:szCs w:val="20"/>
              </w:rPr>
              <w:t>1</w:t>
            </w:r>
            <w:r>
              <w:rPr>
                <w:rFonts w:ascii="Times New Roman" w:hAnsi="Times New Roman" w:eastAsia="Times New Roman" w:cs="Times New Roman"/>
                <w:sz w:val="20"/>
                <w:szCs w:val="20"/>
              </w:rPr>
              <w:t xml:space="preserve"> </w:t>
            </w:r>
            <w:r>
              <w:rPr>
                <w:spacing w:val="9"/>
                <w:sz w:val="20"/>
                <w:szCs w:val="20"/>
              </w:rPr>
              <w:t>套活性碳吸附装置处理</w:t>
            </w:r>
            <w:r>
              <w:rPr>
                <w:spacing w:val="8"/>
                <w:sz w:val="20"/>
                <w:szCs w:val="20"/>
              </w:rPr>
              <w:t xml:space="preserve"> </w:t>
            </w:r>
            <w:r>
              <w:rPr>
                <w:spacing w:val="13"/>
                <w:sz w:val="20"/>
                <w:szCs w:val="20"/>
              </w:rPr>
              <w:t>后由</w:t>
            </w:r>
            <w:r>
              <w:rPr>
                <w:rFonts w:ascii="Times New Roman" w:hAnsi="Times New Roman" w:eastAsia="Times New Roman" w:cs="Times New Roman"/>
                <w:spacing w:val="13"/>
                <w:sz w:val="20"/>
                <w:szCs w:val="20"/>
              </w:rPr>
              <w:t>15m</w:t>
            </w:r>
            <w:r>
              <w:rPr>
                <w:spacing w:val="13"/>
                <w:sz w:val="20"/>
                <w:szCs w:val="20"/>
              </w:rPr>
              <w:t>高排气筒排放</w:t>
            </w:r>
            <w:r>
              <w:rPr>
                <w:sz w:val="20"/>
                <w:szCs w:val="20"/>
              </w:rPr>
              <w:t xml:space="preserve"> </w:t>
            </w:r>
            <w:r>
              <w:rPr>
                <w:spacing w:val="6"/>
                <w:sz w:val="20"/>
                <w:szCs w:val="20"/>
              </w:rPr>
              <w:t>（</w:t>
            </w:r>
            <w:r>
              <w:rPr>
                <w:rFonts w:ascii="Times New Roman" w:hAnsi="Times New Roman" w:eastAsia="Times New Roman" w:cs="Times New Roman"/>
                <w:sz w:val="20"/>
                <w:szCs w:val="20"/>
              </w:rPr>
              <w:t>DA</w:t>
            </w:r>
            <w:r>
              <w:rPr>
                <w:rFonts w:ascii="Times New Roman" w:hAnsi="Times New Roman" w:eastAsia="Times New Roman" w:cs="Times New Roman"/>
                <w:spacing w:val="6"/>
                <w:sz w:val="20"/>
                <w:szCs w:val="20"/>
              </w:rPr>
              <w:t>002</w:t>
            </w:r>
            <w:r>
              <w:rPr>
                <w:spacing w:val="6"/>
                <w:sz w:val="20"/>
                <w:szCs w:val="20"/>
              </w:rPr>
              <w:t>）</w:t>
            </w:r>
            <w:r>
              <w:rPr>
                <w:spacing w:val="-50"/>
                <w:sz w:val="20"/>
                <w:szCs w:val="20"/>
              </w:rPr>
              <w:t xml:space="preserve"> </w:t>
            </w:r>
            <w:r>
              <w:rPr>
                <w:spacing w:val="6"/>
                <w:sz w:val="20"/>
                <w:szCs w:val="20"/>
              </w:rPr>
              <w:t>。设防渗旱</w:t>
            </w:r>
            <w:r>
              <w:rPr>
                <w:sz w:val="20"/>
                <w:szCs w:val="20"/>
              </w:rPr>
              <w:t xml:space="preserve"> </w:t>
            </w:r>
            <w:r>
              <w:rPr>
                <w:spacing w:val="9"/>
                <w:sz w:val="20"/>
                <w:szCs w:val="20"/>
              </w:rPr>
              <w:t>厕供员工使用，定期清</w:t>
            </w:r>
            <w:r>
              <w:rPr>
                <w:spacing w:val="8"/>
                <w:sz w:val="20"/>
                <w:szCs w:val="20"/>
              </w:rPr>
              <w:t xml:space="preserve"> </w:t>
            </w:r>
            <w:r>
              <w:rPr>
                <w:spacing w:val="9"/>
                <w:sz w:val="20"/>
                <w:szCs w:val="20"/>
              </w:rPr>
              <w:t>掏作农肥，无生产废水</w:t>
            </w:r>
            <w:r>
              <w:rPr>
                <w:spacing w:val="8"/>
                <w:sz w:val="20"/>
                <w:szCs w:val="20"/>
              </w:rPr>
              <w:t xml:space="preserve"> </w:t>
            </w:r>
            <w:r>
              <w:rPr>
                <w:spacing w:val="10"/>
                <w:sz w:val="20"/>
                <w:szCs w:val="20"/>
              </w:rPr>
              <w:t>产生，厂区均为室内，</w:t>
            </w:r>
            <w:r>
              <w:rPr>
                <w:sz w:val="20"/>
                <w:szCs w:val="20"/>
              </w:rPr>
              <w:t xml:space="preserve"> </w:t>
            </w:r>
            <w:r>
              <w:rPr>
                <w:spacing w:val="9"/>
                <w:sz w:val="20"/>
                <w:szCs w:val="20"/>
              </w:rPr>
              <w:t>建设雨水收集池。拆解</w:t>
            </w:r>
            <w:r>
              <w:rPr>
                <w:spacing w:val="8"/>
                <w:sz w:val="20"/>
                <w:szCs w:val="20"/>
              </w:rPr>
              <w:t xml:space="preserve"> </w:t>
            </w:r>
            <w:r>
              <w:rPr>
                <w:spacing w:val="9"/>
                <w:sz w:val="20"/>
                <w:szCs w:val="20"/>
              </w:rPr>
              <w:t>车间消防设施齐全，有</w:t>
            </w:r>
            <w:r>
              <w:rPr>
                <w:spacing w:val="8"/>
                <w:sz w:val="20"/>
                <w:szCs w:val="20"/>
              </w:rPr>
              <w:t xml:space="preserve"> </w:t>
            </w:r>
            <w:r>
              <w:rPr>
                <w:spacing w:val="9"/>
                <w:sz w:val="20"/>
                <w:szCs w:val="20"/>
              </w:rPr>
              <w:t>足够的安全通道、应急</w:t>
            </w:r>
            <w:r>
              <w:rPr>
                <w:spacing w:val="8"/>
                <w:sz w:val="20"/>
                <w:szCs w:val="20"/>
              </w:rPr>
              <w:t xml:space="preserve"> </w:t>
            </w:r>
            <w:r>
              <w:rPr>
                <w:spacing w:val="7"/>
                <w:sz w:val="20"/>
                <w:szCs w:val="20"/>
              </w:rPr>
              <w:t>照明及疏散标识。</w:t>
            </w:r>
          </w:p>
        </w:tc>
        <w:tc>
          <w:tcPr>
            <w:tcW w:w="1145" w:type="dxa"/>
            <w:vMerge w:val="restart"/>
            <w:tcBorders>
              <w:top w:val="single" w:color="000000" w:sz="10" w:space="0"/>
              <w:bottom w:val="nil"/>
              <w:right w:val="single" w:color="000000" w:sz="10" w:space="0"/>
            </w:tcBorders>
            <w:vAlign w:val="top"/>
          </w:tcPr>
          <w:p w14:paraId="2339C888">
            <w:pPr>
              <w:spacing w:line="244" w:lineRule="auto"/>
              <w:rPr>
                <w:rFonts w:ascii="Arial"/>
                <w:sz w:val="21"/>
              </w:rPr>
            </w:pPr>
          </w:p>
          <w:p w14:paraId="6D33C643">
            <w:pPr>
              <w:spacing w:line="244" w:lineRule="auto"/>
              <w:rPr>
                <w:rFonts w:ascii="Arial"/>
                <w:sz w:val="21"/>
              </w:rPr>
            </w:pPr>
          </w:p>
          <w:p w14:paraId="6AEAEA8C">
            <w:pPr>
              <w:spacing w:line="244" w:lineRule="auto"/>
              <w:rPr>
                <w:rFonts w:ascii="Arial"/>
                <w:sz w:val="21"/>
              </w:rPr>
            </w:pPr>
          </w:p>
          <w:p w14:paraId="7B3F4DFD">
            <w:pPr>
              <w:spacing w:line="244" w:lineRule="auto"/>
              <w:rPr>
                <w:rFonts w:ascii="Arial"/>
                <w:sz w:val="21"/>
              </w:rPr>
            </w:pPr>
          </w:p>
          <w:p w14:paraId="21E9270C">
            <w:pPr>
              <w:spacing w:line="244" w:lineRule="auto"/>
              <w:rPr>
                <w:rFonts w:ascii="Arial"/>
                <w:sz w:val="21"/>
              </w:rPr>
            </w:pPr>
          </w:p>
          <w:p w14:paraId="6BEF1383">
            <w:pPr>
              <w:spacing w:line="244" w:lineRule="auto"/>
              <w:rPr>
                <w:rFonts w:ascii="Arial"/>
                <w:sz w:val="21"/>
              </w:rPr>
            </w:pPr>
          </w:p>
          <w:p w14:paraId="764981C2">
            <w:pPr>
              <w:spacing w:line="244" w:lineRule="auto"/>
              <w:rPr>
                <w:rFonts w:ascii="Arial"/>
                <w:sz w:val="21"/>
              </w:rPr>
            </w:pPr>
          </w:p>
          <w:p w14:paraId="0DFA368B">
            <w:pPr>
              <w:spacing w:line="244" w:lineRule="auto"/>
              <w:rPr>
                <w:rFonts w:ascii="Arial"/>
                <w:sz w:val="21"/>
              </w:rPr>
            </w:pPr>
          </w:p>
          <w:p w14:paraId="1F403EFA">
            <w:pPr>
              <w:spacing w:line="244" w:lineRule="auto"/>
              <w:rPr>
                <w:rFonts w:ascii="Arial"/>
                <w:sz w:val="21"/>
              </w:rPr>
            </w:pPr>
          </w:p>
          <w:p w14:paraId="4A3EE5A5">
            <w:pPr>
              <w:spacing w:line="244" w:lineRule="auto"/>
              <w:rPr>
                <w:rFonts w:ascii="Arial"/>
                <w:sz w:val="21"/>
              </w:rPr>
            </w:pPr>
          </w:p>
          <w:p w14:paraId="1673FC74">
            <w:pPr>
              <w:spacing w:line="244" w:lineRule="auto"/>
              <w:rPr>
                <w:rFonts w:ascii="Arial"/>
                <w:sz w:val="21"/>
              </w:rPr>
            </w:pPr>
          </w:p>
          <w:p w14:paraId="695ADC07">
            <w:pPr>
              <w:spacing w:line="244" w:lineRule="auto"/>
              <w:rPr>
                <w:rFonts w:ascii="Arial"/>
                <w:sz w:val="21"/>
              </w:rPr>
            </w:pPr>
          </w:p>
          <w:p w14:paraId="6588C9DD">
            <w:pPr>
              <w:spacing w:line="244" w:lineRule="auto"/>
              <w:rPr>
                <w:rFonts w:ascii="Arial"/>
                <w:sz w:val="21"/>
              </w:rPr>
            </w:pPr>
          </w:p>
          <w:p w14:paraId="1825283D">
            <w:pPr>
              <w:spacing w:line="244" w:lineRule="auto"/>
              <w:rPr>
                <w:rFonts w:ascii="Arial"/>
                <w:sz w:val="21"/>
              </w:rPr>
            </w:pPr>
          </w:p>
          <w:p w14:paraId="0BABFEEF">
            <w:pPr>
              <w:spacing w:line="244" w:lineRule="auto"/>
              <w:rPr>
                <w:rFonts w:ascii="Arial"/>
                <w:sz w:val="21"/>
              </w:rPr>
            </w:pPr>
          </w:p>
          <w:p w14:paraId="5C674F2E">
            <w:pPr>
              <w:spacing w:line="244" w:lineRule="auto"/>
              <w:rPr>
                <w:rFonts w:ascii="Arial"/>
                <w:sz w:val="21"/>
              </w:rPr>
            </w:pPr>
          </w:p>
          <w:p w14:paraId="58CFC16B">
            <w:pPr>
              <w:spacing w:line="244" w:lineRule="auto"/>
              <w:rPr>
                <w:rFonts w:ascii="Arial"/>
                <w:sz w:val="21"/>
              </w:rPr>
            </w:pPr>
          </w:p>
          <w:p w14:paraId="641F69BA">
            <w:pPr>
              <w:spacing w:line="244" w:lineRule="auto"/>
              <w:rPr>
                <w:rFonts w:ascii="Arial"/>
                <w:sz w:val="21"/>
              </w:rPr>
            </w:pPr>
          </w:p>
          <w:p w14:paraId="0457CE27">
            <w:pPr>
              <w:spacing w:line="244" w:lineRule="auto"/>
              <w:rPr>
                <w:rFonts w:ascii="Arial"/>
                <w:sz w:val="21"/>
              </w:rPr>
            </w:pPr>
          </w:p>
          <w:p w14:paraId="44731DDE">
            <w:pPr>
              <w:spacing w:line="244" w:lineRule="auto"/>
              <w:rPr>
                <w:rFonts w:ascii="Arial"/>
                <w:sz w:val="21"/>
              </w:rPr>
            </w:pPr>
          </w:p>
          <w:p w14:paraId="7460799C">
            <w:pPr>
              <w:spacing w:line="245" w:lineRule="auto"/>
              <w:rPr>
                <w:rFonts w:ascii="Arial"/>
                <w:sz w:val="21"/>
              </w:rPr>
            </w:pPr>
          </w:p>
          <w:p w14:paraId="0A72DCBA">
            <w:pPr>
              <w:spacing w:line="245" w:lineRule="auto"/>
              <w:rPr>
                <w:rFonts w:ascii="Arial"/>
                <w:sz w:val="21"/>
              </w:rPr>
            </w:pPr>
          </w:p>
          <w:p w14:paraId="493B05CA">
            <w:pPr>
              <w:spacing w:line="245" w:lineRule="auto"/>
              <w:rPr>
                <w:rFonts w:ascii="Arial"/>
                <w:sz w:val="21"/>
              </w:rPr>
            </w:pPr>
          </w:p>
          <w:p w14:paraId="76ED913C">
            <w:pPr>
              <w:spacing w:line="245" w:lineRule="auto"/>
              <w:rPr>
                <w:rFonts w:ascii="Arial"/>
                <w:sz w:val="21"/>
              </w:rPr>
            </w:pPr>
          </w:p>
          <w:p w14:paraId="65266CAE">
            <w:pPr>
              <w:spacing w:line="245" w:lineRule="auto"/>
              <w:rPr>
                <w:rFonts w:ascii="Arial"/>
                <w:sz w:val="21"/>
              </w:rPr>
            </w:pPr>
          </w:p>
          <w:p w14:paraId="4261B83F">
            <w:pPr>
              <w:spacing w:line="245" w:lineRule="auto"/>
              <w:rPr>
                <w:rFonts w:ascii="Arial"/>
                <w:sz w:val="21"/>
              </w:rPr>
            </w:pPr>
          </w:p>
          <w:p w14:paraId="013057F5">
            <w:pPr>
              <w:spacing w:line="245" w:lineRule="auto"/>
              <w:rPr>
                <w:rFonts w:ascii="Arial"/>
                <w:sz w:val="21"/>
              </w:rPr>
            </w:pPr>
          </w:p>
          <w:p w14:paraId="3AE1474F">
            <w:pPr>
              <w:spacing w:line="245" w:lineRule="auto"/>
              <w:rPr>
                <w:rFonts w:ascii="Arial"/>
                <w:sz w:val="21"/>
              </w:rPr>
            </w:pPr>
          </w:p>
          <w:p w14:paraId="455BCCD7">
            <w:pPr>
              <w:spacing w:line="245" w:lineRule="auto"/>
              <w:rPr>
                <w:rFonts w:ascii="Arial"/>
                <w:sz w:val="21"/>
              </w:rPr>
            </w:pPr>
          </w:p>
          <w:p w14:paraId="508AD352">
            <w:pPr>
              <w:spacing w:line="245" w:lineRule="auto"/>
              <w:rPr>
                <w:rFonts w:ascii="Arial"/>
                <w:sz w:val="21"/>
              </w:rPr>
            </w:pPr>
          </w:p>
          <w:p w14:paraId="51DF86DB">
            <w:pPr>
              <w:spacing w:line="245" w:lineRule="auto"/>
              <w:rPr>
                <w:rFonts w:ascii="Arial"/>
                <w:sz w:val="21"/>
              </w:rPr>
            </w:pPr>
          </w:p>
          <w:p w14:paraId="7A6AE637">
            <w:pPr>
              <w:spacing w:line="245" w:lineRule="auto"/>
              <w:rPr>
                <w:rFonts w:ascii="Arial"/>
                <w:sz w:val="21"/>
              </w:rPr>
            </w:pPr>
          </w:p>
          <w:p w14:paraId="083AF9FE">
            <w:pPr>
              <w:spacing w:line="245" w:lineRule="auto"/>
              <w:rPr>
                <w:rFonts w:ascii="Arial"/>
                <w:sz w:val="21"/>
              </w:rPr>
            </w:pPr>
          </w:p>
          <w:p w14:paraId="25429699">
            <w:pPr>
              <w:spacing w:line="245" w:lineRule="auto"/>
              <w:rPr>
                <w:rFonts w:ascii="Arial"/>
                <w:sz w:val="21"/>
              </w:rPr>
            </w:pPr>
          </w:p>
          <w:p w14:paraId="48083DC3">
            <w:pPr>
              <w:spacing w:line="245" w:lineRule="auto"/>
              <w:rPr>
                <w:rFonts w:ascii="Arial"/>
                <w:sz w:val="21"/>
              </w:rPr>
            </w:pPr>
          </w:p>
          <w:p w14:paraId="6203BFCC">
            <w:pPr>
              <w:spacing w:line="245" w:lineRule="auto"/>
              <w:rPr>
                <w:rFonts w:ascii="Arial"/>
                <w:sz w:val="21"/>
              </w:rPr>
            </w:pPr>
          </w:p>
          <w:p w14:paraId="58C0BF6C">
            <w:pPr>
              <w:spacing w:line="245" w:lineRule="auto"/>
              <w:rPr>
                <w:rFonts w:ascii="Arial"/>
                <w:sz w:val="21"/>
              </w:rPr>
            </w:pPr>
          </w:p>
          <w:p w14:paraId="64FDE0B6">
            <w:pPr>
              <w:spacing w:line="245" w:lineRule="auto"/>
              <w:rPr>
                <w:rFonts w:ascii="Arial"/>
                <w:sz w:val="21"/>
              </w:rPr>
            </w:pPr>
          </w:p>
          <w:p w14:paraId="17165D59">
            <w:pPr>
              <w:spacing w:line="245" w:lineRule="auto"/>
              <w:rPr>
                <w:rFonts w:ascii="Arial"/>
                <w:sz w:val="21"/>
              </w:rPr>
            </w:pPr>
          </w:p>
          <w:p w14:paraId="1DB12CA8">
            <w:pPr>
              <w:pStyle w:val="6"/>
              <w:spacing w:before="65" w:line="228" w:lineRule="auto"/>
              <w:ind w:left="320"/>
              <w:rPr>
                <w:sz w:val="20"/>
                <w:szCs w:val="20"/>
              </w:rPr>
            </w:pPr>
            <w:r>
              <w:rPr>
                <w:spacing w:val="3"/>
                <w:sz w:val="20"/>
                <w:szCs w:val="20"/>
              </w:rPr>
              <w:t>符合</w:t>
            </w:r>
          </w:p>
        </w:tc>
      </w:tr>
      <w:tr w14:paraId="274248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81" w:hRule="atLeast"/>
        </w:trPr>
        <w:tc>
          <w:tcPr>
            <w:tcW w:w="494" w:type="dxa"/>
            <w:vMerge w:val="continue"/>
            <w:tcBorders>
              <w:top w:val="nil"/>
              <w:left w:val="single" w:color="000000" w:sz="10" w:space="0"/>
              <w:bottom w:val="single" w:color="000000" w:sz="10" w:space="0"/>
            </w:tcBorders>
            <w:vAlign w:val="top"/>
          </w:tcPr>
          <w:p w14:paraId="71D07210">
            <w:pPr>
              <w:rPr>
                <w:rFonts w:ascii="Arial"/>
                <w:sz w:val="21"/>
              </w:rPr>
            </w:pPr>
          </w:p>
        </w:tc>
        <w:tc>
          <w:tcPr>
            <w:tcW w:w="547" w:type="dxa"/>
            <w:vMerge w:val="continue"/>
            <w:tcBorders>
              <w:top w:val="nil"/>
              <w:bottom w:val="single" w:color="000000" w:sz="10" w:space="0"/>
            </w:tcBorders>
            <w:vAlign w:val="top"/>
          </w:tcPr>
          <w:p w14:paraId="3E2E0F08">
            <w:pPr>
              <w:rPr>
                <w:rFonts w:ascii="Arial"/>
                <w:sz w:val="21"/>
              </w:rPr>
            </w:pPr>
          </w:p>
        </w:tc>
        <w:tc>
          <w:tcPr>
            <w:tcW w:w="436" w:type="dxa"/>
            <w:vMerge w:val="continue"/>
            <w:tcBorders>
              <w:top w:val="nil"/>
              <w:bottom w:val="single" w:color="000000" w:sz="10" w:space="0"/>
            </w:tcBorders>
            <w:vAlign w:val="top"/>
          </w:tcPr>
          <w:p w14:paraId="17AF9766">
            <w:pPr>
              <w:rPr>
                <w:rFonts w:ascii="Arial"/>
                <w:sz w:val="21"/>
              </w:rPr>
            </w:pPr>
          </w:p>
        </w:tc>
        <w:tc>
          <w:tcPr>
            <w:tcW w:w="560" w:type="dxa"/>
            <w:tcBorders>
              <w:bottom w:val="single" w:color="000000" w:sz="10" w:space="0"/>
            </w:tcBorders>
            <w:vAlign w:val="top"/>
          </w:tcPr>
          <w:p w14:paraId="5B623F22">
            <w:pPr>
              <w:spacing w:line="250" w:lineRule="auto"/>
              <w:rPr>
                <w:rFonts w:ascii="Arial"/>
                <w:sz w:val="21"/>
              </w:rPr>
            </w:pPr>
          </w:p>
          <w:p w14:paraId="2F380EF7">
            <w:pPr>
              <w:spacing w:line="250" w:lineRule="auto"/>
              <w:rPr>
                <w:rFonts w:ascii="Arial"/>
                <w:sz w:val="21"/>
              </w:rPr>
            </w:pPr>
          </w:p>
          <w:p w14:paraId="0F683DEC">
            <w:pPr>
              <w:spacing w:line="250" w:lineRule="auto"/>
              <w:rPr>
                <w:rFonts w:ascii="Arial"/>
                <w:sz w:val="21"/>
              </w:rPr>
            </w:pPr>
          </w:p>
          <w:p w14:paraId="0D8B3221">
            <w:pPr>
              <w:spacing w:line="250" w:lineRule="auto"/>
              <w:rPr>
                <w:rFonts w:ascii="Arial"/>
                <w:sz w:val="21"/>
              </w:rPr>
            </w:pPr>
          </w:p>
          <w:p w14:paraId="7C6AA336">
            <w:pPr>
              <w:spacing w:line="250" w:lineRule="auto"/>
              <w:rPr>
                <w:rFonts w:ascii="Arial"/>
                <w:sz w:val="21"/>
              </w:rPr>
            </w:pPr>
          </w:p>
          <w:p w14:paraId="51054767">
            <w:pPr>
              <w:spacing w:line="250" w:lineRule="auto"/>
              <w:rPr>
                <w:rFonts w:ascii="Arial"/>
                <w:sz w:val="21"/>
              </w:rPr>
            </w:pPr>
          </w:p>
          <w:p w14:paraId="320D21B7">
            <w:pPr>
              <w:spacing w:line="250" w:lineRule="auto"/>
              <w:rPr>
                <w:rFonts w:ascii="Arial"/>
                <w:sz w:val="21"/>
              </w:rPr>
            </w:pPr>
          </w:p>
          <w:p w14:paraId="1D2B9083">
            <w:pPr>
              <w:spacing w:line="250" w:lineRule="auto"/>
              <w:rPr>
                <w:rFonts w:ascii="Arial"/>
                <w:sz w:val="21"/>
              </w:rPr>
            </w:pPr>
          </w:p>
          <w:p w14:paraId="5E181826">
            <w:pPr>
              <w:spacing w:line="250" w:lineRule="auto"/>
              <w:rPr>
                <w:rFonts w:ascii="Arial"/>
                <w:sz w:val="21"/>
              </w:rPr>
            </w:pPr>
          </w:p>
          <w:p w14:paraId="0FBF567F">
            <w:pPr>
              <w:spacing w:line="250" w:lineRule="auto"/>
              <w:rPr>
                <w:rFonts w:ascii="Arial"/>
                <w:sz w:val="21"/>
              </w:rPr>
            </w:pPr>
          </w:p>
          <w:p w14:paraId="3DC6D895">
            <w:pPr>
              <w:spacing w:line="250" w:lineRule="auto"/>
              <w:rPr>
                <w:rFonts w:ascii="Arial"/>
                <w:sz w:val="21"/>
              </w:rPr>
            </w:pPr>
          </w:p>
          <w:p w14:paraId="305E523F">
            <w:pPr>
              <w:spacing w:line="250" w:lineRule="auto"/>
              <w:rPr>
                <w:rFonts w:ascii="Arial"/>
                <w:sz w:val="21"/>
              </w:rPr>
            </w:pPr>
          </w:p>
          <w:p w14:paraId="47F16C70">
            <w:pPr>
              <w:spacing w:line="250" w:lineRule="auto"/>
              <w:rPr>
                <w:rFonts w:ascii="Arial"/>
                <w:sz w:val="21"/>
              </w:rPr>
            </w:pPr>
          </w:p>
          <w:p w14:paraId="550C3A69">
            <w:pPr>
              <w:pStyle w:val="6"/>
              <w:spacing w:before="58" w:line="285" w:lineRule="auto"/>
              <w:ind w:left="172" w:right="154" w:hanging="32"/>
              <w:jc w:val="both"/>
              <w:rPr>
                <w:sz w:val="20"/>
                <w:szCs w:val="20"/>
              </w:rPr>
            </w:pPr>
            <w:r>
              <w:rPr>
                <w:rFonts w:ascii="Times New Roman" w:hAnsi="Times New Roman" w:eastAsia="Times New Roman" w:cs="Times New Roman"/>
                <w:spacing w:val="3"/>
                <w:sz w:val="20"/>
                <w:szCs w:val="20"/>
              </w:rPr>
              <w:t>4.4</w:t>
            </w:r>
            <w:r>
              <w:rPr>
                <w:rFonts w:ascii="Times New Roman" w:hAnsi="Times New Roman" w:eastAsia="Times New Roman" w:cs="Times New Roman"/>
                <w:sz w:val="20"/>
                <w:szCs w:val="20"/>
              </w:rPr>
              <w:t xml:space="preserve"> </w:t>
            </w:r>
            <w:r>
              <w:rPr>
                <w:spacing w:val="1"/>
                <w:sz w:val="20"/>
                <w:szCs w:val="20"/>
              </w:rPr>
              <w:t>设</w:t>
            </w:r>
            <w:r>
              <w:rPr>
                <w:sz w:val="20"/>
                <w:szCs w:val="20"/>
              </w:rPr>
              <w:t xml:space="preserve"> </w:t>
            </w:r>
            <w:r>
              <w:rPr>
                <w:spacing w:val="1"/>
                <w:sz w:val="20"/>
                <w:szCs w:val="20"/>
              </w:rPr>
              <w:t>备</w:t>
            </w:r>
            <w:r>
              <w:rPr>
                <w:sz w:val="20"/>
                <w:szCs w:val="20"/>
              </w:rPr>
              <w:t xml:space="preserve"> </w:t>
            </w:r>
            <w:r>
              <w:rPr>
                <w:spacing w:val="1"/>
                <w:sz w:val="20"/>
                <w:szCs w:val="20"/>
              </w:rPr>
              <w:t>设</w:t>
            </w:r>
            <w:r>
              <w:rPr>
                <w:sz w:val="20"/>
                <w:szCs w:val="20"/>
              </w:rPr>
              <w:t xml:space="preserve"> </w:t>
            </w:r>
            <w:r>
              <w:rPr>
                <w:spacing w:val="1"/>
                <w:sz w:val="20"/>
                <w:szCs w:val="20"/>
              </w:rPr>
              <w:t>施</w:t>
            </w:r>
            <w:r>
              <w:rPr>
                <w:sz w:val="20"/>
                <w:szCs w:val="20"/>
              </w:rPr>
              <w:t xml:space="preserve"> </w:t>
            </w:r>
            <w:r>
              <w:rPr>
                <w:spacing w:val="1"/>
                <w:sz w:val="20"/>
                <w:szCs w:val="20"/>
              </w:rPr>
              <w:t>要</w:t>
            </w:r>
            <w:r>
              <w:rPr>
                <w:sz w:val="20"/>
                <w:szCs w:val="20"/>
              </w:rPr>
              <w:t xml:space="preserve"> </w:t>
            </w:r>
            <w:r>
              <w:rPr>
                <w:spacing w:val="1"/>
                <w:sz w:val="20"/>
                <w:szCs w:val="20"/>
              </w:rPr>
              <w:t>求</w:t>
            </w:r>
          </w:p>
        </w:tc>
        <w:tc>
          <w:tcPr>
            <w:tcW w:w="3422" w:type="dxa"/>
            <w:tcBorders>
              <w:bottom w:val="single" w:color="000000" w:sz="10" w:space="0"/>
            </w:tcBorders>
            <w:vAlign w:val="top"/>
          </w:tcPr>
          <w:p w14:paraId="48B32363">
            <w:pPr>
              <w:rPr>
                <w:rFonts w:ascii="Arial"/>
                <w:sz w:val="21"/>
              </w:rPr>
            </w:pPr>
          </w:p>
          <w:p w14:paraId="400104AC">
            <w:pPr>
              <w:rPr>
                <w:rFonts w:ascii="Arial"/>
                <w:sz w:val="21"/>
              </w:rPr>
            </w:pPr>
          </w:p>
          <w:p w14:paraId="1815BFD3">
            <w:pPr>
              <w:rPr>
                <w:rFonts w:ascii="Arial"/>
                <w:sz w:val="21"/>
              </w:rPr>
            </w:pPr>
          </w:p>
          <w:p w14:paraId="589E8577">
            <w:pPr>
              <w:pStyle w:val="6"/>
              <w:spacing w:before="74" w:line="278" w:lineRule="auto"/>
              <w:ind w:left="112" w:right="39" w:firstLine="478"/>
              <w:rPr>
                <w:sz w:val="20"/>
                <w:szCs w:val="20"/>
              </w:rPr>
            </w:pPr>
            <w:r>
              <w:rPr>
                <w:rFonts w:ascii="Calibri" w:hAnsi="Calibri" w:eastAsia="Calibri" w:cs="Calibri"/>
                <w:spacing w:val="15"/>
              </w:rPr>
              <w:t>4.4.1</w:t>
            </w:r>
            <w:r>
              <w:rPr>
                <w:spacing w:val="15"/>
                <w:sz w:val="20"/>
                <w:szCs w:val="20"/>
              </w:rPr>
              <w:t>报废农业机械拆解企业</w:t>
            </w:r>
            <w:r>
              <w:rPr>
                <w:spacing w:val="4"/>
                <w:sz w:val="20"/>
                <w:szCs w:val="20"/>
              </w:rPr>
              <w:t xml:space="preserve"> </w:t>
            </w:r>
            <w:r>
              <w:rPr>
                <w:spacing w:val="12"/>
                <w:sz w:val="20"/>
                <w:szCs w:val="20"/>
              </w:rPr>
              <w:t>宜配备达标的设备，包括但不限于</w:t>
            </w:r>
            <w:r>
              <w:rPr>
                <w:spacing w:val="13"/>
                <w:sz w:val="20"/>
                <w:szCs w:val="20"/>
              </w:rPr>
              <w:t xml:space="preserve"> </w:t>
            </w:r>
            <w:r>
              <w:rPr>
                <w:spacing w:val="12"/>
                <w:sz w:val="20"/>
                <w:szCs w:val="20"/>
              </w:rPr>
              <w:t>农业机械拆解线、称重设备、起重</w:t>
            </w:r>
            <w:r>
              <w:rPr>
                <w:spacing w:val="13"/>
                <w:sz w:val="20"/>
                <w:szCs w:val="20"/>
              </w:rPr>
              <w:t xml:space="preserve"> 运输设备、剪断设备、挤压设备、</w:t>
            </w:r>
            <w:r>
              <w:rPr>
                <w:spacing w:val="12"/>
                <w:sz w:val="20"/>
                <w:szCs w:val="20"/>
              </w:rPr>
              <w:t xml:space="preserve"> </w:t>
            </w:r>
            <w:r>
              <w:rPr>
                <w:spacing w:val="4"/>
                <w:sz w:val="20"/>
                <w:szCs w:val="20"/>
              </w:rPr>
              <w:t>切割设备、破碎设备、专用容器等。</w:t>
            </w:r>
            <w:r>
              <w:rPr>
                <w:sz w:val="20"/>
                <w:szCs w:val="20"/>
              </w:rPr>
              <w:t xml:space="preserve"> </w:t>
            </w:r>
            <w:r>
              <w:rPr>
                <w:spacing w:val="13"/>
                <w:sz w:val="20"/>
                <w:szCs w:val="20"/>
              </w:rPr>
              <w:t>在排空易燃易爆及有毒有害液体、</w:t>
            </w:r>
            <w:r>
              <w:rPr>
                <w:spacing w:val="12"/>
                <w:sz w:val="20"/>
                <w:szCs w:val="20"/>
              </w:rPr>
              <w:t xml:space="preserve"> </w:t>
            </w:r>
            <w:r>
              <w:rPr>
                <w:spacing w:val="4"/>
                <w:sz w:val="20"/>
                <w:szCs w:val="20"/>
              </w:rPr>
              <w:t>气体物品时，应使用专用处理设备，</w:t>
            </w:r>
            <w:r>
              <w:rPr>
                <w:sz w:val="20"/>
                <w:szCs w:val="20"/>
              </w:rPr>
              <w:t xml:space="preserve"> </w:t>
            </w:r>
            <w:r>
              <w:rPr>
                <w:spacing w:val="12"/>
                <w:sz w:val="20"/>
                <w:szCs w:val="20"/>
              </w:rPr>
              <w:t>且工作环境安全可靠，防爆等级符</w:t>
            </w:r>
            <w:r>
              <w:rPr>
                <w:spacing w:val="13"/>
                <w:sz w:val="20"/>
                <w:szCs w:val="20"/>
              </w:rPr>
              <w:t xml:space="preserve"> </w:t>
            </w:r>
            <w:r>
              <w:rPr>
                <w:spacing w:val="12"/>
                <w:sz w:val="20"/>
                <w:szCs w:val="20"/>
              </w:rPr>
              <w:t>合标准要求。危险拆解工位增加智</w:t>
            </w:r>
            <w:r>
              <w:rPr>
                <w:spacing w:val="13"/>
                <w:sz w:val="20"/>
                <w:szCs w:val="20"/>
              </w:rPr>
              <w:t xml:space="preserve"> </w:t>
            </w:r>
            <w:r>
              <w:rPr>
                <w:spacing w:val="4"/>
                <w:sz w:val="20"/>
                <w:szCs w:val="20"/>
              </w:rPr>
              <w:t>能化工艺装备，实现无人自动拆解。</w:t>
            </w:r>
          </w:p>
          <w:p w14:paraId="61071255">
            <w:pPr>
              <w:pStyle w:val="6"/>
              <w:spacing w:before="71" w:line="268" w:lineRule="auto"/>
              <w:ind w:left="113" w:right="109" w:firstLine="477"/>
              <w:rPr>
                <w:sz w:val="20"/>
                <w:szCs w:val="20"/>
              </w:rPr>
            </w:pPr>
            <w:r>
              <w:rPr>
                <w:rFonts w:ascii="Calibri" w:hAnsi="Calibri" w:eastAsia="Calibri" w:cs="Calibri"/>
                <w:spacing w:val="1"/>
              </w:rPr>
              <w:t>4.4.2</w:t>
            </w:r>
            <w:r>
              <w:rPr>
                <w:spacing w:val="1"/>
                <w:sz w:val="20"/>
                <w:szCs w:val="20"/>
              </w:rPr>
              <w:t>应具备环保设备，包括但</w:t>
            </w:r>
            <w:r>
              <w:rPr>
                <w:spacing w:val="13"/>
                <w:sz w:val="20"/>
                <w:szCs w:val="20"/>
              </w:rPr>
              <w:t xml:space="preserve"> </w:t>
            </w:r>
            <w:r>
              <w:rPr>
                <w:spacing w:val="12"/>
                <w:sz w:val="20"/>
                <w:szCs w:val="20"/>
              </w:rPr>
              <w:t xml:space="preserve">不限于专用废液收集容器、油水分 离器、专用制冷液收集容器、蓄电 </w:t>
            </w:r>
            <w:r>
              <w:rPr>
                <w:spacing w:val="17"/>
                <w:sz w:val="20"/>
                <w:szCs w:val="20"/>
              </w:rPr>
              <w:t>池</w:t>
            </w:r>
            <w:r>
              <w:rPr>
                <w:rFonts w:ascii="Times New Roman" w:hAnsi="Times New Roman" w:eastAsia="Times New Roman" w:cs="Times New Roman"/>
                <w:spacing w:val="17"/>
                <w:sz w:val="20"/>
                <w:szCs w:val="20"/>
              </w:rPr>
              <w:t>/</w:t>
            </w:r>
            <w:r>
              <w:rPr>
                <w:spacing w:val="17"/>
                <w:sz w:val="20"/>
                <w:szCs w:val="20"/>
              </w:rPr>
              <w:t>锂电池</w:t>
            </w:r>
            <w:r>
              <w:rPr>
                <w:rFonts w:ascii="Times New Roman" w:hAnsi="Times New Roman" w:eastAsia="Times New Roman" w:cs="Times New Roman"/>
                <w:spacing w:val="17"/>
                <w:sz w:val="20"/>
                <w:szCs w:val="20"/>
              </w:rPr>
              <w:t>/</w:t>
            </w:r>
            <w:r>
              <w:rPr>
                <w:spacing w:val="17"/>
                <w:sz w:val="20"/>
                <w:szCs w:val="20"/>
              </w:rPr>
              <w:t>氢燃料电池等专用收集</w:t>
            </w:r>
            <w:r>
              <w:rPr>
                <w:spacing w:val="9"/>
                <w:sz w:val="20"/>
                <w:szCs w:val="20"/>
              </w:rPr>
              <w:t xml:space="preserve"> </w:t>
            </w:r>
            <w:r>
              <w:rPr>
                <w:spacing w:val="3"/>
                <w:sz w:val="20"/>
                <w:szCs w:val="20"/>
              </w:rPr>
              <w:t>容器。</w:t>
            </w:r>
          </w:p>
          <w:p w14:paraId="2D332A22">
            <w:pPr>
              <w:pStyle w:val="6"/>
              <w:spacing w:before="71"/>
              <w:ind w:left="114" w:right="109" w:firstLine="476"/>
              <w:rPr>
                <w:sz w:val="20"/>
                <w:szCs w:val="20"/>
              </w:rPr>
            </w:pPr>
            <w:r>
              <w:rPr>
                <w:rFonts w:ascii="Calibri" w:hAnsi="Calibri" w:eastAsia="Calibri" w:cs="Calibri"/>
                <w:spacing w:val="1"/>
              </w:rPr>
              <w:t>4.4.3</w:t>
            </w:r>
            <w:r>
              <w:rPr>
                <w:spacing w:val="1"/>
                <w:sz w:val="20"/>
                <w:szCs w:val="20"/>
              </w:rPr>
              <w:t>应具备电脑、拍照设备和</w:t>
            </w:r>
            <w:r>
              <w:rPr>
                <w:spacing w:val="13"/>
                <w:sz w:val="20"/>
                <w:szCs w:val="20"/>
              </w:rPr>
              <w:t xml:space="preserve"> </w:t>
            </w:r>
            <w:r>
              <w:rPr>
                <w:spacing w:val="5"/>
                <w:sz w:val="20"/>
                <w:szCs w:val="20"/>
              </w:rPr>
              <w:t>监控设备。</w:t>
            </w:r>
          </w:p>
          <w:p w14:paraId="0E48F17D">
            <w:pPr>
              <w:pStyle w:val="6"/>
              <w:spacing w:before="71" w:line="255" w:lineRule="auto"/>
              <w:ind w:left="112" w:right="39" w:firstLine="478"/>
              <w:rPr>
                <w:sz w:val="20"/>
                <w:szCs w:val="20"/>
              </w:rPr>
            </w:pPr>
            <w:r>
              <w:rPr>
                <w:rFonts w:ascii="Calibri" w:hAnsi="Calibri" w:eastAsia="Calibri" w:cs="Calibri"/>
                <w:spacing w:val="15"/>
              </w:rPr>
              <w:t>4.4.4</w:t>
            </w:r>
            <w:r>
              <w:rPr>
                <w:spacing w:val="15"/>
                <w:sz w:val="20"/>
                <w:szCs w:val="20"/>
              </w:rPr>
              <w:t>拆解电动自走式农业机</w:t>
            </w:r>
            <w:r>
              <w:rPr>
                <w:spacing w:val="4"/>
                <w:sz w:val="20"/>
                <w:szCs w:val="20"/>
              </w:rPr>
              <w:t xml:space="preserve"> 械还应配备绝缘工作服、绝缘工具、</w:t>
            </w:r>
            <w:r>
              <w:rPr>
                <w:sz w:val="20"/>
                <w:szCs w:val="20"/>
              </w:rPr>
              <w:t xml:space="preserve"> </w:t>
            </w:r>
            <w:r>
              <w:rPr>
                <w:spacing w:val="8"/>
                <w:sz w:val="20"/>
                <w:szCs w:val="20"/>
              </w:rPr>
              <w:t>绝缘辅助器具、绝缘检测设备等。</w:t>
            </w:r>
          </w:p>
          <w:p w14:paraId="1291C04A">
            <w:pPr>
              <w:pStyle w:val="6"/>
              <w:spacing w:before="73" w:line="255" w:lineRule="auto"/>
              <w:ind w:left="116" w:right="39" w:firstLine="474"/>
              <w:rPr>
                <w:sz w:val="20"/>
                <w:szCs w:val="20"/>
              </w:rPr>
            </w:pPr>
            <w:r>
              <w:rPr>
                <w:rFonts w:ascii="Calibri" w:hAnsi="Calibri" w:eastAsia="Calibri" w:cs="Calibri"/>
                <w:spacing w:val="1"/>
              </w:rPr>
              <w:t>4.4.5</w:t>
            </w:r>
            <w:r>
              <w:rPr>
                <w:spacing w:val="1"/>
                <w:sz w:val="20"/>
                <w:szCs w:val="20"/>
              </w:rPr>
              <w:t>应建立设备管理制度，制</w:t>
            </w:r>
            <w:r>
              <w:rPr>
                <w:spacing w:val="13"/>
                <w:sz w:val="20"/>
                <w:szCs w:val="20"/>
              </w:rPr>
              <w:t xml:space="preserve"> </w:t>
            </w:r>
            <w:r>
              <w:rPr>
                <w:spacing w:val="3"/>
                <w:sz w:val="20"/>
                <w:szCs w:val="20"/>
              </w:rPr>
              <w:t>定设备操作规程，并定期维护保养、</w:t>
            </w:r>
            <w:r>
              <w:rPr>
                <w:spacing w:val="12"/>
                <w:sz w:val="20"/>
                <w:szCs w:val="20"/>
              </w:rPr>
              <w:t xml:space="preserve"> </w:t>
            </w:r>
            <w:r>
              <w:rPr>
                <w:spacing w:val="2"/>
                <w:sz w:val="20"/>
                <w:szCs w:val="20"/>
              </w:rPr>
              <w:t>更新。</w:t>
            </w:r>
          </w:p>
        </w:tc>
        <w:tc>
          <w:tcPr>
            <w:tcW w:w="2318" w:type="dxa"/>
            <w:tcBorders>
              <w:bottom w:val="single" w:color="000000" w:sz="10" w:space="0"/>
            </w:tcBorders>
            <w:vAlign w:val="top"/>
          </w:tcPr>
          <w:p w14:paraId="00FE1757">
            <w:pPr>
              <w:pStyle w:val="6"/>
              <w:spacing w:before="90" w:line="289" w:lineRule="auto"/>
              <w:ind w:left="115" w:right="26" w:firstLine="421"/>
              <w:rPr>
                <w:sz w:val="20"/>
                <w:szCs w:val="20"/>
              </w:rPr>
            </w:pPr>
            <w:r>
              <w:rPr>
                <w:spacing w:val="9"/>
                <w:sz w:val="20"/>
                <w:szCs w:val="20"/>
              </w:rPr>
              <w:t>本项目配备农业机</w:t>
            </w:r>
            <w:r>
              <w:rPr>
                <w:spacing w:val="5"/>
                <w:sz w:val="20"/>
                <w:szCs w:val="20"/>
              </w:rPr>
              <w:t xml:space="preserve"> </w:t>
            </w:r>
            <w:r>
              <w:rPr>
                <w:spacing w:val="11"/>
                <w:sz w:val="20"/>
                <w:szCs w:val="20"/>
              </w:rPr>
              <w:t>械拆解线、切割设备、</w:t>
            </w:r>
            <w:r>
              <w:rPr>
                <w:spacing w:val="2"/>
                <w:sz w:val="20"/>
                <w:szCs w:val="20"/>
              </w:rPr>
              <w:t xml:space="preserve"> </w:t>
            </w:r>
            <w:r>
              <w:rPr>
                <w:spacing w:val="-3"/>
                <w:sz w:val="20"/>
                <w:szCs w:val="20"/>
              </w:rPr>
              <w:t>破碎设备、专用容器等。</w:t>
            </w:r>
            <w:r>
              <w:rPr>
                <w:spacing w:val="2"/>
                <w:sz w:val="20"/>
                <w:szCs w:val="20"/>
              </w:rPr>
              <w:t xml:space="preserve"> </w:t>
            </w:r>
            <w:r>
              <w:rPr>
                <w:spacing w:val="10"/>
                <w:sz w:val="20"/>
                <w:szCs w:val="20"/>
              </w:rPr>
              <w:t>工作环境安全可靠。无</w:t>
            </w:r>
            <w:r>
              <w:rPr>
                <w:sz w:val="20"/>
                <w:szCs w:val="20"/>
              </w:rPr>
              <w:t xml:space="preserve"> </w:t>
            </w:r>
            <w:r>
              <w:rPr>
                <w:spacing w:val="7"/>
                <w:sz w:val="20"/>
                <w:szCs w:val="20"/>
              </w:rPr>
              <w:t>危险拆解工位。</w:t>
            </w:r>
          </w:p>
          <w:p w14:paraId="0B36796C">
            <w:pPr>
              <w:pStyle w:val="6"/>
              <w:spacing w:before="32" w:line="293" w:lineRule="auto"/>
              <w:ind w:left="114" w:right="45" w:firstLine="422"/>
              <w:rPr>
                <w:sz w:val="20"/>
                <w:szCs w:val="20"/>
              </w:rPr>
            </w:pPr>
            <w:r>
              <w:rPr>
                <w:spacing w:val="9"/>
                <w:sz w:val="20"/>
                <w:szCs w:val="20"/>
              </w:rPr>
              <w:t>本项目设备及车辆</w:t>
            </w:r>
            <w:r>
              <w:rPr>
                <w:spacing w:val="5"/>
                <w:sz w:val="20"/>
                <w:szCs w:val="20"/>
              </w:rPr>
              <w:t xml:space="preserve"> </w:t>
            </w:r>
            <w:r>
              <w:rPr>
                <w:spacing w:val="10"/>
                <w:sz w:val="20"/>
                <w:szCs w:val="20"/>
              </w:rPr>
              <w:t>不在厂区内清洗；本项</w:t>
            </w:r>
            <w:r>
              <w:rPr>
                <w:sz w:val="20"/>
                <w:szCs w:val="20"/>
              </w:rPr>
              <w:t xml:space="preserve"> </w:t>
            </w:r>
            <w:r>
              <w:rPr>
                <w:spacing w:val="10"/>
                <w:sz w:val="20"/>
                <w:szCs w:val="20"/>
              </w:rPr>
              <w:t>目收购来的报废农机运</w:t>
            </w:r>
            <w:r>
              <w:rPr>
                <w:sz w:val="20"/>
                <w:szCs w:val="20"/>
              </w:rPr>
              <w:t xml:space="preserve"> </w:t>
            </w:r>
            <w:r>
              <w:rPr>
                <w:spacing w:val="10"/>
                <w:sz w:val="20"/>
                <w:szCs w:val="20"/>
              </w:rPr>
              <w:t>至拆解车间内暂存，不</w:t>
            </w:r>
            <w:r>
              <w:rPr>
                <w:sz w:val="20"/>
                <w:szCs w:val="20"/>
              </w:rPr>
              <w:t xml:space="preserve"> </w:t>
            </w:r>
            <w:r>
              <w:rPr>
                <w:spacing w:val="10"/>
                <w:sz w:val="20"/>
                <w:szCs w:val="20"/>
              </w:rPr>
              <w:t>进行露天停放，不单独</w:t>
            </w:r>
            <w:r>
              <w:rPr>
                <w:sz w:val="20"/>
                <w:szCs w:val="20"/>
              </w:rPr>
              <w:t xml:space="preserve"> </w:t>
            </w:r>
            <w:r>
              <w:rPr>
                <w:spacing w:val="10"/>
                <w:sz w:val="20"/>
                <w:szCs w:val="20"/>
              </w:rPr>
              <w:t>设置停车坪；本项目车</w:t>
            </w:r>
            <w:r>
              <w:rPr>
                <w:sz w:val="20"/>
                <w:szCs w:val="20"/>
              </w:rPr>
              <w:t xml:space="preserve"> </w:t>
            </w:r>
            <w:r>
              <w:rPr>
                <w:spacing w:val="10"/>
                <w:sz w:val="20"/>
                <w:szCs w:val="20"/>
              </w:rPr>
              <w:t>间地面不清洗，地面如</w:t>
            </w:r>
            <w:r>
              <w:rPr>
                <w:sz w:val="20"/>
                <w:szCs w:val="20"/>
              </w:rPr>
              <w:t xml:space="preserve"> </w:t>
            </w:r>
            <w:r>
              <w:rPr>
                <w:spacing w:val="4"/>
                <w:sz w:val="20"/>
                <w:szCs w:val="20"/>
              </w:rPr>
              <w:t>有油渍，采用抹布</w:t>
            </w:r>
            <w:r>
              <w:rPr>
                <w:rFonts w:ascii="Times New Roman" w:hAnsi="Times New Roman" w:eastAsia="Times New Roman" w:cs="Times New Roman"/>
                <w:spacing w:val="4"/>
                <w:sz w:val="20"/>
                <w:szCs w:val="20"/>
              </w:rPr>
              <w:t>/</w:t>
            </w:r>
            <w:r>
              <w:rPr>
                <w:spacing w:val="4"/>
                <w:sz w:val="20"/>
                <w:szCs w:val="20"/>
              </w:rPr>
              <w:t>拖布</w:t>
            </w:r>
            <w:r>
              <w:rPr>
                <w:sz w:val="20"/>
                <w:szCs w:val="20"/>
              </w:rPr>
              <w:t xml:space="preserve"> </w:t>
            </w:r>
            <w:r>
              <w:rPr>
                <w:spacing w:val="4"/>
                <w:sz w:val="20"/>
                <w:szCs w:val="20"/>
              </w:rPr>
              <w:t>擦干，废抹布</w:t>
            </w:r>
            <w:r>
              <w:rPr>
                <w:rFonts w:ascii="Times New Roman" w:hAnsi="Times New Roman" w:eastAsia="Times New Roman" w:cs="Times New Roman"/>
                <w:spacing w:val="4"/>
                <w:sz w:val="20"/>
                <w:szCs w:val="20"/>
              </w:rPr>
              <w:t>/</w:t>
            </w:r>
            <w:r>
              <w:rPr>
                <w:spacing w:val="4"/>
                <w:sz w:val="20"/>
                <w:szCs w:val="20"/>
              </w:rPr>
              <w:t>拖布作为</w:t>
            </w:r>
            <w:r>
              <w:rPr>
                <w:sz w:val="20"/>
                <w:szCs w:val="20"/>
              </w:rPr>
              <w:t xml:space="preserve"> </w:t>
            </w:r>
            <w:r>
              <w:rPr>
                <w:spacing w:val="10"/>
                <w:sz w:val="20"/>
                <w:szCs w:val="20"/>
              </w:rPr>
              <w:t>危险废物暂存在危险废</w:t>
            </w:r>
            <w:r>
              <w:rPr>
                <w:sz w:val="20"/>
                <w:szCs w:val="20"/>
              </w:rPr>
              <w:t xml:space="preserve"> </w:t>
            </w:r>
            <w:r>
              <w:rPr>
                <w:spacing w:val="5"/>
                <w:sz w:val="20"/>
                <w:szCs w:val="20"/>
              </w:rPr>
              <w:t>物贮存库，</w:t>
            </w:r>
            <w:r>
              <w:rPr>
                <w:spacing w:val="-51"/>
                <w:sz w:val="20"/>
                <w:szCs w:val="20"/>
              </w:rPr>
              <w:t xml:space="preserve"> </w:t>
            </w:r>
            <w:r>
              <w:rPr>
                <w:spacing w:val="5"/>
                <w:sz w:val="20"/>
                <w:szCs w:val="20"/>
              </w:rPr>
              <w:t>由有资质单</w:t>
            </w:r>
            <w:r>
              <w:rPr>
                <w:sz w:val="20"/>
                <w:szCs w:val="20"/>
              </w:rPr>
              <w:t xml:space="preserve"> </w:t>
            </w:r>
            <w:r>
              <w:rPr>
                <w:spacing w:val="10"/>
                <w:sz w:val="20"/>
                <w:szCs w:val="20"/>
              </w:rPr>
              <w:t>位处理。本项目拆解区</w:t>
            </w:r>
            <w:r>
              <w:rPr>
                <w:sz w:val="20"/>
                <w:szCs w:val="20"/>
              </w:rPr>
              <w:t xml:space="preserve"> </w:t>
            </w:r>
            <w:r>
              <w:rPr>
                <w:spacing w:val="11"/>
                <w:sz w:val="20"/>
                <w:szCs w:val="20"/>
              </w:rPr>
              <w:t>切割工段设置集气罩，</w:t>
            </w:r>
            <w:r>
              <w:rPr>
                <w:spacing w:val="6"/>
                <w:sz w:val="20"/>
                <w:szCs w:val="20"/>
              </w:rPr>
              <w:t xml:space="preserve"> </w:t>
            </w:r>
            <w:r>
              <w:rPr>
                <w:spacing w:val="19"/>
                <w:sz w:val="20"/>
                <w:szCs w:val="20"/>
              </w:rPr>
              <w:t>收集的废气经</w:t>
            </w:r>
            <w:r>
              <w:rPr>
                <w:rFonts w:ascii="Times New Roman" w:hAnsi="Times New Roman" w:eastAsia="Times New Roman" w:cs="Times New Roman"/>
                <w:spacing w:val="19"/>
                <w:sz w:val="20"/>
                <w:szCs w:val="20"/>
              </w:rPr>
              <w:t>1</w:t>
            </w:r>
            <w:r>
              <w:rPr>
                <w:spacing w:val="19"/>
                <w:sz w:val="20"/>
                <w:szCs w:val="20"/>
              </w:rPr>
              <w:t>套布袋</w:t>
            </w:r>
            <w:r>
              <w:rPr>
                <w:spacing w:val="7"/>
                <w:sz w:val="20"/>
                <w:szCs w:val="20"/>
              </w:rPr>
              <w:t xml:space="preserve"> </w:t>
            </w:r>
            <w:r>
              <w:rPr>
                <w:spacing w:val="13"/>
                <w:sz w:val="20"/>
                <w:szCs w:val="20"/>
              </w:rPr>
              <w:t>除尘器处理后由</w:t>
            </w:r>
            <w:r>
              <w:rPr>
                <w:rFonts w:ascii="Times New Roman" w:hAnsi="Times New Roman" w:eastAsia="Times New Roman" w:cs="Times New Roman"/>
                <w:spacing w:val="13"/>
                <w:sz w:val="20"/>
                <w:szCs w:val="20"/>
              </w:rPr>
              <w:t>15m</w:t>
            </w:r>
            <w:r>
              <w:rPr>
                <w:spacing w:val="13"/>
                <w:sz w:val="20"/>
                <w:szCs w:val="20"/>
              </w:rPr>
              <w:t>高</w:t>
            </w:r>
            <w:r>
              <w:rPr>
                <w:spacing w:val="1"/>
                <w:sz w:val="20"/>
                <w:szCs w:val="20"/>
              </w:rPr>
              <w:t xml:space="preserve"> </w:t>
            </w:r>
            <w:r>
              <w:rPr>
                <w:spacing w:val="4"/>
                <w:sz w:val="20"/>
                <w:szCs w:val="20"/>
              </w:rPr>
              <w:t>排气筒排放（</w:t>
            </w:r>
            <w:r>
              <w:rPr>
                <w:rFonts w:ascii="Times New Roman" w:hAnsi="Times New Roman" w:eastAsia="Times New Roman" w:cs="Times New Roman"/>
                <w:sz w:val="20"/>
                <w:szCs w:val="20"/>
              </w:rPr>
              <w:t>DA</w:t>
            </w:r>
            <w:r>
              <w:rPr>
                <w:rFonts w:ascii="Times New Roman" w:hAnsi="Times New Roman" w:eastAsia="Times New Roman" w:cs="Times New Roman"/>
                <w:spacing w:val="4"/>
                <w:sz w:val="20"/>
                <w:szCs w:val="20"/>
              </w:rPr>
              <w:t>001</w:t>
            </w:r>
            <w:r>
              <w:rPr>
                <w:spacing w:val="-37"/>
                <w:sz w:val="20"/>
                <w:szCs w:val="20"/>
              </w:rPr>
              <w:t>）；</w:t>
            </w:r>
            <w:r>
              <w:rPr>
                <w:spacing w:val="1"/>
                <w:sz w:val="20"/>
                <w:szCs w:val="20"/>
              </w:rPr>
              <w:t xml:space="preserve"> </w:t>
            </w:r>
            <w:r>
              <w:rPr>
                <w:spacing w:val="10"/>
                <w:sz w:val="20"/>
                <w:szCs w:val="20"/>
              </w:rPr>
              <w:t>抽油液工段与危险废物</w:t>
            </w:r>
            <w:r>
              <w:rPr>
                <w:sz w:val="20"/>
                <w:szCs w:val="20"/>
              </w:rPr>
              <w:t xml:space="preserve"> </w:t>
            </w:r>
            <w:r>
              <w:rPr>
                <w:spacing w:val="20"/>
                <w:sz w:val="20"/>
                <w:szCs w:val="20"/>
              </w:rPr>
              <w:t>贮存库共用</w:t>
            </w:r>
            <w:r>
              <w:rPr>
                <w:rFonts w:ascii="Times New Roman" w:hAnsi="Times New Roman" w:eastAsia="Times New Roman" w:cs="Times New Roman"/>
                <w:spacing w:val="20"/>
                <w:sz w:val="20"/>
                <w:szCs w:val="20"/>
              </w:rPr>
              <w:t>1</w:t>
            </w:r>
            <w:r>
              <w:rPr>
                <w:spacing w:val="20"/>
                <w:sz w:val="20"/>
                <w:szCs w:val="20"/>
              </w:rPr>
              <w:t>套设置集</w:t>
            </w:r>
            <w:r>
              <w:rPr>
                <w:sz w:val="20"/>
                <w:szCs w:val="20"/>
              </w:rPr>
              <w:t xml:space="preserve"> 气装置，收集的废气经</w:t>
            </w:r>
            <w:r>
              <w:rPr>
                <w:rFonts w:ascii="Times New Roman" w:hAnsi="Times New Roman" w:eastAsia="Times New Roman" w:cs="Times New Roman"/>
                <w:sz w:val="20"/>
                <w:szCs w:val="20"/>
              </w:rPr>
              <w:t xml:space="preserve">1  </w:t>
            </w:r>
            <w:r>
              <w:rPr>
                <w:spacing w:val="10"/>
                <w:sz w:val="20"/>
                <w:szCs w:val="20"/>
              </w:rPr>
              <w:t>套活性碳吸附装置处理</w:t>
            </w:r>
            <w:r>
              <w:rPr>
                <w:sz w:val="20"/>
                <w:szCs w:val="20"/>
              </w:rPr>
              <w:t xml:space="preserve"> </w:t>
            </w:r>
            <w:r>
              <w:rPr>
                <w:spacing w:val="13"/>
                <w:sz w:val="20"/>
                <w:szCs w:val="20"/>
              </w:rPr>
              <w:t>后由</w:t>
            </w:r>
            <w:r>
              <w:rPr>
                <w:rFonts w:ascii="Times New Roman" w:hAnsi="Times New Roman" w:eastAsia="Times New Roman" w:cs="Times New Roman"/>
                <w:spacing w:val="13"/>
                <w:sz w:val="20"/>
                <w:szCs w:val="20"/>
              </w:rPr>
              <w:t>15m</w:t>
            </w:r>
            <w:r>
              <w:rPr>
                <w:spacing w:val="13"/>
                <w:sz w:val="20"/>
                <w:szCs w:val="20"/>
              </w:rPr>
              <w:t>高排气筒排放</w:t>
            </w:r>
            <w:r>
              <w:rPr>
                <w:spacing w:val="1"/>
                <w:sz w:val="20"/>
                <w:szCs w:val="20"/>
              </w:rPr>
              <w:t xml:space="preserve"> </w:t>
            </w:r>
            <w:r>
              <w:rPr>
                <w:spacing w:val="5"/>
                <w:sz w:val="20"/>
                <w:szCs w:val="20"/>
              </w:rPr>
              <w:t>（</w:t>
            </w:r>
            <w:r>
              <w:rPr>
                <w:rFonts w:ascii="Times New Roman" w:hAnsi="Times New Roman" w:eastAsia="Times New Roman" w:cs="Times New Roman"/>
                <w:sz w:val="20"/>
                <w:szCs w:val="20"/>
              </w:rPr>
              <w:t>DA</w:t>
            </w:r>
            <w:r>
              <w:rPr>
                <w:rFonts w:ascii="Times New Roman" w:hAnsi="Times New Roman" w:eastAsia="Times New Roman" w:cs="Times New Roman"/>
                <w:spacing w:val="5"/>
                <w:sz w:val="20"/>
                <w:szCs w:val="20"/>
              </w:rPr>
              <w:t>002</w:t>
            </w:r>
            <w:r>
              <w:rPr>
                <w:spacing w:val="5"/>
                <w:sz w:val="20"/>
                <w:szCs w:val="20"/>
              </w:rPr>
              <w:t>）。</w:t>
            </w:r>
          </w:p>
        </w:tc>
        <w:tc>
          <w:tcPr>
            <w:tcW w:w="1145" w:type="dxa"/>
            <w:vMerge w:val="continue"/>
            <w:tcBorders>
              <w:top w:val="nil"/>
              <w:bottom w:val="single" w:color="000000" w:sz="10" w:space="0"/>
              <w:right w:val="single" w:color="000000" w:sz="10" w:space="0"/>
            </w:tcBorders>
            <w:vAlign w:val="top"/>
          </w:tcPr>
          <w:p w14:paraId="1FC73054">
            <w:pPr>
              <w:rPr>
                <w:rFonts w:ascii="Arial"/>
                <w:sz w:val="21"/>
              </w:rPr>
            </w:pPr>
          </w:p>
        </w:tc>
      </w:tr>
    </w:tbl>
    <w:p w14:paraId="0A567C71">
      <w:pPr>
        <w:pStyle w:val="2"/>
        <w:spacing w:line="128" w:lineRule="exact"/>
        <w:rPr>
          <w:sz w:val="11"/>
        </w:rPr>
      </w:pPr>
    </w:p>
    <w:p w14:paraId="4C8EB63E">
      <w:pPr>
        <w:spacing w:line="128" w:lineRule="exact"/>
        <w:rPr>
          <w:sz w:val="11"/>
          <w:szCs w:val="11"/>
        </w:rPr>
        <w:sectPr>
          <w:footerReference r:id="rId17"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728CA6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5" w:hRule="atLeast"/>
        </w:trPr>
        <w:tc>
          <w:tcPr>
            <w:tcW w:w="494" w:type="dxa"/>
            <w:vMerge w:val="restart"/>
            <w:tcBorders>
              <w:top w:val="single" w:color="000000" w:sz="10" w:space="0"/>
              <w:left w:val="single" w:color="000000" w:sz="10" w:space="0"/>
              <w:bottom w:val="nil"/>
            </w:tcBorders>
            <w:vAlign w:val="top"/>
          </w:tcPr>
          <w:p w14:paraId="47178E30">
            <w:pPr>
              <w:rPr>
                <w:rFonts w:ascii="Arial"/>
                <w:sz w:val="21"/>
              </w:rPr>
            </w:pPr>
          </w:p>
        </w:tc>
        <w:tc>
          <w:tcPr>
            <w:tcW w:w="547" w:type="dxa"/>
            <w:vMerge w:val="restart"/>
            <w:tcBorders>
              <w:top w:val="single" w:color="000000" w:sz="10" w:space="0"/>
              <w:bottom w:val="nil"/>
            </w:tcBorders>
            <w:vAlign w:val="top"/>
          </w:tcPr>
          <w:p w14:paraId="52CB43DB">
            <w:pPr>
              <w:rPr>
                <w:rFonts w:ascii="Arial"/>
                <w:sz w:val="21"/>
              </w:rPr>
            </w:pPr>
          </w:p>
        </w:tc>
        <w:tc>
          <w:tcPr>
            <w:tcW w:w="436" w:type="dxa"/>
            <w:vMerge w:val="restart"/>
            <w:tcBorders>
              <w:top w:val="single" w:color="000000" w:sz="10" w:space="0"/>
              <w:bottom w:val="nil"/>
            </w:tcBorders>
            <w:vAlign w:val="top"/>
          </w:tcPr>
          <w:p w14:paraId="5D4927A3">
            <w:pPr>
              <w:rPr>
                <w:rFonts w:ascii="Arial"/>
                <w:sz w:val="21"/>
              </w:rPr>
            </w:pPr>
          </w:p>
        </w:tc>
        <w:tc>
          <w:tcPr>
            <w:tcW w:w="560" w:type="dxa"/>
            <w:tcBorders>
              <w:top w:val="single" w:color="000000" w:sz="10" w:space="0"/>
            </w:tcBorders>
            <w:vAlign w:val="top"/>
          </w:tcPr>
          <w:p w14:paraId="249F2856">
            <w:pPr>
              <w:rPr>
                <w:rFonts w:ascii="Arial"/>
                <w:sz w:val="21"/>
              </w:rPr>
            </w:pPr>
          </w:p>
        </w:tc>
        <w:tc>
          <w:tcPr>
            <w:tcW w:w="3422" w:type="dxa"/>
            <w:tcBorders>
              <w:top w:val="single" w:color="000000" w:sz="10" w:space="0"/>
            </w:tcBorders>
            <w:vAlign w:val="top"/>
          </w:tcPr>
          <w:p w14:paraId="51BD19BD">
            <w:pPr>
              <w:rPr>
                <w:rFonts w:ascii="Arial"/>
                <w:sz w:val="21"/>
              </w:rPr>
            </w:pPr>
          </w:p>
        </w:tc>
        <w:tc>
          <w:tcPr>
            <w:tcW w:w="2318" w:type="dxa"/>
            <w:tcBorders>
              <w:top w:val="single" w:color="000000" w:sz="10" w:space="0"/>
            </w:tcBorders>
            <w:vAlign w:val="top"/>
          </w:tcPr>
          <w:p w14:paraId="779F4C60">
            <w:pPr>
              <w:pStyle w:val="6"/>
              <w:spacing w:before="72" w:line="280" w:lineRule="auto"/>
              <w:ind w:left="122" w:right="97" w:firstLine="416"/>
              <w:rPr>
                <w:sz w:val="20"/>
                <w:szCs w:val="20"/>
              </w:rPr>
            </w:pPr>
            <w:r>
              <w:rPr>
                <w:spacing w:val="9"/>
                <w:sz w:val="20"/>
                <w:szCs w:val="20"/>
              </w:rPr>
              <w:t>项目配备电脑、拍</w:t>
            </w:r>
            <w:r>
              <w:rPr>
                <w:spacing w:val="2"/>
                <w:sz w:val="20"/>
                <w:szCs w:val="20"/>
              </w:rPr>
              <w:t xml:space="preserve"> </w:t>
            </w:r>
            <w:r>
              <w:rPr>
                <w:spacing w:val="7"/>
                <w:sz w:val="20"/>
                <w:szCs w:val="20"/>
              </w:rPr>
              <w:t>照设备和监控设备。</w:t>
            </w:r>
          </w:p>
          <w:p w14:paraId="306DC68E">
            <w:pPr>
              <w:pStyle w:val="6"/>
              <w:spacing w:before="30" w:line="282" w:lineRule="auto"/>
              <w:ind w:left="140" w:right="97" w:firstLine="396"/>
              <w:rPr>
                <w:sz w:val="20"/>
                <w:szCs w:val="20"/>
              </w:rPr>
            </w:pPr>
            <w:r>
              <w:rPr>
                <w:spacing w:val="9"/>
                <w:sz w:val="20"/>
                <w:szCs w:val="20"/>
              </w:rPr>
              <w:t>本项目不涉及拆解</w:t>
            </w:r>
            <w:r>
              <w:rPr>
                <w:spacing w:val="5"/>
                <w:sz w:val="20"/>
                <w:szCs w:val="20"/>
              </w:rPr>
              <w:t xml:space="preserve"> 电动自走式农业机械。</w:t>
            </w:r>
          </w:p>
          <w:p w14:paraId="33FD2D78">
            <w:pPr>
              <w:pStyle w:val="6"/>
              <w:spacing w:before="29" w:line="269" w:lineRule="auto"/>
              <w:ind w:left="115" w:right="26" w:firstLine="423"/>
              <w:rPr>
                <w:sz w:val="20"/>
                <w:szCs w:val="20"/>
              </w:rPr>
            </w:pPr>
            <w:r>
              <w:rPr>
                <w:spacing w:val="39"/>
                <w:sz w:val="20"/>
                <w:szCs w:val="20"/>
              </w:rPr>
              <w:t>建立设备管理制</w:t>
            </w:r>
            <w:r>
              <w:rPr>
                <w:spacing w:val="2"/>
                <w:sz w:val="20"/>
                <w:szCs w:val="20"/>
              </w:rPr>
              <w:t xml:space="preserve"> </w:t>
            </w:r>
            <w:r>
              <w:rPr>
                <w:spacing w:val="-3"/>
                <w:sz w:val="20"/>
                <w:szCs w:val="20"/>
              </w:rPr>
              <w:t>度，制定设备操作规程，</w:t>
            </w:r>
            <w:r>
              <w:rPr>
                <w:spacing w:val="2"/>
                <w:sz w:val="20"/>
                <w:szCs w:val="20"/>
              </w:rPr>
              <w:t xml:space="preserve"> </w:t>
            </w:r>
            <w:r>
              <w:rPr>
                <w:spacing w:val="-3"/>
                <w:sz w:val="20"/>
                <w:szCs w:val="20"/>
              </w:rPr>
              <w:t>并定期维护保养、更新。</w:t>
            </w:r>
          </w:p>
        </w:tc>
        <w:tc>
          <w:tcPr>
            <w:tcW w:w="1145" w:type="dxa"/>
            <w:vMerge w:val="restart"/>
            <w:tcBorders>
              <w:top w:val="single" w:color="000000" w:sz="10" w:space="0"/>
              <w:bottom w:val="nil"/>
              <w:right w:val="single" w:color="000000" w:sz="10" w:space="0"/>
            </w:tcBorders>
            <w:vAlign w:val="top"/>
          </w:tcPr>
          <w:p w14:paraId="4EFEB347">
            <w:pPr>
              <w:rPr>
                <w:rFonts w:ascii="Arial"/>
                <w:sz w:val="21"/>
              </w:rPr>
            </w:pPr>
          </w:p>
          <w:p w14:paraId="40F9FEC5">
            <w:pPr>
              <w:rPr>
                <w:rFonts w:ascii="Arial"/>
                <w:sz w:val="21"/>
              </w:rPr>
            </w:pPr>
          </w:p>
          <w:p w14:paraId="7C12C5D8">
            <w:pPr>
              <w:rPr>
                <w:rFonts w:ascii="Arial"/>
                <w:sz w:val="21"/>
              </w:rPr>
            </w:pPr>
          </w:p>
          <w:p w14:paraId="04422987">
            <w:pPr>
              <w:rPr>
                <w:rFonts w:ascii="Arial"/>
                <w:sz w:val="21"/>
              </w:rPr>
            </w:pPr>
          </w:p>
          <w:p w14:paraId="38B0A211">
            <w:pPr>
              <w:rPr>
                <w:rFonts w:ascii="Arial"/>
                <w:sz w:val="21"/>
              </w:rPr>
            </w:pPr>
          </w:p>
          <w:p w14:paraId="559158B9">
            <w:pPr>
              <w:rPr>
                <w:rFonts w:ascii="Arial"/>
                <w:sz w:val="21"/>
              </w:rPr>
            </w:pPr>
          </w:p>
          <w:p w14:paraId="44C332E8">
            <w:pPr>
              <w:rPr>
                <w:rFonts w:ascii="Arial"/>
                <w:sz w:val="21"/>
              </w:rPr>
            </w:pPr>
          </w:p>
          <w:p w14:paraId="2F5022BA">
            <w:pPr>
              <w:rPr>
                <w:rFonts w:ascii="Arial"/>
                <w:sz w:val="21"/>
              </w:rPr>
            </w:pPr>
          </w:p>
          <w:p w14:paraId="7560D608">
            <w:pPr>
              <w:rPr>
                <w:rFonts w:ascii="Arial"/>
                <w:sz w:val="21"/>
              </w:rPr>
            </w:pPr>
          </w:p>
          <w:p w14:paraId="05F297F3">
            <w:pPr>
              <w:spacing w:line="241" w:lineRule="auto"/>
              <w:rPr>
                <w:rFonts w:ascii="Arial"/>
                <w:sz w:val="21"/>
              </w:rPr>
            </w:pPr>
          </w:p>
          <w:p w14:paraId="7E55A646">
            <w:pPr>
              <w:spacing w:line="241" w:lineRule="auto"/>
              <w:rPr>
                <w:rFonts w:ascii="Arial"/>
                <w:sz w:val="21"/>
              </w:rPr>
            </w:pPr>
          </w:p>
          <w:p w14:paraId="54138B95">
            <w:pPr>
              <w:spacing w:line="241" w:lineRule="auto"/>
              <w:rPr>
                <w:rFonts w:ascii="Arial"/>
                <w:sz w:val="21"/>
              </w:rPr>
            </w:pPr>
          </w:p>
          <w:p w14:paraId="63F7DB79">
            <w:pPr>
              <w:spacing w:line="241" w:lineRule="auto"/>
              <w:rPr>
                <w:rFonts w:ascii="Arial"/>
                <w:sz w:val="21"/>
              </w:rPr>
            </w:pPr>
          </w:p>
          <w:p w14:paraId="2C268B02">
            <w:pPr>
              <w:spacing w:line="241" w:lineRule="auto"/>
              <w:rPr>
                <w:rFonts w:ascii="Arial"/>
                <w:sz w:val="21"/>
              </w:rPr>
            </w:pPr>
          </w:p>
          <w:p w14:paraId="4820D9C0">
            <w:pPr>
              <w:spacing w:line="241" w:lineRule="auto"/>
              <w:rPr>
                <w:rFonts w:ascii="Arial"/>
                <w:sz w:val="21"/>
              </w:rPr>
            </w:pPr>
          </w:p>
          <w:p w14:paraId="2A0F1095">
            <w:pPr>
              <w:spacing w:line="241" w:lineRule="auto"/>
              <w:rPr>
                <w:rFonts w:ascii="Arial"/>
                <w:sz w:val="21"/>
              </w:rPr>
            </w:pPr>
          </w:p>
          <w:p w14:paraId="11C08E02">
            <w:pPr>
              <w:spacing w:line="241" w:lineRule="auto"/>
              <w:rPr>
                <w:rFonts w:ascii="Arial"/>
                <w:sz w:val="21"/>
              </w:rPr>
            </w:pPr>
          </w:p>
          <w:p w14:paraId="716001E1">
            <w:pPr>
              <w:spacing w:line="241" w:lineRule="auto"/>
              <w:rPr>
                <w:rFonts w:ascii="Arial"/>
                <w:sz w:val="21"/>
              </w:rPr>
            </w:pPr>
          </w:p>
          <w:p w14:paraId="247EC37B">
            <w:pPr>
              <w:spacing w:line="241" w:lineRule="auto"/>
              <w:rPr>
                <w:rFonts w:ascii="Arial"/>
                <w:sz w:val="21"/>
              </w:rPr>
            </w:pPr>
          </w:p>
          <w:p w14:paraId="62A6C553">
            <w:pPr>
              <w:spacing w:line="241" w:lineRule="auto"/>
              <w:rPr>
                <w:rFonts w:ascii="Arial"/>
                <w:sz w:val="21"/>
              </w:rPr>
            </w:pPr>
          </w:p>
          <w:p w14:paraId="78F41DA7">
            <w:pPr>
              <w:spacing w:line="241" w:lineRule="auto"/>
              <w:rPr>
                <w:rFonts w:ascii="Arial"/>
                <w:sz w:val="21"/>
              </w:rPr>
            </w:pPr>
          </w:p>
          <w:p w14:paraId="3FD865C1">
            <w:pPr>
              <w:spacing w:line="241" w:lineRule="auto"/>
              <w:rPr>
                <w:rFonts w:ascii="Arial"/>
                <w:sz w:val="21"/>
              </w:rPr>
            </w:pPr>
          </w:p>
          <w:p w14:paraId="7BBC69CB">
            <w:pPr>
              <w:spacing w:line="241" w:lineRule="auto"/>
              <w:rPr>
                <w:rFonts w:ascii="Arial"/>
                <w:sz w:val="21"/>
              </w:rPr>
            </w:pPr>
          </w:p>
          <w:p w14:paraId="6AFB74FC">
            <w:pPr>
              <w:spacing w:line="241" w:lineRule="auto"/>
              <w:rPr>
                <w:rFonts w:ascii="Arial"/>
                <w:sz w:val="21"/>
              </w:rPr>
            </w:pPr>
          </w:p>
          <w:p w14:paraId="0D9E38BA">
            <w:pPr>
              <w:spacing w:line="241" w:lineRule="auto"/>
              <w:rPr>
                <w:rFonts w:ascii="Arial"/>
                <w:sz w:val="21"/>
              </w:rPr>
            </w:pPr>
          </w:p>
          <w:p w14:paraId="3B49873E">
            <w:pPr>
              <w:spacing w:line="241" w:lineRule="auto"/>
              <w:rPr>
                <w:rFonts w:ascii="Arial"/>
                <w:sz w:val="21"/>
              </w:rPr>
            </w:pPr>
          </w:p>
          <w:p w14:paraId="7327F37A">
            <w:pPr>
              <w:spacing w:line="241" w:lineRule="auto"/>
              <w:rPr>
                <w:rFonts w:ascii="Arial"/>
                <w:sz w:val="21"/>
              </w:rPr>
            </w:pPr>
          </w:p>
          <w:p w14:paraId="167C0C6D">
            <w:pPr>
              <w:spacing w:line="241" w:lineRule="auto"/>
              <w:rPr>
                <w:rFonts w:ascii="Arial"/>
                <w:sz w:val="21"/>
              </w:rPr>
            </w:pPr>
          </w:p>
          <w:p w14:paraId="50929FFD">
            <w:pPr>
              <w:spacing w:line="241" w:lineRule="auto"/>
              <w:rPr>
                <w:rFonts w:ascii="Arial"/>
                <w:sz w:val="21"/>
              </w:rPr>
            </w:pPr>
          </w:p>
          <w:p w14:paraId="53CA784A">
            <w:pPr>
              <w:spacing w:line="241" w:lineRule="auto"/>
              <w:rPr>
                <w:rFonts w:ascii="Arial"/>
                <w:sz w:val="21"/>
              </w:rPr>
            </w:pPr>
          </w:p>
          <w:p w14:paraId="264AEF73">
            <w:pPr>
              <w:spacing w:line="241" w:lineRule="auto"/>
              <w:rPr>
                <w:rFonts w:ascii="Arial"/>
                <w:sz w:val="21"/>
              </w:rPr>
            </w:pPr>
          </w:p>
          <w:p w14:paraId="68F0984D">
            <w:pPr>
              <w:spacing w:line="241" w:lineRule="auto"/>
              <w:rPr>
                <w:rFonts w:ascii="Arial"/>
                <w:sz w:val="21"/>
              </w:rPr>
            </w:pPr>
          </w:p>
          <w:p w14:paraId="1B3F6323">
            <w:pPr>
              <w:spacing w:line="241" w:lineRule="auto"/>
              <w:rPr>
                <w:rFonts w:ascii="Arial"/>
                <w:sz w:val="21"/>
              </w:rPr>
            </w:pPr>
          </w:p>
          <w:p w14:paraId="5C768B68">
            <w:pPr>
              <w:pStyle w:val="6"/>
              <w:spacing w:before="65" w:line="228" w:lineRule="auto"/>
              <w:ind w:left="320"/>
              <w:rPr>
                <w:sz w:val="20"/>
                <w:szCs w:val="20"/>
              </w:rPr>
            </w:pPr>
            <w:r>
              <w:rPr>
                <w:spacing w:val="3"/>
                <w:sz w:val="20"/>
                <w:szCs w:val="20"/>
              </w:rPr>
              <w:t>符合</w:t>
            </w:r>
          </w:p>
        </w:tc>
      </w:tr>
      <w:tr w14:paraId="03F3DC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876" w:hRule="atLeast"/>
        </w:trPr>
        <w:tc>
          <w:tcPr>
            <w:tcW w:w="494" w:type="dxa"/>
            <w:vMerge w:val="continue"/>
            <w:tcBorders>
              <w:top w:val="nil"/>
              <w:left w:val="single" w:color="000000" w:sz="10" w:space="0"/>
              <w:bottom w:val="single" w:color="000000" w:sz="10" w:space="0"/>
            </w:tcBorders>
            <w:vAlign w:val="top"/>
          </w:tcPr>
          <w:p w14:paraId="6944A4A8">
            <w:pPr>
              <w:rPr>
                <w:rFonts w:ascii="Arial"/>
                <w:sz w:val="21"/>
              </w:rPr>
            </w:pPr>
          </w:p>
        </w:tc>
        <w:tc>
          <w:tcPr>
            <w:tcW w:w="547" w:type="dxa"/>
            <w:vMerge w:val="continue"/>
            <w:tcBorders>
              <w:top w:val="nil"/>
              <w:bottom w:val="single" w:color="000000" w:sz="10" w:space="0"/>
            </w:tcBorders>
            <w:vAlign w:val="top"/>
          </w:tcPr>
          <w:p w14:paraId="64F6C673">
            <w:pPr>
              <w:rPr>
                <w:rFonts w:ascii="Arial"/>
                <w:sz w:val="21"/>
              </w:rPr>
            </w:pPr>
          </w:p>
        </w:tc>
        <w:tc>
          <w:tcPr>
            <w:tcW w:w="436" w:type="dxa"/>
            <w:vMerge w:val="continue"/>
            <w:tcBorders>
              <w:top w:val="nil"/>
              <w:bottom w:val="single" w:color="000000" w:sz="10" w:space="0"/>
            </w:tcBorders>
            <w:vAlign w:val="top"/>
          </w:tcPr>
          <w:p w14:paraId="044E6978">
            <w:pPr>
              <w:rPr>
                <w:rFonts w:ascii="Arial"/>
                <w:sz w:val="21"/>
              </w:rPr>
            </w:pPr>
          </w:p>
        </w:tc>
        <w:tc>
          <w:tcPr>
            <w:tcW w:w="560" w:type="dxa"/>
            <w:tcBorders>
              <w:bottom w:val="single" w:color="000000" w:sz="10" w:space="0"/>
            </w:tcBorders>
            <w:vAlign w:val="top"/>
          </w:tcPr>
          <w:p w14:paraId="7555012C">
            <w:pPr>
              <w:rPr>
                <w:rFonts w:ascii="Arial"/>
                <w:sz w:val="21"/>
              </w:rPr>
            </w:pPr>
          </w:p>
          <w:p w14:paraId="434CAAF2">
            <w:pPr>
              <w:rPr>
                <w:rFonts w:ascii="Arial"/>
                <w:sz w:val="21"/>
              </w:rPr>
            </w:pPr>
          </w:p>
          <w:p w14:paraId="390C7D75">
            <w:pPr>
              <w:spacing w:line="241" w:lineRule="auto"/>
              <w:rPr>
                <w:rFonts w:ascii="Arial"/>
                <w:sz w:val="21"/>
              </w:rPr>
            </w:pPr>
          </w:p>
          <w:p w14:paraId="6E00F770">
            <w:pPr>
              <w:spacing w:line="241" w:lineRule="auto"/>
              <w:rPr>
                <w:rFonts w:ascii="Arial"/>
                <w:sz w:val="21"/>
              </w:rPr>
            </w:pPr>
          </w:p>
          <w:p w14:paraId="343BCA80">
            <w:pPr>
              <w:spacing w:line="241" w:lineRule="auto"/>
              <w:rPr>
                <w:rFonts w:ascii="Arial"/>
                <w:sz w:val="21"/>
              </w:rPr>
            </w:pPr>
          </w:p>
          <w:p w14:paraId="2BF238AC">
            <w:pPr>
              <w:spacing w:line="241" w:lineRule="auto"/>
              <w:rPr>
                <w:rFonts w:ascii="Arial"/>
                <w:sz w:val="21"/>
              </w:rPr>
            </w:pPr>
          </w:p>
          <w:p w14:paraId="330698D3">
            <w:pPr>
              <w:spacing w:line="241" w:lineRule="auto"/>
              <w:rPr>
                <w:rFonts w:ascii="Arial"/>
                <w:sz w:val="21"/>
              </w:rPr>
            </w:pPr>
          </w:p>
          <w:p w14:paraId="6750CF28">
            <w:pPr>
              <w:spacing w:line="241" w:lineRule="auto"/>
              <w:rPr>
                <w:rFonts w:ascii="Arial"/>
                <w:sz w:val="21"/>
              </w:rPr>
            </w:pPr>
          </w:p>
          <w:p w14:paraId="1EA97573">
            <w:pPr>
              <w:spacing w:line="241" w:lineRule="auto"/>
              <w:rPr>
                <w:rFonts w:ascii="Arial"/>
                <w:sz w:val="21"/>
              </w:rPr>
            </w:pPr>
          </w:p>
          <w:p w14:paraId="4EB00FD2">
            <w:pPr>
              <w:spacing w:line="241" w:lineRule="auto"/>
              <w:rPr>
                <w:rFonts w:ascii="Arial"/>
                <w:sz w:val="21"/>
              </w:rPr>
            </w:pPr>
          </w:p>
          <w:p w14:paraId="462E5974">
            <w:pPr>
              <w:spacing w:line="241" w:lineRule="auto"/>
              <w:rPr>
                <w:rFonts w:ascii="Arial"/>
                <w:sz w:val="21"/>
              </w:rPr>
            </w:pPr>
          </w:p>
          <w:p w14:paraId="1AF4BA8A">
            <w:pPr>
              <w:spacing w:line="241" w:lineRule="auto"/>
              <w:rPr>
                <w:rFonts w:ascii="Arial"/>
                <w:sz w:val="21"/>
              </w:rPr>
            </w:pPr>
          </w:p>
          <w:p w14:paraId="7796F4C1">
            <w:pPr>
              <w:spacing w:line="241" w:lineRule="auto"/>
              <w:rPr>
                <w:rFonts w:ascii="Arial"/>
                <w:sz w:val="21"/>
              </w:rPr>
            </w:pPr>
          </w:p>
          <w:p w14:paraId="1ACFCFDD">
            <w:pPr>
              <w:spacing w:line="241" w:lineRule="auto"/>
              <w:rPr>
                <w:rFonts w:ascii="Arial"/>
                <w:sz w:val="21"/>
              </w:rPr>
            </w:pPr>
          </w:p>
          <w:p w14:paraId="48D74EA5">
            <w:pPr>
              <w:spacing w:line="241" w:lineRule="auto"/>
              <w:rPr>
                <w:rFonts w:ascii="Arial"/>
                <w:sz w:val="21"/>
              </w:rPr>
            </w:pPr>
          </w:p>
          <w:p w14:paraId="336ED812">
            <w:pPr>
              <w:spacing w:line="241" w:lineRule="auto"/>
              <w:rPr>
                <w:rFonts w:ascii="Arial"/>
                <w:sz w:val="21"/>
              </w:rPr>
            </w:pPr>
          </w:p>
          <w:p w14:paraId="3A15529A">
            <w:pPr>
              <w:spacing w:line="241" w:lineRule="auto"/>
              <w:rPr>
                <w:rFonts w:ascii="Arial"/>
                <w:sz w:val="21"/>
              </w:rPr>
            </w:pPr>
          </w:p>
          <w:p w14:paraId="57705E33">
            <w:pPr>
              <w:spacing w:line="241" w:lineRule="auto"/>
              <w:rPr>
                <w:rFonts w:ascii="Arial"/>
                <w:sz w:val="21"/>
              </w:rPr>
            </w:pPr>
          </w:p>
          <w:p w14:paraId="68AEE784">
            <w:pPr>
              <w:spacing w:line="241" w:lineRule="auto"/>
              <w:rPr>
                <w:rFonts w:ascii="Arial"/>
                <w:sz w:val="21"/>
              </w:rPr>
            </w:pPr>
          </w:p>
          <w:p w14:paraId="4BAD3548">
            <w:pPr>
              <w:spacing w:line="241" w:lineRule="auto"/>
              <w:rPr>
                <w:rFonts w:ascii="Arial"/>
                <w:sz w:val="21"/>
              </w:rPr>
            </w:pPr>
          </w:p>
          <w:p w14:paraId="77089687">
            <w:pPr>
              <w:pStyle w:val="6"/>
              <w:spacing w:before="73" w:line="275" w:lineRule="auto"/>
              <w:ind w:left="111" w:right="147" w:hanging="2"/>
              <w:jc w:val="both"/>
              <w:rPr>
                <w:sz w:val="20"/>
                <w:szCs w:val="20"/>
              </w:rPr>
            </w:pPr>
            <w:r>
              <w:rPr>
                <w:rFonts w:ascii="Calibri" w:hAnsi="Calibri" w:eastAsia="Calibri" w:cs="Calibri"/>
                <w:spacing w:val="-2"/>
              </w:rPr>
              <w:t>4.5</w:t>
            </w:r>
            <w:r>
              <w:rPr>
                <w:rFonts w:ascii="Calibri" w:hAnsi="Calibri" w:eastAsia="Calibri" w:cs="Calibri"/>
              </w:rPr>
              <w:t xml:space="preserve"> </w:t>
            </w:r>
            <w:r>
              <w:rPr>
                <w:sz w:val="20"/>
                <w:szCs w:val="20"/>
              </w:rPr>
              <w:t>信  息  管  理  要  求</w:t>
            </w:r>
          </w:p>
        </w:tc>
        <w:tc>
          <w:tcPr>
            <w:tcW w:w="3422" w:type="dxa"/>
            <w:tcBorders>
              <w:bottom w:val="single" w:color="000000" w:sz="10" w:space="0"/>
            </w:tcBorders>
            <w:vAlign w:val="top"/>
          </w:tcPr>
          <w:p w14:paraId="36C3C22A">
            <w:pPr>
              <w:spacing w:line="302" w:lineRule="auto"/>
              <w:rPr>
                <w:rFonts w:ascii="Arial"/>
                <w:sz w:val="21"/>
              </w:rPr>
            </w:pPr>
          </w:p>
          <w:p w14:paraId="306D9DE5">
            <w:pPr>
              <w:spacing w:line="303" w:lineRule="auto"/>
              <w:rPr>
                <w:rFonts w:ascii="Arial"/>
                <w:sz w:val="21"/>
              </w:rPr>
            </w:pPr>
          </w:p>
          <w:p w14:paraId="3BE0D49B">
            <w:pPr>
              <w:spacing w:line="303" w:lineRule="auto"/>
              <w:rPr>
                <w:rFonts w:ascii="Arial"/>
                <w:sz w:val="21"/>
              </w:rPr>
            </w:pPr>
          </w:p>
          <w:p w14:paraId="2ED0365D">
            <w:pPr>
              <w:pStyle w:val="6"/>
              <w:spacing w:before="73" w:line="277" w:lineRule="auto"/>
              <w:ind w:left="112" w:right="109" w:firstLine="478"/>
              <w:rPr>
                <w:sz w:val="20"/>
                <w:szCs w:val="20"/>
              </w:rPr>
            </w:pPr>
            <w:r>
              <w:rPr>
                <w:rFonts w:ascii="Calibri" w:hAnsi="Calibri" w:eastAsia="Calibri" w:cs="Calibri"/>
                <w:spacing w:val="15"/>
              </w:rPr>
              <w:t>4.5.1</w:t>
            </w:r>
            <w:r>
              <w:rPr>
                <w:spacing w:val="15"/>
                <w:sz w:val="20"/>
                <w:szCs w:val="20"/>
              </w:rPr>
              <w:t>在报废农业机械拆解及</w:t>
            </w:r>
            <w:r>
              <w:rPr>
                <w:spacing w:val="4"/>
                <w:sz w:val="20"/>
                <w:szCs w:val="20"/>
              </w:rPr>
              <w:t xml:space="preserve"> </w:t>
            </w:r>
            <w:r>
              <w:rPr>
                <w:spacing w:val="12"/>
                <w:sz w:val="20"/>
                <w:szCs w:val="20"/>
              </w:rPr>
              <w:t>主要总成解体销毁过程中，至少对</w:t>
            </w:r>
            <w:r>
              <w:rPr>
                <w:spacing w:val="13"/>
                <w:sz w:val="20"/>
                <w:szCs w:val="20"/>
              </w:rPr>
              <w:t xml:space="preserve"> </w:t>
            </w:r>
            <w:r>
              <w:rPr>
                <w:spacing w:val="12"/>
                <w:sz w:val="20"/>
                <w:szCs w:val="20"/>
              </w:rPr>
              <w:t>回收确认、零部件拆解、对机体等</w:t>
            </w:r>
            <w:r>
              <w:rPr>
                <w:spacing w:val="13"/>
                <w:sz w:val="20"/>
                <w:szCs w:val="20"/>
              </w:rPr>
              <w:t xml:space="preserve"> </w:t>
            </w:r>
            <w:r>
              <w:rPr>
                <w:spacing w:val="19"/>
                <w:sz w:val="20"/>
                <w:szCs w:val="20"/>
              </w:rPr>
              <w:t>零部件拆分或压扁破碎</w:t>
            </w:r>
            <w:r>
              <w:rPr>
                <w:rFonts w:ascii="Times New Roman" w:hAnsi="Times New Roman" w:eastAsia="Times New Roman" w:cs="Times New Roman"/>
                <w:spacing w:val="19"/>
                <w:sz w:val="20"/>
                <w:szCs w:val="20"/>
              </w:rPr>
              <w:t>3</w:t>
            </w:r>
            <w:r>
              <w:rPr>
                <w:spacing w:val="19"/>
                <w:sz w:val="20"/>
                <w:szCs w:val="20"/>
              </w:rPr>
              <w:t>个环节进</w:t>
            </w:r>
            <w:r>
              <w:rPr>
                <w:spacing w:val="8"/>
                <w:sz w:val="20"/>
                <w:szCs w:val="20"/>
              </w:rPr>
              <w:t xml:space="preserve"> </w:t>
            </w:r>
            <w:r>
              <w:rPr>
                <w:spacing w:val="6"/>
                <w:sz w:val="20"/>
                <w:szCs w:val="20"/>
              </w:rPr>
              <w:t>行录像监控，应剪辑保留</w:t>
            </w:r>
            <w:r>
              <w:rPr>
                <w:rFonts w:ascii="Times New Roman" w:hAnsi="Times New Roman" w:eastAsia="Times New Roman" w:cs="Times New Roman"/>
                <w:spacing w:val="6"/>
                <w:sz w:val="20"/>
                <w:szCs w:val="20"/>
              </w:rPr>
              <w:t>10s</w:t>
            </w:r>
            <w:r>
              <w:rPr>
                <w:spacing w:val="6"/>
                <w:sz w:val="20"/>
                <w:szCs w:val="20"/>
              </w:rPr>
              <w:t>以上的</w:t>
            </w:r>
            <w:r>
              <w:rPr>
                <w:spacing w:val="13"/>
                <w:sz w:val="20"/>
                <w:szCs w:val="20"/>
              </w:rPr>
              <w:t xml:space="preserve"> </w:t>
            </w:r>
            <w:r>
              <w:rPr>
                <w:spacing w:val="12"/>
                <w:sz w:val="20"/>
                <w:szCs w:val="20"/>
              </w:rPr>
              <w:t>重要时段视频资料进行存档，同时</w:t>
            </w:r>
            <w:r>
              <w:rPr>
                <w:spacing w:val="13"/>
                <w:sz w:val="20"/>
                <w:szCs w:val="20"/>
              </w:rPr>
              <w:t xml:space="preserve"> </w:t>
            </w:r>
            <w:r>
              <w:rPr>
                <w:spacing w:val="12"/>
                <w:sz w:val="20"/>
                <w:szCs w:val="20"/>
              </w:rPr>
              <w:t>拍摄（或截图）机体解体销毁前、</w:t>
            </w:r>
            <w:r>
              <w:rPr>
                <w:spacing w:val="13"/>
                <w:sz w:val="20"/>
                <w:szCs w:val="20"/>
              </w:rPr>
              <w:t xml:space="preserve"> </w:t>
            </w:r>
            <w:r>
              <w:rPr>
                <w:spacing w:val="5"/>
                <w:sz w:val="20"/>
                <w:szCs w:val="20"/>
              </w:rPr>
              <w:t>中、后的照片各</w:t>
            </w:r>
            <w:r>
              <w:rPr>
                <w:rFonts w:ascii="Times New Roman" w:hAnsi="Times New Roman" w:eastAsia="Times New Roman" w:cs="Times New Roman"/>
                <w:spacing w:val="5"/>
                <w:sz w:val="20"/>
                <w:szCs w:val="20"/>
              </w:rPr>
              <w:t>1</w:t>
            </w:r>
            <w:r>
              <w:rPr>
                <w:spacing w:val="5"/>
                <w:sz w:val="20"/>
                <w:szCs w:val="20"/>
              </w:rPr>
              <w:t>张。相关信息的保</w:t>
            </w:r>
            <w:r>
              <w:rPr>
                <w:spacing w:val="13"/>
                <w:sz w:val="20"/>
                <w:szCs w:val="20"/>
              </w:rPr>
              <w:t xml:space="preserve"> </w:t>
            </w:r>
            <w:r>
              <w:rPr>
                <w:spacing w:val="7"/>
                <w:sz w:val="20"/>
                <w:szCs w:val="20"/>
              </w:rPr>
              <w:t>存期限不应少于</w:t>
            </w:r>
            <w:r>
              <w:rPr>
                <w:rFonts w:ascii="Times New Roman" w:hAnsi="Times New Roman" w:eastAsia="Times New Roman" w:cs="Times New Roman"/>
                <w:spacing w:val="7"/>
                <w:sz w:val="20"/>
                <w:szCs w:val="20"/>
              </w:rPr>
              <w:t>5</w:t>
            </w:r>
            <w:r>
              <w:rPr>
                <w:spacing w:val="7"/>
                <w:sz w:val="20"/>
                <w:szCs w:val="20"/>
              </w:rPr>
              <w:t>年。</w:t>
            </w:r>
          </w:p>
          <w:p w14:paraId="1C3B3AB0">
            <w:pPr>
              <w:pStyle w:val="6"/>
              <w:spacing w:before="68" w:line="277" w:lineRule="auto"/>
              <w:ind w:left="113" w:right="107" w:firstLine="477"/>
              <w:rPr>
                <w:sz w:val="20"/>
                <w:szCs w:val="20"/>
              </w:rPr>
            </w:pPr>
            <w:r>
              <w:rPr>
                <w:rFonts w:ascii="Calibri" w:hAnsi="Calibri" w:eastAsia="Calibri" w:cs="Calibri"/>
                <w:spacing w:val="15"/>
              </w:rPr>
              <w:t>4.5.2</w:t>
            </w:r>
            <w:r>
              <w:rPr>
                <w:spacing w:val="15"/>
                <w:sz w:val="20"/>
                <w:szCs w:val="20"/>
              </w:rPr>
              <w:t>拆解企业根据生产企业</w:t>
            </w:r>
            <w:r>
              <w:rPr>
                <w:spacing w:val="4"/>
                <w:sz w:val="20"/>
                <w:szCs w:val="20"/>
              </w:rPr>
              <w:t xml:space="preserve"> </w:t>
            </w:r>
            <w:r>
              <w:rPr>
                <w:spacing w:val="12"/>
                <w:sz w:val="20"/>
                <w:szCs w:val="20"/>
              </w:rPr>
              <w:t xml:space="preserve">提供的产品说明书、产品图册编制 拆解作业流程图，保证零部件和材 料可再回收利用。拆解作业流程图 </w:t>
            </w:r>
            <w:r>
              <w:rPr>
                <w:spacing w:val="13"/>
                <w:sz w:val="20"/>
                <w:szCs w:val="20"/>
              </w:rPr>
              <w:t>应详细注明拆解流程，拆解方法，</w:t>
            </w:r>
            <w:r>
              <w:rPr>
                <w:sz w:val="20"/>
                <w:szCs w:val="20"/>
              </w:rPr>
              <w:t xml:space="preserve"> </w:t>
            </w:r>
            <w:r>
              <w:rPr>
                <w:spacing w:val="12"/>
                <w:sz w:val="20"/>
                <w:szCs w:val="20"/>
              </w:rPr>
              <w:t xml:space="preserve">所需设备或工具，拆解后物料的搬 运、储存，并做好标识：对于复杂 </w:t>
            </w:r>
            <w:r>
              <w:rPr>
                <w:spacing w:val="13"/>
                <w:sz w:val="20"/>
                <w:szCs w:val="20"/>
              </w:rPr>
              <w:t>产品或部件，需编制拆解作业指导</w:t>
            </w:r>
            <w:r>
              <w:rPr>
                <w:sz w:val="20"/>
                <w:szCs w:val="20"/>
              </w:rPr>
              <w:t xml:space="preserve"> 书。</w:t>
            </w:r>
          </w:p>
          <w:p w14:paraId="18E0908B">
            <w:pPr>
              <w:pStyle w:val="6"/>
              <w:spacing w:before="68" w:line="281" w:lineRule="auto"/>
              <w:ind w:left="112" w:right="39" w:firstLine="478"/>
              <w:rPr>
                <w:sz w:val="20"/>
                <w:szCs w:val="20"/>
              </w:rPr>
            </w:pPr>
            <w:r>
              <w:rPr>
                <w:rFonts w:ascii="Calibri" w:hAnsi="Calibri" w:eastAsia="Calibri" w:cs="Calibri"/>
                <w:spacing w:val="15"/>
              </w:rPr>
              <w:t>4.5.3</w:t>
            </w:r>
            <w:r>
              <w:rPr>
                <w:spacing w:val="15"/>
                <w:sz w:val="20"/>
                <w:szCs w:val="20"/>
              </w:rPr>
              <w:t>应建立报废农业机械回</w:t>
            </w:r>
            <w:r>
              <w:rPr>
                <w:spacing w:val="4"/>
                <w:sz w:val="20"/>
                <w:szCs w:val="20"/>
              </w:rPr>
              <w:t xml:space="preserve"> </w:t>
            </w:r>
            <w:r>
              <w:rPr>
                <w:spacing w:val="12"/>
                <w:sz w:val="20"/>
                <w:szCs w:val="20"/>
              </w:rPr>
              <w:t>收拆解档案和数据库，对回收报废</w:t>
            </w:r>
            <w:r>
              <w:rPr>
                <w:spacing w:val="13"/>
                <w:sz w:val="20"/>
                <w:szCs w:val="20"/>
              </w:rPr>
              <w:t xml:space="preserve"> </w:t>
            </w:r>
            <w:r>
              <w:rPr>
                <w:spacing w:val="12"/>
                <w:sz w:val="20"/>
                <w:szCs w:val="20"/>
              </w:rPr>
              <w:t>的农业机械逐台登记：记录农业机</w:t>
            </w:r>
            <w:r>
              <w:rPr>
                <w:spacing w:val="13"/>
                <w:sz w:val="20"/>
                <w:szCs w:val="20"/>
              </w:rPr>
              <w:t xml:space="preserve"> </w:t>
            </w:r>
            <w:r>
              <w:rPr>
                <w:spacing w:val="12"/>
                <w:sz w:val="20"/>
                <w:szCs w:val="20"/>
              </w:rPr>
              <w:t>械和所有者信息，信息主要包括：</w:t>
            </w:r>
            <w:r>
              <w:rPr>
                <w:sz w:val="20"/>
                <w:szCs w:val="20"/>
              </w:rPr>
              <w:t xml:space="preserve">  </w:t>
            </w:r>
            <w:r>
              <w:rPr>
                <w:spacing w:val="12"/>
                <w:sz w:val="20"/>
                <w:szCs w:val="20"/>
              </w:rPr>
              <w:t>机主（单位或个人）名称、证件号</w:t>
            </w:r>
            <w:r>
              <w:rPr>
                <w:spacing w:val="13"/>
                <w:sz w:val="20"/>
                <w:szCs w:val="20"/>
              </w:rPr>
              <w:t xml:space="preserve"> </w:t>
            </w:r>
            <w:r>
              <w:rPr>
                <w:spacing w:val="10"/>
                <w:sz w:val="20"/>
                <w:szCs w:val="20"/>
              </w:rPr>
              <w:t>码、牌照号码（适用时）</w:t>
            </w:r>
            <w:r>
              <w:rPr>
                <w:spacing w:val="-57"/>
                <w:sz w:val="20"/>
                <w:szCs w:val="20"/>
              </w:rPr>
              <w:t xml:space="preserve"> </w:t>
            </w:r>
            <w:r>
              <w:rPr>
                <w:spacing w:val="10"/>
                <w:sz w:val="20"/>
                <w:szCs w:val="20"/>
              </w:rPr>
              <w:t>、品牌型</w:t>
            </w:r>
            <w:r>
              <w:rPr>
                <w:sz w:val="20"/>
                <w:szCs w:val="20"/>
              </w:rPr>
              <w:t xml:space="preserve"> </w:t>
            </w:r>
            <w:r>
              <w:rPr>
                <w:spacing w:val="4"/>
                <w:sz w:val="20"/>
                <w:szCs w:val="20"/>
              </w:rPr>
              <w:t>号、机架号、发动机号、出厂年份、</w:t>
            </w:r>
            <w:r>
              <w:rPr>
                <w:sz w:val="20"/>
                <w:szCs w:val="20"/>
              </w:rPr>
              <w:t xml:space="preserve"> </w:t>
            </w:r>
            <w:r>
              <w:rPr>
                <w:spacing w:val="12"/>
                <w:sz w:val="20"/>
                <w:szCs w:val="20"/>
              </w:rPr>
              <w:t>接收或收购日期等：记录回收、拆</w:t>
            </w:r>
            <w:r>
              <w:rPr>
                <w:spacing w:val="13"/>
                <w:sz w:val="20"/>
                <w:szCs w:val="20"/>
              </w:rPr>
              <w:t xml:space="preserve"> 解、废弃物处理及拆解后零部件、</w:t>
            </w:r>
            <w:r>
              <w:rPr>
                <w:spacing w:val="12"/>
                <w:sz w:val="20"/>
                <w:szCs w:val="20"/>
              </w:rPr>
              <w:t xml:space="preserve"> </w:t>
            </w:r>
            <w:r>
              <w:rPr>
                <w:spacing w:val="22"/>
                <w:sz w:val="20"/>
                <w:szCs w:val="20"/>
              </w:rPr>
              <w:t>材料和废弃物的数量</w:t>
            </w:r>
            <w:r>
              <w:rPr>
                <w:rFonts w:ascii="Times New Roman" w:hAnsi="Times New Roman" w:eastAsia="Times New Roman" w:cs="Times New Roman"/>
                <w:spacing w:val="22"/>
                <w:sz w:val="20"/>
                <w:szCs w:val="20"/>
              </w:rPr>
              <w:t>/</w:t>
            </w:r>
            <w:r>
              <w:rPr>
                <w:spacing w:val="22"/>
                <w:sz w:val="20"/>
                <w:szCs w:val="20"/>
              </w:rPr>
              <w:t>重量和流向</w:t>
            </w:r>
            <w:r>
              <w:rPr>
                <w:spacing w:val="10"/>
                <w:sz w:val="20"/>
                <w:szCs w:val="20"/>
              </w:rPr>
              <w:t xml:space="preserve"> </w:t>
            </w:r>
            <w:r>
              <w:rPr>
                <w:spacing w:val="12"/>
                <w:sz w:val="20"/>
                <w:szCs w:val="20"/>
              </w:rPr>
              <w:t>等，并做好标识，处理批次和拆解</w:t>
            </w:r>
            <w:r>
              <w:rPr>
                <w:spacing w:val="13"/>
                <w:sz w:val="20"/>
                <w:szCs w:val="20"/>
              </w:rPr>
              <w:t xml:space="preserve"> </w:t>
            </w:r>
            <w:r>
              <w:rPr>
                <w:spacing w:val="12"/>
                <w:sz w:val="20"/>
                <w:szCs w:val="20"/>
              </w:rPr>
              <w:t>数量与重量应统一；纸质档案保存</w:t>
            </w:r>
            <w:r>
              <w:rPr>
                <w:spacing w:val="13"/>
                <w:sz w:val="20"/>
                <w:szCs w:val="20"/>
              </w:rPr>
              <w:t xml:space="preserve"> </w:t>
            </w:r>
            <w:r>
              <w:rPr>
                <w:spacing w:val="5"/>
                <w:sz w:val="20"/>
                <w:szCs w:val="20"/>
              </w:rPr>
              <w:t>期限不应少于</w:t>
            </w:r>
            <w:r>
              <w:rPr>
                <w:rFonts w:ascii="Times New Roman" w:hAnsi="Times New Roman" w:eastAsia="Times New Roman" w:cs="Times New Roman"/>
                <w:spacing w:val="5"/>
                <w:sz w:val="20"/>
                <w:szCs w:val="20"/>
              </w:rPr>
              <w:t>3</w:t>
            </w:r>
            <w:r>
              <w:rPr>
                <w:spacing w:val="5"/>
                <w:sz w:val="20"/>
                <w:szCs w:val="20"/>
              </w:rPr>
              <w:t>年，备份的电子档案</w:t>
            </w:r>
            <w:r>
              <w:rPr>
                <w:spacing w:val="13"/>
                <w:sz w:val="20"/>
                <w:szCs w:val="20"/>
              </w:rPr>
              <w:t xml:space="preserve"> </w:t>
            </w:r>
            <w:r>
              <w:rPr>
                <w:spacing w:val="8"/>
                <w:sz w:val="20"/>
                <w:szCs w:val="20"/>
              </w:rPr>
              <w:t>和数据库，保存期限不应少于</w:t>
            </w:r>
            <w:r>
              <w:rPr>
                <w:rFonts w:ascii="Times New Roman" w:hAnsi="Times New Roman" w:eastAsia="Times New Roman" w:cs="Times New Roman"/>
                <w:spacing w:val="8"/>
                <w:sz w:val="20"/>
                <w:szCs w:val="20"/>
              </w:rPr>
              <w:t>5</w:t>
            </w:r>
            <w:r>
              <w:rPr>
                <w:spacing w:val="8"/>
                <w:sz w:val="20"/>
                <w:szCs w:val="20"/>
              </w:rPr>
              <w:t>年。</w:t>
            </w:r>
          </w:p>
        </w:tc>
        <w:tc>
          <w:tcPr>
            <w:tcW w:w="2318" w:type="dxa"/>
            <w:tcBorders>
              <w:bottom w:val="single" w:color="000000" w:sz="10" w:space="0"/>
            </w:tcBorders>
            <w:vAlign w:val="top"/>
          </w:tcPr>
          <w:p w14:paraId="44F4766B">
            <w:pPr>
              <w:pStyle w:val="6"/>
              <w:spacing w:before="82" w:line="293" w:lineRule="auto"/>
              <w:ind w:left="114" w:right="96" w:firstLine="422"/>
              <w:rPr>
                <w:sz w:val="20"/>
                <w:szCs w:val="20"/>
              </w:rPr>
            </w:pPr>
            <w:r>
              <w:rPr>
                <w:spacing w:val="9"/>
                <w:sz w:val="20"/>
                <w:szCs w:val="20"/>
              </w:rPr>
              <w:t>本项目在对农机在</w:t>
            </w:r>
            <w:r>
              <w:rPr>
                <w:spacing w:val="5"/>
                <w:sz w:val="20"/>
                <w:szCs w:val="20"/>
              </w:rPr>
              <w:t xml:space="preserve"> </w:t>
            </w:r>
            <w:r>
              <w:rPr>
                <w:spacing w:val="10"/>
                <w:sz w:val="20"/>
                <w:szCs w:val="20"/>
              </w:rPr>
              <w:t>报废农业机械拆解及主</w:t>
            </w:r>
            <w:r>
              <w:rPr>
                <w:sz w:val="20"/>
                <w:szCs w:val="20"/>
              </w:rPr>
              <w:t xml:space="preserve"> </w:t>
            </w:r>
            <w:r>
              <w:rPr>
                <w:spacing w:val="33"/>
                <w:sz w:val="20"/>
                <w:szCs w:val="20"/>
              </w:rPr>
              <w:t>要总成解体销毁过程</w:t>
            </w:r>
            <w:r>
              <w:rPr>
                <w:spacing w:val="2"/>
                <w:sz w:val="20"/>
                <w:szCs w:val="20"/>
              </w:rPr>
              <w:t xml:space="preserve"> </w:t>
            </w:r>
            <w:r>
              <w:rPr>
                <w:spacing w:val="10"/>
                <w:sz w:val="20"/>
                <w:szCs w:val="20"/>
              </w:rPr>
              <w:t>中，对回收确认、零部</w:t>
            </w:r>
            <w:r>
              <w:rPr>
                <w:sz w:val="20"/>
                <w:szCs w:val="20"/>
              </w:rPr>
              <w:t xml:space="preserve"> </w:t>
            </w:r>
            <w:r>
              <w:rPr>
                <w:spacing w:val="10"/>
                <w:sz w:val="20"/>
                <w:szCs w:val="20"/>
              </w:rPr>
              <w:t>件拆解、对机体等零部</w:t>
            </w:r>
            <w:r>
              <w:rPr>
                <w:sz w:val="20"/>
                <w:szCs w:val="20"/>
              </w:rPr>
              <w:t xml:space="preserve"> </w:t>
            </w:r>
            <w:r>
              <w:rPr>
                <w:spacing w:val="10"/>
                <w:sz w:val="20"/>
                <w:szCs w:val="20"/>
              </w:rPr>
              <w:t>件拆分或压扁破碎等环</w:t>
            </w:r>
            <w:r>
              <w:rPr>
                <w:sz w:val="20"/>
                <w:szCs w:val="20"/>
              </w:rPr>
              <w:t xml:space="preserve"> </w:t>
            </w:r>
            <w:r>
              <w:rPr>
                <w:spacing w:val="10"/>
                <w:sz w:val="20"/>
                <w:szCs w:val="20"/>
              </w:rPr>
              <w:t>节进行录像监控，剪辑</w:t>
            </w:r>
            <w:r>
              <w:rPr>
                <w:sz w:val="20"/>
                <w:szCs w:val="20"/>
              </w:rPr>
              <w:t xml:space="preserve"> </w:t>
            </w:r>
            <w:r>
              <w:rPr>
                <w:spacing w:val="20"/>
                <w:sz w:val="20"/>
                <w:szCs w:val="20"/>
              </w:rPr>
              <w:t>保留</w:t>
            </w:r>
            <w:r>
              <w:rPr>
                <w:rFonts w:ascii="Times New Roman" w:hAnsi="Times New Roman" w:eastAsia="Times New Roman" w:cs="Times New Roman"/>
                <w:spacing w:val="20"/>
                <w:sz w:val="20"/>
                <w:szCs w:val="20"/>
              </w:rPr>
              <w:t>10s</w:t>
            </w:r>
            <w:r>
              <w:rPr>
                <w:spacing w:val="20"/>
                <w:sz w:val="20"/>
                <w:szCs w:val="20"/>
              </w:rPr>
              <w:t>以上的重要时</w:t>
            </w:r>
            <w:r>
              <w:rPr>
                <w:spacing w:val="2"/>
                <w:sz w:val="20"/>
                <w:szCs w:val="20"/>
              </w:rPr>
              <w:t xml:space="preserve"> </w:t>
            </w:r>
            <w:r>
              <w:rPr>
                <w:spacing w:val="10"/>
                <w:sz w:val="20"/>
                <w:szCs w:val="20"/>
              </w:rPr>
              <w:t>段视频资料进行存档，</w:t>
            </w:r>
            <w:r>
              <w:rPr>
                <w:spacing w:val="1"/>
                <w:sz w:val="20"/>
                <w:szCs w:val="20"/>
              </w:rPr>
              <w:t xml:space="preserve"> </w:t>
            </w:r>
            <w:r>
              <w:rPr>
                <w:spacing w:val="10"/>
                <w:sz w:val="20"/>
                <w:szCs w:val="20"/>
              </w:rPr>
              <w:t>同时拍摄机体解体销毁</w:t>
            </w:r>
            <w:r>
              <w:rPr>
                <w:sz w:val="20"/>
                <w:szCs w:val="20"/>
              </w:rPr>
              <w:t xml:space="preserve"> </w:t>
            </w:r>
            <w:r>
              <w:rPr>
                <w:spacing w:val="15"/>
                <w:sz w:val="20"/>
                <w:szCs w:val="20"/>
              </w:rPr>
              <w:t>前、</w:t>
            </w:r>
            <w:r>
              <w:rPr>
                <w:spacing w:val="-49"/>
                <w:sz w:val="20"/>
                <w:szCs w:val="20"/>
              </w:rPr>
              <w:t xml:space="preserve"> </w:t>
            </w:r>
            <w:r>
              <w:rPr>
                <w:spacing w:val="15"/>
                <w:sz w:val="20"/>
                <w:szCs w:val="20"/>
              </w:rPr>
              <w:t>中、后的照片各</w:t>
            </w:r>
            <w:r>
              <w:rPr>
                <w:rFonts w:ascii="Times New Roman" w:hAnsi="Times New Roman" w:eastAsia="Times New Roman" w:cs="Times New Roman"/>
                <w:spacing w:val="15"/>
                <w:sz w:val="20"/>
                <w:szCs w:val="20"/>
              </w:rPr>
              <w:t>1</w:t>
            </w:r>
            <w:r>
              <w:rPr>
                <w:rFonts w:ascii="Times New Roman" w:hAnsi="Times New Roman" w:eastAsia="Times New Roman" w:cs="Times New Roman"/>
                <w:sz w:val="20"/>
                <w:szCs w:val="20"/>
              </w:rPr>
              <w:t xml:space="preserve"> </w:t>
            </w:r>
            <w:r>
              <w:rPr>
                <w:spacing w:val="10"/>
                <w:sz w:val="20"/>
                <w:szCs w:val="20"/>
              </w:rPr>
              <w:t>张。相关信息的保存期</w:t>
            </w:r>
            <w:r>
              <w:rPr>
                <w:sz w:val="20"/>
                <w:szCs w:val="20"/>
              </w:rPr>
              <w:t xml:space="preserve"> </w:t>
            </w:r>
            <w:r>
              <w:rPr>
                <w:spacing w:val="6"/>
                <w:sz w:val="20"/>
                <w:szCs w:val="20"/>
              </w:rPr>
              <w:t>限不少于</w:t>
            </w:r>
            <w:r>
              <w:rPr>
                <w:rFonts w:ascii="Times New Roman" w:hAnsi="Times New Roman" w:eastAsia="Times New Roman" w:cs="Times New Roman"/>
                <w:spacing w:val="6"/>
                <w:sz w:val="20"/>
                <w:szCs w:val="20"/>
              </w:rPr>
              <w:t>5</w:t>
            </w:r>
            <w:r>
              <w:rPr>
                <w:spacing w:val="6"/>
                <w:sz w:val="20"/>
                <w:szCs w:val="20"/>
              </w:rPr>
              <w:t>年。</w:t>
            </w:r>
          </w:p>
          <w:p w14:paraId="7916DB60">
            <w:pPr>
              <w:pStyle w:val="6"/>
              <w:spacing w:before="30" w:line="293" w:lineRule="auto"/>
              <w:ind w:left="115" w:right="97" w:firstLine="420"/>
              <w:rPr>
                <w:sz w:val="20"/>
                <w:szCs w:val="20"/>
              </w:rPr>
            </w:pPr>
            <w:r>
              <w:rPr>
                <w:spacing w:val="9"/>
                <w:sz w:val="20"/>
                <w:szCs w:val="20"/>
              </w:rPr>
              <w:t>根据生产企业提供</w:t>
            </w:r>
            <w:r>
              <w:rPr>
                <w:spacing w:val="6"/>
                <w:sz w:val="20"/>
                <w:szCs w:val="20"/>
              </w:rPr>
              <w:t xml:space="preserve"> </w:t>
            </w:r>
            <w:r>
              <w:rPr>
                <w:spacing w:val="9"/>
                <w:sz w:val="20"/>
                <w:szCs w:val="20"/>
              </w:rPr>
              <w:t>的产品说明书、产品图</w:t>
            </w:r>
            <w:r>
              <w:rPr>
                <w:spacing w:val="8"/>
                <w:sz w:val="20"/>
                <w:szCs w:val="20"/>
              </w:rPr>
              <w:t xml:space="preserve"> </w:t>
            </w:r>
            <w:r>
              <w:rPr>
                <w:spacing w:val="33"/>
                <w:sz w:val="20"/>
                <w:szCs w:val="20"/>
              </w:rPr>
              <w:t>册编制拆解作业流程</w:t>
            </w:r>
            <w:r>
              <w:rPr>
                <w:spacing w:val="2"/>
                <w:sz w:val="20"/>
                <w:szCs w:val="20"/>
              </w:rPr>
              <w:t xml:space="preserve"> </w:t>
            </w:r>
            <w:r>
              <w:rPr>
                <w:spacing w:val="9"/>
                <w:sz w:val="20"/>
                <w:szCs w:val="20"/>
              </w:rPr>
              <w:t>图，保证零部件和材料</w:t>
            </w:r>
            <w:r>
              <w:rPr>
                <w:spacing w:val="8"/>
                <w:sz w:val="20"/>
                <w:szCs w:val="20"/>
              </w:rPr>
              <w:t xml:space="preserve"> </w:t>
            </w:r>
            <w:r>
              <w:rPr>
                <w:spacing w:val="9"/>
                <w:sz w:val="20"/>
                <w:szCs w:val="20"/>
              </w:rPr>
              <w:t>可再回收利用。拆解作</w:t>
            </w:r>
            <w:r>
              <w:rPr>
                <w:spacing w:val="8"/>
                <w:sz w:val="20"/>
                <w:szCs w:val="20"/>
              </w:rPr>
              <w:t xml:space="preserve"> </w:t>
            </w:r>
            <w:r>
              <w:rPr>
                <w:spacing w:val="9"/>
                <w:sz w:val="20"/>
                <w:szCs w:val="20"/>
              </w:rPr>
              <w:t>业流程图中注明拆解流</w:t>
            </w:r>
            <w:r>
              <w:rPr>
                <w:spacing w:val="8"/>
                <w:sz w:val="20"/>
                <w:szCs w:val="20"/>
              </w:rPr>
              <w:t xml:space="preserve"> </w:t>
            </w:r>
            <w:r>
              <w:rPr>
                <w:spacing w:val="9"/>
                <w:sz w:val="20"/>
                <w:szCs w:val="20"/>
              </w:rPr>
              <w:t>程，拆解方法，所需设</w:t>
            </w:r>
            <w:r>
              <w:rPr>
                <w:spacing w:val="8"/>
                <w:sz w:val="20"/>
                <w:szCs w:val="20"/>
              </w:rPr>
              <w:t xml:space="preserve"> </w:t>
            </w:r>
            <w:r>
              <w:rPr>
                <w:spacing w:val="9"/>
                <w:sz w:val="20"/>
                <w:szCs w:val="20"/>
              </w:rPr>
              <w:t>备及工具，拆解后物料</w:t>
            </w:r>
            <w:r>
              <w:rPr>
                <w:spacing w:val="8"/>
                <w:sz w:val="20"/>
                <w:szCs w:val="20"/>
              </w:rPr>
              <w:t xml:space="preserve"> </w:t>
            </w:r>
            <w:r>
              <w:rPr>
                <w:spacing w:val="9"/>
                <w:sz w:val="20"/>
                <w:szCs w:val="20"/>
              </w:rPr>
              <w:t>的搬运、储存，并做好</w:t>
            </w:r>
            <w:r>
              <w:rPr>
                <w:spacing w:val="8"/>
                <w:sz w:val="20"/>
                <w:szCs w:val="20"/>
              </w:rPr>
              <w:t xml:space="preserve"> </w:t>
            </w:r>
            <w:r>
              <w:rPr>
                <w:spacing w:val="9"/>
                <w:sz w:val="20"/>
                <w:szCs w:val="20"/>
              </w:rPr>
              <w:t>标识：对于复杂产品或</w:t>
            </w:r>
            <w:r>
              <w:rPr>
                <w:spacing w:val="8"/>
                <w:sz w:val="20"/>
                <w:szCs w:val="20"/>
              </w:rPr>
              <w:t xml:space="preserve"> </w:t>
            </w:r>
            <w:r>
              <w:rPr>
                <w:spacing w:val="9"/>
                <w:sz w:val="20"/>
                <w:szCs w:val="20"/>
              </w:rPr>
              <w:t>部件，并编制拆解作业</w:t>
            </w:r>
            <w:r>
              <w:rPr>
                <w:spacing w:val="8"/>
                <w:sz w:val="20"/>
                <w:szCs w:val="20"/>
              </w:rPr>
              <w:t xml:space="preserve"> </w:t>
            </w:r>
            <w:r>
              <w:rPr>
                <w:spacing w:val="5"/>
                <w:sz w:val="20"/>
                <w:szCs w:val="20"/>
              </w:rPr>
              <w:t>指导书。</w:t>
            </w:r>
          </w:p>
          <w:p w14:paraId="4858F1D4">
            <w:pPr>
              <w:pStyle w:val="6"/>
              <w:spacing w:before="34" w:line="291" w:lineRule="auto"/>
              <w:ind w:left="115" w:right="26" w:firstLine="421"/>
              <w:rPr>
                <w:sz w:val="20"/>
                <w:szCs w:val="20"/>
              </w:rPr>
            </w:pPr>
            <w:r>
              <w:rPr>
                <w:spacing w:val="9"/>
                <w:sz w:val="20"/>
                <w:szCs w:val="20"/>
              </w:rPr>
              <w:t>本项目对报废农业</w:t>
            </w:r>
            <w:r>
              <w:rPr>
                <w:spacing w:val="5"/>
                <w:sz w:val="20"/>
                <w:szCs w:val="20"/>
              </w:rPr>
              <w:t xml:space="preserve"> </w:t>
            </w:r>
            <w:r>
              <w:rPr>
                <w:spacing w:val="9"/>
                <w:sz w:val="20"/>
                <w:szCs w:val="20"/>
              </w:rPr>
              <w:t>机械进行逐台登记，记</w:t>
            </w:r>
            <w:r>
              <w:rPr>
                <w:spacing w:val="8"/>
                <w:sz w:val="20"/>
                <w:szCs w:val="20"/>
              </w:rPr>
              <w:t xml:space="preserve"> </w:t>
            </w:r>
            <w:r>
              <w:rPr>
                <w:spacing w:val="10"/>
                <w:sz w:val="20"/>
                <w:szCs w:val="20"/>
              </w:rPr>
              <w:t>录流向。建立报废农业</w:t>
            </w:r>
            <w:r>
              <w:rPr>
                <w:sz w:val="20"/>
                <w:szCs w:val="20"/>
              </w:rPr>
              <w:t xml:space="preserve"> </w:t>
            </w:r>
            <w:r>
              <w:rPr>
                <w:spacing w:val="9"/>
                <w:sz w:val="20"/>
                <w:szCs w:val="20"/>
              </w:rPr>
              <w:t>机械回收拆解档案和数</w:t>
            </w:r>
            <w:r>
              <w:rPr>
                <w:spacing w:val="8"/>
                <w:sz w:val="20"/>
                <w:szCs w:val="20"/>
              </w:rPr>
              <w:t xml:space="preserve"> </w:t>
            </w:r>
            <w:r>
              <w:rPr>
                <w:spacing w:val="9"/>
                <w:sz w:val="20"/>
                <w:szCs w:val="20"/>
              </w:rPr>
              <w:t>据库，对回收报废的农</w:t>
            </w:r>
            <w:r>
              <w:rPr>
                <w:spacing w:val="8"/>
                <w:sz w:val="20"/>
                <w:szCs w:val="20"/>
              </w:rPr>
              <w:t xml:space="preserve"> </w:t>
            </w:r>
            <w:r>
              <w:rPr>
                <w:spacing w:val="9"/>
                <w:sz w:val="20"/>
                <w:szCs w:val="20"/>
              </w:rPr>
              <w:t>业机械逐台登记：记录</w:t>
            </w:r>
            <w:r>
              <w:rPr>
                <w:spacing w:val="8"/>
                <w:sz w:val="20"/>
                <w:szCs w:val="20"/>
              </w:rPr>
              <w:t xml:space="preserve"> </w:t>
            </w:r>
            <w:r>
              <w:rPr>
                <w:spacing w:val="33"/>
                <w:sz w:val="20"/>
                <w:szCs w:val="20"/>
              </w:rPr>
              <w:t>农业机械和所有者信</w:t>
            </w:r>
            <w:r>
              <w:rPr>
                <w:spacing w:val="2"/>
                <w:sz w:val="20"/>
                <w:szCs w:val="20"/>
              </w:rPr>
              <w:t xml:space="preserve"> </w:t>
            </w:r>
            <w:r>
              <w:rPr>
                <w:spacing w:val="9"/>
                <w:sz w:val="20"/>
                <w:szCs w:val="20"/>
              </w:rPr>
              <w:t>息，信息主要包括：机</w:t>
            </w:r>
            <w:r>
              <w:rPr>
                <w:spacing w:val="8"/>
                <w:sz w:val="20"/>
                <w:szCs w:val="20"/>
              </w:rPr>
              <w:t xml:space="preserve"> </w:t>
            </w:r>
            <w:r>
              <w:rPr>
                <w:spacing w:val="-3"/>
                <w:sz w:val="20"/>
                <w:szCs w:val="20"/>
              </w:rPr>
              <w:t>主（单位或个人）名称、</w:t>
            </w:r>
            <w:r>
              <w:rPr>
                <w:spacing w:val="2"/>
                <w:sz w:val="20"/>
                <w:szCs w:val="20"/>
              </w:rPr>
              <w:t xml:space="preserve"> </w:t>
            </w:r>
            <w:r>
              <w:rPr>
                <w:spacing w:val="-10"/>
                <w:sz w:val="20"/>
                <w:szCs w:val="20"/>
              </w:rPr>
              <w:t>证件号码、牌照号码（适</w:t>
            </w:r>
            <w:r>
              <w:rPr>
                <w:spacing w:val="9"/>
                <w:sz w:val="20"/>
                <w:szCs w:val="20"/>
              </w:rPr>
              <w:t xml:space="preserve"> 用时）、品牌型号、机</w:t>
            </w:r>
            <w:r>
              <w:rPr>
                <w:spacing w:val="8"/>
                <w:sz w:val="20"/>
                <w:szCs w:val="20"/>
              </w:rPr>
              <w:t xml:space="preserve"> </w:t>
            </w:r>
            <w:r>
              <w:rPr>
                <w:spacing w:val="9"/>
                <w:sz w:val="20"/>
                <w:szCs w:val="20"/>
              </w:rPr>
              <w:t>架号、发动机号、出厂</w:t>
            </w:r>
          </w:p>
        </w:tc>
        <w:tc>
          <w:tcPr>
            <w:tcW w:w="1145" w:type="dxa"/>
            <w:vMerge w:val="continue"/>
            <w:tcBorders>
              <w:top w:val="nil"/>
              <w:bottom w:val="single" w:color="000000" w:sz="10" w:space="0"/>
              <w:right w:val="single" w:color="000000" w:sz="10" w:space="0"/>
            </w:tcBorders>
            <w:vAlign w:val="top"/>
          </w:tcPr>
          <w:p w14:paraId="48B179D5">
            <w:pPr>
              <w:rPr>
                <w:rFonts w:ascii="Arial"/>
                <w:sz w:val="21"/>
              </w:rPr>
            </w:pPr>
          </w:p>
        </w:tc>
      </w:tr>
    </w:tbl>
    <w:p w14:paraId="626B6CCC">
      <w:pPr>
        <w:pStyle w:val="2"/>
        <w:spacing w:line="129" w:lineRule="exact"/>
        <w:rPr>
          <w:sz w:val="11"/>
        </w:rPr>
      </w:pPr>
    </w:p>
    <w:p w14:paraId="31A682DD">
      <w:pPr>
        <w:spacing w:line="129" w:lineRule="exact"/>
        <w:rPr>
          <w:sz w:val="11"/>
          <w:szCs w:val="11"/>
        </w:rPr>
        <w:sectPr>
          <w:footerReference r:id="rId18" w:type="default"/>
          <w:pgSz w:w="11906" w:h="16839"/>
          <w:pgMar w:top="1270" w:right="1479" w:bottom="1261"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2E53B2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3" w:hRule="atLeast"/>
        </w:trPr>
        <w:tc>
          <w:tcPr>
            <w:tcW w:w="494" w:type="dxa"/>
            <w:vMerge w:val="restart"/>
            <w:tcBorders>
              <w:top w:val="single" w:color="000000" w:sz="10" w:space="0"/>
              <w:left w:val="single" w:color="000000" w:sz="10" w:space="0"/>
              <w:bottom w:val="nil"/>
            </w:tcBorders>
            <w:vAlign w:val="top"/>
          </w:tcPr>
          <w:p w14:paraId="4F3C9957">
            <w:pPr>
              <w:rPr>
                <w:rFonts w:ascii="Arial"/>
                <w:sz w:val="21"/>
              </w:rPr>
            </w:pPr>
            <w:r>
              <w:pict>
                <v:shape id="_x0000_s1029" o:spid="_x0000_s1029" style="position:absolute;left:0pt;margin-left:104.1pt;margin-top:767.2pt;height:1.45pt;width:411.15pt;mso-position-horizontal-relative:page;mso-position-vertical-relative:page;z-index:251663360;mso-width-relative:page;mso-height-relative:page;" filled="f" stroked="t" coordsize="8222,29" o:allowincell="f" path="m0,14l8222,14e">
                  <v:fill on="f" focussize="0,0"/>
                  <v:stroke weight="1.44pt" color="#000000" miterlimit="2" joinstyle="bevel"/>
                  <v:imagedata o:title=""/>
                  <o:lock v:ext="edit"/>
                </v:shape>
              </w:pict>
            </w:r>
          </w:p>
        </w:tc>
        <w:tc>
          <w:tcPr>
            <w:tcW w:w="547" w:type="dxa"/>
            <w:vMerge w:val="restart"/>
            <w:tcBorders>
              <w:top w:val="single" w:color="000000" w:sz="10" w:space="0"/>
              <w:bottom w:val="nil"/>
            </w:tcBorders>
            <w:vAlign w:val="top"/>
          </w:tcPr>
          <w:p w14:paraId="5745455C">
            <w:pPr>
              <w:rPr>
                <w:rFonts w:ascii="Arial"/>
                <w:sz w:val="21"/>
              </w:rPr>
            </w:pPr>
          </w:p>
          <w:p w14:paraId="220877D9">
            <w:pPr>
              <w:rPr>
                <w:rFonts w:ascii="Arial"/>
                <w:sz w:val="21"/>
              </w:rPr>
            </w:pPr>
          </w:p>
          <w:p w14:paraId="2526A631">
            <w:pPr>
              <w:rPr>
                <w:rFonts w:ascii="Arial"/>
                <w:sz w:val="21"/>
              </w:rPr>
            </w:pPr>
          </w:p>
          <w:p w14:paraId="00FB3651">
            <w:pPr>
              <w:rPr>
                <w:rFonts w:ascii="Arial"/>
                <w:sz w:val="21"/>
              </w:rPr>
            </w:pPr>
          </w:p>
          <w:p w14:paraId="2AA4FBC9">
            <w:pPr>
              <w:rPr>
                <w:rFonts w:ascii="Arial"/>
                <w:sz w:val="21"/>
              </w:rPr>
            </w:pPr>
          </w:p>
          <w:p w14:paraId="16BF2DC5">
            <w:pPr>
              <w:rPr>
                <w:rFonts w:ascii="Arial"/>
                <w:sz w:val="21"/>
              </w:rPr>
            </w:pPr>
          </w:p>
          <w:p w14:paraId="6D9C5FBD">
            <w:pPr>
              <w:rPr>
                <w:rFonts w:ascii="Arial"/>
                <w:sz w:val="21"/>
              </w:rPr>
            </w:pPr>
          </w:p>
          <w:p w14:paraId="2348A9AE">
            <w:pPr>
              <w:rPr>
                <w:rFonts w:ascii="Arial"/>
                <w:sz w:val="21"/>
              </w:rPr>
            </w:pPr>
          </w:p>
          <w:p w14:paraId="6095847A">
            <w:pPr>
              <w:rPr>
                <w:rFonts w:ascii="Arial"/>
                <w:sz w:val="21"/>
              </w:rPr>
            </w:pPr>
          </w:p>
          <w:p w14:paraId="53DB3CA4">
            <w:pPr>
              <w:rPr>
                <w:rFonts w:ascii="Arial"/>
                <w:sz w:val="21"/>
              </w:rPr>
            </w:pPr>
          </w:p>
          <w:p w14:paraId="320F4F82">
            <w:pPr>
              <w:rPr>
                <w:rFonts w:ascii="Arial"/>
                <w:sz w:val="21"/>
              </w:rPr>
            </w:pPr>
          </w:p>
          <w:p w14:paraId="3B2E7089">
            <w:pPr>
              <w:rPr>
                <w:rFonts w:ascii="Arial"/>
                <w:sz w:val="21"/>
              </w:rPr>
            </w:pPr>
          </w:p>
          <w:p w14:paraId="73698DE4">
            <w:pPr>
              <w:rPr>
                <w:rFonts w:ascii="Arial"/>
                <w:sz w:val="21"/>
              </w:rPr>
            </w:pPr>
          </w:p>
          <w:p w14:paraId="3FE350A7">
            <w:pPr>
              <w:rPr>
                <w:rFonts w:ascii="Arial"/>
                <w:sz w:val="21"/>
              </w:rPr>
            </w:pPr>
          </w:p>
          <w:p w14:paraId="6D406BB3">
            <w:pPr>
              <w:spacing w:line="241" w:lineRule="auto"/>
              <w:rPr>
                <w:rFonts w:ascii="Arial"/>
                <w:sz w:val="21"/>
              </w:rPr>
            </w:pPr>
          </w:p>
          <w:p w14:paraId="5B8DD3F8">
            <w:pPr>
              <w:spacing w:line="241" w:lineRule="auto"/>
              <w:rPr>
                <w:rFonts w:ascii="Arial"/>
                <w:sz w:val="21"/>
              </w:rPr>
            </w:pPr>
          </w:p>
          <w:p w14:paraId="7D1A096C">
            <w:pPr>
              <w:spacing w:line="241" w:lineRule="auto"/>
              <w:rPr>
                <w:rFonts w:ascii="Arial"/>
                <w:sz w:val="21"/>
              </w:rPr>
            </w:pPr>
          </w:p>
          <w:p w14:paraId="3B777093">
            <w:pPr>
              <w:spacing w:line="241" w:lineRule="auto"/>
              <w:rPr>
                <w:rFonts w:ascii="Arial"/>
                <w:sz w:val="21"/>
              </w:rPr>
            </w:pPr>
          </w:p>
          <w:p w14:paraId="60F8310D">
            <w:pPr>
              <w:spacing w:line="241" w:lineRule="auto"/>
              <w:rPr>
                <w:rFonts w:ascii="Arial"/>
                <w:sz w:val="21"/>
              </w:rPr>
            </w:pPr>
          </w:p>
          <w:p w14:paraId="7CCF8795">
            <w:pPr>
              <w:spacing w:line="241" w:lineRule="auto"/>
              <w:rPr>
                <w:rFonts w:ascii="Arial"/>
                <w:sz w:val="21"/>
              </w:rPr>
            </w:pPr>
          </w:p>
          <w:p w14:paraId="1BD116D9">
            <w:pPr>
              <w:spacing w:line="241" w:lineRule="auto"/>
              <w:rPr>
                <w:rFonts w:ascii="Arial"/>
                <w:sz w:val="21"/>
              </w:rPr>
            </w:pPr>
          </w:p>
          <w:p w14:paraId="634584E7">
            <w:pPr>
              <w:spacing w:line="241" w:lineRule="auto"/>
              <w:rPr>
                <w:rFonts w:ascii="Arial"/>
                <w:sz w:val="21"/>
              </w:rPr>
            </w:pPr>
          </w:p>
          <w:p w14:paraId="7D56875F">
            <w:pPr>
              <w:spacing w:line="241" w:lineRule="auto"/>
              <w:rPr>
                <w:rFonts w:ascii="Arial"/>
                <w:sz w:val="21"/>
              </w:rPr>
            </w:pPr>
          </w:p>
          <w:p w14:paraId="58AA9743">
            <w:pPr>
              <w:spacing w:line="241" w:lineRule="auto"/>
              <w:rPr>
                <w:rFonts w:ascii="Arial"/>
                <w:sz w:val="21"/>
              </w:rPr>
            </w:pPr>
          </w:p>
          <w:p w14:paraId="2357403B">
            <w:pPr>
              <w:spacing w:line="241" w:lineRule="auto"/>
              <w:rPr>
                <w:rFonts w:ascii="Arial"/>
                <w:sz w:val="21"/>
              </w:rPr>
            </w:pPr>
          </w:p>
          <w:p w14:paraId="66911028">
            <w:pPr>
              <w:spacing w:line="241" w:lineRule="auto"/>
              <w:rPr>
                <w:rFonts w:ascii="Arial"/>
                <w:sz w:val="21"/>
              </w:rPr>
            </w:pPr>
          </w:p>
          <w:p w14:paraId="2753A5B7">
            <w:pPr>
              <w:spacing w:line="241" w:lineRule="auto"/>
              <w:rPr>
                <w:rFonts w:ascii="Arial"/>
                <w:sz w:val="21"/>
              </w:rPr>
            </w:pPr>
          </w:p>
          <w:p w14:paraId="7C64FD38">
            <w:pPr>
              <w:spacing w:line="241" w:lineRule="auto"/>
              <w:rPr>
                <w:rFonts w:ascii="Arial"/>
                <w:sz w:val="21"/>
              </w:rPr>
            </w:pPr>
          </w:p>
          <w:p w14:paraId="43FB340E">
            <w:pPr>
              <w:spacing w:line="241" w:lineRule="auto"/>
              <w:rPr>
                <w:rFonts w:ascii="Arial"/>
                <w:sz w:val="21"/>
              </w:rPr>
            </w:pPr>
          </w:p>
          <w:p w14:paraId="21E5DFA5">
            <w:pPr>
              <w:spacing w:line="241" w:lineRule="auto"/>
              <w:rPr>
                <w:rFonts w:ascii="Arial"/>
                <w:sz w:val="21"/>
              </w:rPr>
            </w:pPr>
          </w:p>
          <w:p w14:paraId="21808A5B">
            <w:pPr>
              <w:spacing w:line="241" w:lineRule="auto"/>
              <w:rPr>
                <w:rFonts w:ascii="Arial"/>
                <w:sz w:val="21"/>
              </w:rPr>
            </w:pPr>
          </w:p>
          <w:p w14:paraId="7A65F29B">
            <w:pPr>
              <w:spacing w:line="241" w:lineRule="auto"/>
              <w:rPr>
                <w:rFonts w:ascii="Arial"/>
                <w:sz w:val="21"/>
              </w:rPr>
            </w:pPr>
          </w:p>
          <w:p w14:paraId="1F7C01CA">
            <w:pPr>
              <w:spacing w:line="241" w:lineRule="auto"/>
              <w:rPr>
                <w:rFonts w:ascii="Arial"/>
                <w:sz w:val="21"/>
              </w:rPr>
            </w:pPr>
          </w:p>
          <w:p w14:paraId="58577367">
            <w:pPr>
              <w:spacing w:line="241" w:lineRule="auto"/>
              <w:rPr>
                <w:rFonts w:ascii="Arial"/>
                <w:sz w:val="21"/>
              </w:rPr>
            </w:pPr>
          </w:p>
          <w:p w14:paraId="3833B88A">
            <w:pPr>
              <w:spacing w:line="241" w:lineRule="auto"/>
              <w:rPr>
                <w:rFonts w:ascii="Arial"/>
                <w:sz w:val="21"/>
              </w:rPr>
            </w:pPr>
          </w:p>
          <w:p w14:paraId="585306A0">
            <w:pPr>
              <w:spacing w:line="241" w:lineRule="auto"/>
              <w:rPr>
                <w:rFonts w:ascii="Arial"/>
                <w:sz w:val="21"/>
              </w:rPr>
            </w:pPr>
          </w:p>
          <w:p w14:paraId="7FDC1D2D">
            <w:pPr>
              <w:spacing w:line="241" w:lineRule="auto"/>
              <w:rPr>
                <w:rFonts w:ascii="Arial"/>
                <w:sz w:val="21"/>
              </w:rPr>
            </w:pPr>
          </w:p>
          <w:p w14:paraId="48AEFC14">
            <w:pPr>
              <w:spacing w:line="241" w:lineRule="auto"/>
              <w:rPr>
                <w:rFonts w:ascii="Arial"/>
                <w:sz w:val="21"/>
              </w:rPr>
            </w:pPr>
          </w:p>
          <w:p w14:paraId="1B55AA30">
            <w:pPr>
              <w:spacing w:line="241" w:lineRule="auto"/>
              <w:rPr>
                <w:rFonts w:ascii="Arial"/>
                <w:sz w:val="21"/>
              </w:rPr>
            </w:pPr>
          </w:p>
          <w:p w14:paraId="7F745B70">
            <w:pPr>
              <w:spacing w:line="241" w:lineRule="auto"/>
              <w:rPr>
                <w:rFonts w:ascii="Arial"/>
                <w:sz w:val="21"/>
              </w:rPr>
            </w:pPr>
          </w:p>
          <w:p w14:paraId="5C41888A">
            <w:pPr>
              <w:spacing w:line="241" w:lineRule="auto"/>
              <w:rPr>
                <w:rFonts w:ascii="Arial"/>
                <w:sz w:val="21"/>
              </w:rPr>
            </w:pPr>
          </w:p>
          <w:p w14:paraId="62C2F752">
            <w:pPr>
              <w:spacing w:line="241" w:lineRule="auto"/>
              <w:rPr>
                <w:rFonts w:ascii="Arial"/>
                <w:sz w:val="21"/>
              </w:rPr>
            </w:pPr>
          </w:p>
          <w:p w14:paraId="2C93B928">
            <w:pPr>
              <w:spacing w:line="241" w:lineRule="auto"/>
              <w:rPr>
                <w:rFonts w:ascii="Arial"/>
                <w:sz w:val="21"/>
              </w:rPr>
            </w:pPr>
          </w:p>
          <w:p w14:paraId="165E1991">
            <w:pPr>
              <w:spacing w:line="241" w:lineRule="auto"/>
              <w:rPr>
                <w:rFonts w:ascii="Arial"/>
                <w:sz w:val="21"/>
              </w:rPr>
            </w:pPr>
          </w:p>
          <w:p w14:paraId="5B513D6E">
            <w:pPr>
              <w:spacing w:line="241" w:lineRule="auto"/>
              <w:rPr>
                <w:rFonts w:ascii="Arial"/>
                <w:sz w:val="21"/>
              </w:rPr>
            </w:pPr>
          </w:p>
          <w:p w14:paraId="2D45698A">
            <w:pPr>
              <w:spacing w:line="241" w:lineRule="auto"/>
              <w:rPr>
                <w:rFonts w:ascii="Arial"/>
                <w:sz w:val="21"/>
              </w:rPr>
            </w:pPr>
          </w:p>
          <w:p w14:paraId="592E32BC">
            <w:pPr>
              <w:spacing w:line="241" w:lineRule="auto"/>
              <w:rPr>
                <w:rFonts w:ascii="Arial"/>
                <w:sz w:val="21"/>
              </w:rPr>
            </w:pPr>
          </w:p>
          <w:p w14:paraId="1C0E6CE4">
            <w:pPr>
              <w:spacing w:line="241" w:lineRule="auto"/>
              <w:rPr>
                <w:rFonts w:ascii="Arial"/>
                <w:sz w:val="21"/>
              </w:rPr>
            </w:pPr>
          </w:p>
          <w:p w14:paraId="2C54A2BD">
            <w:pPr>
              <w:spacing w:line="241" w:lineRule="auto"/>
              <w:rPr>
                <w:rFonts w:ascii="Arial"/>
                <w:sz w:val="21"/>
              </w:rPr>
            </w:pPr>
          </w:p>
          <w:p w14:paraId="17B05B60">
            <w:pPr>
              <w:spacing w:line="241" w:lineRule="auto"/>
              <w:rPr>
                <w:rFonts w:ascii="Arial"/>
                <w:sz w:val="21"/>
              </w:rPr>
            </w:pPr>
          </w:p>
          <w:p w14:paraId="4E1E36D4">
            <w:pPr>
              <w:spacing w:line="241" w:lineRule="auto"/>
              <w:rPr>
                <w:rFonts w:ascii="Arial"/>
                <w:sz w:val="21"/>
              </w:rPr>
            </w:pPr>
          </w:p>
          <w:p w14:paraId="34A92630">
            <w:pPr>
              <w:spacing w:before="57" w:line="195" w:lineRule="auto"/>
              <w:ind w:left="265"/>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436" w:type="dxa"/>
            <w:vMerge w:val="restart"/>
            <w:tcBorders>
              <w:top w:val="single" w:color="000000" w:sz="10" w:space="0"/>
              <w:bottom w:val="nil"/>
            </w:tcBorders>
            <w:vAlign w:val="top"/>
          </w:tcPr>
          <w:p w14:paraId="0AF138CC">
            <w:pPr>
              <w:rPr>
                <w:rFonts w:ascii="Arial"/>
                <w:sz w:val="21"/>
              </w:rPr>
            </w:pPr>
          </w:p>
        </w:tc>
        <w:tc>
          <w:tcPr>
            <w:tcW w:w="560" w:type="dxa"/>
            <w:tcBorders>
              <w:top w:val="single" w:color="000000" w:sz="10" w:space="0"/>
            </w:tcBorders>
            <w:vAlign w:val="top"/>
          </w:tcPr>
          <w:p w14:paraId="252C2BB7">
            <w:pPr>
              <w:rPr>
                <w:rFonts w:ascii="Arial"/>
                <w:sz w:val="21"/>
              </w:rPr>
            </w:pPr>
          </w:p>
        </w:tc>
        <w:tc>
          <w:tcPr>
            <w:tcW w:w="3422" w:type="dxa"/>
            <w:tcBorders>
              <w:top w:val="single" w:color="000000" w:sz="10" w:space="0"/>
            </w:tcBorders>
            <w:vAlign w:val="top"/>
          </w:tcPr>
          <w:p w14:paraId="30CD0FCF">
            <w:pPr>
              <w:rPr>
                <w:rFonts w:ascii="Arial"/>
                <w:sz w:val="21"/>
              </w:rPr>
            </w:pPr>
          </w:p>
        </w:tc>
        <w:tc>
          <w:tcPr>
            <w:tcW w:w="2318" w:type="dxa"/>
            <w:tcBorders>
              <w:top w:val="single" w:color="000000" w:sz="10" w:space="0"/>
            </w:tcBorders>
            <w:vAlign w:val="top"/>
          </w:tcPr>
          <w:p w14:paraId="0F1E6378">
            <w:pPr>
              <w:pStyle w:val="6"/>
              <w:spacing w:before="71" w:line="288" w:lineRule="auto"/>
              <w:ind w:left="115" w:right="97" w:firstLine="1"/>
              <w:rPr>
                <w:sz w:val="20"/>
                <w:szCs w:val="20"/>
              </w:rPr>
            </w:pPr>
            <w:r>
              <w:rPr>
                <w:spacing w:val="9"/>
                <w:sz w:val="20"/>
                <w:szCs w:val="20"/>
              </w:rPr>
              <w:t>年份、接收或收购日期</w:t>
            </w:r>
            <w:r>
              <w:rPr>
                <w:spacing w:val="7"/>
                <w:sz w:val="20"/>
                <w:szCs w:val="20"/>
              </w:rPr>
              <w:t xml:space="preserve"> </w:t>
            </w:r>
            <w:r>
              <w:rPr>
                <w:spacing w:val="10"/>
                <w:sz w:val="20"/>
                <w:szCs w:val="20"/>
              </w:rPr>
              <w:t>等：记录回收、拆解、</w:t>
            </w:r>
            <w:r>
              <w:rPr>
                <w:sz w:val="20"/>
                <w:szCs w:val="20"/>
              </w:rPr>
              <w:t xml:space="preserve"> </w:t>
            </w:r>
            <w:r>
              <w:rPr>
                <w:spacing w:val="9"/>
                <w:sz w:val="20"/>
                <w:szCs w:val="20"/>
              </w:rPr>
              <w:t>废弃物处理及拆解后零</w:t>
            </w:r>
            <w:r>
              <w:rPr>
                <w:spacing w:val="8"/>
                <w:sz w:val="20"/>
                <w:szCs w:val="20"/>
              </w:rPr>
              <w:t xml:space="preserve"> </w:t>
            </w:r>
            <w:r>
              <w:rPr>
                <w:spacing w:val="9"/>
                <w:sz w:val="20"/>
                <w:szCs w:val="20"/>
              </w:rPr>
              <w:t>部件、材料和废弃物的</w:t>
            </w:r>
            <w:r>
              <w:rPr>
                <w:spacing w:val="8"/>
                <w:sz w:val="20"/>
                <w:szCs w:val="20"/>
              </w:rPr>
              <w:t xml:space="preserve"> </w:t>
            </w:r>
            <w:r>
              <w:rPr>
                <w:spacing w:val="4"/>
                <w:sz w:val="20"/>
                <w:szCs w:val="20"/>
              </w:rPr>
              <w:t>数量</w:t>
            </w:r>
            <w:r>
              <w:rPr>
                <w:rFonts w:ascii="Times New Roman" w:hAnsi="Times New Roman" w:eastAsia="Times New Roman" w:cs="Times New Roman"/>
                <w:spacing w:val="4"/>
                <w:sz w:val="20"/>
                <w:szCs w:val="20"/>
              </w:rPr>
              <w:t>/</w:t>
            </w:r>
            <w:r>
              <w:rPr>
                <w:spacing w:val="4"/>
                <w:sz w:val="20"/>
                <w:szCs w:val="20"/>
              </w:rPr>
              <w:t>重量和流向等，并</w:t>
            </w:r>
            <w:r>
              <w:rPr>
                <w:sz w:val="20"/>
                <w:szCs w:val="20"/>
              </w:rPr>
              <w:t xml:space="preserve"> </w:t>
            </w:r>
            <w:r>
              <w:rPr>
                <w:spacing w:val="9"/>
                <w:sz w:val="20"/>
                <w:szCs w:val="20"/>
              </w:rPr>
              <w:t>做好标识，处理批次和</w:t>
            </w:r>
            <w:r>
              <w:rPr>
                <w:spacing w:val="8"/>
                <w:sz w:val="20"/>
                <w:szCs w:val="20"/>
              </w:rPr>
              <w:t xml:space="preserve"> </w:t>
            </w:r>
            <w:r>
              <w:rPr>
                <w:spacing w:val="10"/>
                <w:sz w:val="20"/>
                <w:szCs w:val="20"/>
              </w:rPr>
              <w:t>拆解数量与重量统一；</w:t>
            </w:r>
            <w:r>
              <w:rPr>
                <w:sz w:val="20"/>
                <w:szCs w:val="20"/>
              </w:rPr>
              <w:t xml:space="preserve"> </w:t>
            </w:r>
            <w:r>
              <w:rPr>
                <w:spacing w:val="9"/>
                <w:sz w:val="20"/>
                <w:szCs w:val="20"/>
              </w:rPr>
              <w:t>纸质档案保存期限不少</w:t>
            </w:r>
            <w:r>
              <w:rPr>
                <w:spacing w:val="8"/>
                <w:sz w:val="20"/>
                <w:szCs w:val="20"/>
              </w:rPr>
              <w:t xml:space="preserve"> </w:t>
            </w:r>
            <w:r>
              <w:rPr>
                <w:sz w:val="20"/>
                <w:szCs w:val="20"/>
              </w:rPr>
              <w:t>于</w:t>
            </w:r>
            <w:r>
              <w:rPr>
                <w:rFonts w:ascii="Times New Roman" w:hAnsi="Times New Roman" w:eastAsia="Times New Roman" w:cs="Times New Roman"/>
                <w:sz w:val="20"/>
                <w:szCs w:val="20"/>
              </w:rPr>
              <w:t>3</w:t>
            </w:r>
            <w:r>
              <w:rPr>
                <w:sz w:val="20"/>
                <w:szCs w:val="20"/>
              </w:rPr>
              <w:t xml:space="preserve">年，备份的电子档案 </w:t>
            </w:r>
            <w:r>
              <w:rPr>
                <w:spacing w:val="9"/>
                <w:sz w:val="20"/>
                <w:szCs w:val="20"/>
              </w:rPr>
              <w:t>和数据库，保存期限不</w:t>
            </w:r>
            <w:r>
              <w:rPr>
                <w:spacing w:val="8"/>
                <w:sz w:val="20"/>
                <w:szCs w:val="20"/>
              </w:rPr>
              <w:t xml:space="preserve"> </w:t>
            </w:r>
            <w:r>
              <w:rPr>
                <w:spacing w:val="6"/>
                <w:sz w:val="20"/>
                <w:szCs w:val="20"/>
              </w:rPr>
              <w:t>少于</w:t>
            </w:r>
            <w:r>
              <w:rPr>
                <w:rFonts w:ascii="Times New Roman" w:hAnsi="Times New Roman" w:eastAsia="Times New Roman" w:cs="Times New Roman"/>
                <w:spacing w:val="6"/>
                <w:sz w:val="20"/>
                <w:szCs w:val="20"/>
              </w:rPr>
              <w:t>5</w:t>
            </w:r>
            <w:r>
              <w:rPr>
                <w:spacing w:val="6"/>
                <w:sz w:val="20"/>
                <w:szCs w:val="20"/>
              </w:rPr>
              <w:t>年</w:t>
            </w:r>
          </w:p>
        </w:tc>
        <w:tc>
          <w:tcPr>
            <w:tcW w:w="1145" w:type="dxa"/>
            <w:vMerge w:val="restart"/>
            <w:tcBorders>
              <w:top w:val="single" w:color="000000" w:sz="10" w:space="0"/>
              <w:bottom w:val="nil"/>
              <w:right w:val="single" w:color="000000" w:sz="10" w:space="0"/>
            </w:tcBorders>
            <w:vAlign w:val="top"/>
          </w:tcPr>
          <w:p w14:paraId="77BD4715">
            <w:pPr>
              <w:spacing w:line="245" w:lineRule="auto"/>
              <w:rPr>
                <w:rFonts w:ascii="Arial"/>
                <w:sz w:val="21"/>
              </w:rPr>
            </w:pPr>
          </w:p>
          <w:p w14:paraId="7CE3512B">
            <w:pPr>
              <w:spacing w:line="245" w:lineRule="auto"/>
              <w:rPr>
                <w:rFonts w:ascii="Arial"/>
                <w:sz w:val="21"/>
              </w:rPr>
            </w:pPr>
          </w:p>
          <w:p w14:paraId="317783ED">
            <w:pPr>
              <w:spacing w:line="245" w:lineRule="auto"/>
              <w:rPr>
                <w:rFonts w:ascii="Arial"/>
                <w:sz w:val="21"/>
              </w:rPr>
            </w:pPr>
          </w:p>
          <w:p w14:paraId="5B164C7E">
            <w:pPr>
              <w:spacing w:line="245" w:lineRule="auto"/>
              <w:rPr>
                <w:rFonts w:ascii="Arial"/>
                <w:sz w:val="21"/>
              </w:rPr>
            </w:pPr>
          </w:p>
          <w:p w14:paraId="6F2031C0">
            <w:pPr>
              <w:spacing w:line="245" w:lineRule="auto"/>
              <w:rPr>
                <w:rFonts w:ascii="Arial"/>
                <w:sz w:val="21"/>
              </w:rPr>
            </w:pPr>
          </w:p>
          <w:p w14:paraId="217FA587">
            <w:pPr>
              <w:spacing w:line="245" w:lineRule="auto"/>
              <w:rPr>
                <w:rFonts w:ascii="Arial"/>
                <w:sz w:val="21"/>
              </w:rPr>
            </w:pPr>
          </w:p>
          <w:p w14:paraId="4A00DD69">
            <w:pPr>
              <w:spacing w:line="245" w:lineRule="auto"/>
              <w:rPr>
                <w:rFonts w:ascii="Arial"/>
                <w:sz w:val="21"/>
              </w:rPr>
            </w:pPr>
          </w:p>
          <w:p w14:paraId="6E654F8E">
            <w:pPr>
              <w:spacing w:line="245" w:lineRule="auto"/>
              <w:rPr>
                <w:rFonts w:ascii="Arial"/>
                <w:sz w:val="21"/>
              </w:rPr>
            </w:pPr>
          </w:p>
          <w:p w14:paraId="6202EF88">
            <w:pPr>
              <w:spacing w:line="245" w:lineRule="auto"/>
              <w:rPr>
                <w:rFonts w:ascii="Arial"/>
                <w:sz w:val="21"/>
              </w:rPr>
            </w:pPr>
          </w:p>
          <w:p w14:paraId="5A632C9C">
            <w:pPr>
              <w:spacing w:line="245" w:lineRule="auto"/>
              <w:rPr>
                <w:rFonts w:ascii="Arial"/>
                <w:sz w:val="21"/>
              </w:rPr>
            </w:pPr>
          </w:p>
          <w:p w14:paraId="7E52DD46">
            <w:pPr>
              <w:spacing w:line="246" w:lineRule="auto"/>
              <w:rPr>
                <w:rFonts w:ascii="Arial"/>
                <w:sz w:val="21"/>
              </w:rPr>
            </w:pPr>
          </w:p>
          <w:p w14:paraId="01C5B568">
            <w:pPr>
              <w:spacing w:line="246" w:lineRule="auto"/>
              <w:rPr>
                <w:rFonts w:ascii="Arial"/>
                <w:sz w:val="21"/>
              </w:rPr>
            </w:pPr>
          </w:p>
          <w:p w14:paraId="77E05F50">
            <w:pPr>
              <w:spacing w:line="246" w:lineRule="auto"/>
              <w:rPr>
                <w:rFonts w:ascii="Arial"/>
                <w:sz w:val="21"/>
              </w:rPr>
            </w:pPr>
          </w:p>
          <w:p w14:paraId="76E9656A">
            <w:pPr>
              <w:spacing w:line="246" w:lineRule="auto"/>
              <w:rPr>
                <w:rFonts w:ascii="Arial"/>
                <w:sz w:val="21"/>
              </w:rPr>
            </w:pPr>
          </w:p>
          <w:p w14:paraId="26F0189A">
            <w:pPr>
              <w:spacing w:line="246" w:lineRule="auto"/>
              <w:rPr>
                <w:rFonts w:ascii="Arial"/>
                <w:sz w:val="21"/>
              </w:rPr>
            </w:pPr>
          </w:p>
          <w:p w14:paraId="47308E77">
            <w:pPr>
              <w:spacing w:line="246" w:lineRule="auto"/>
              <w:rPr>
                <w:rFonts w:ascii="Arial"/>
                <w:sz w:val="21"/>
              </w:rPr>
            </w:pPr>
          </w:p>
          <w:p w14:paraId="7F6EA6EA">
            <w:pPr>
              <w:spacing w:line="246" w:lineRule="auto"/>
              <w:rPr>
                <w:rFonts w:ascii="Arial"/>
                <w:sz w:val="21"/>
              </w:rPr>
            </w:pPr>
          </w:p>
          <w:p w14:paraId="7199AC25">
            <w:pPr>
              <w:spacing w:line="246" w:lineRule="auto"/>
              <w:rPr>
                <w:rFonts w:ascii="Arial"/>
                <w:sz w:val="21"/>
              </w:rPr>
            </w:pPr>
          </w:p>
          <w:p w14:paraId="048AAFA6">
            <w:pPr>
              <w:spacing w:line="246" w:lineRule="auto"/>
              <w:rPr>
                <w:rFonts w:ascii="Arial"/>
                <w:sz w:val="21"/>
              </w:rPr>
            </w:pPr>
          </w:p>
          <w:p w14:paraId="27DF008B">
            <w:pPr>
              <w:spacing w:line="246" w:lineRule="auto"/>
              <w:rPr>
                <w:rFonts w:ascii="Arial"/>
                <w:sz w:val="21"/>
              </w:rPr>
            </w:pPr>
          </w:p>
          <w:p w14:paraId="30BB46D3">
            <w:pPr>
              <w:spacing w:line="246" w:lineRule="auto"/>
              <w:rPr>
                <w:rFonts w:ascii="Arial"/>
                <w:sz w:val="21"/>
              </w:rPr>
            </w:pPr>
          </w:p>
          <w:p w14:paraId="0377FE79">
            <w:pPr>
              <w:spacing w:line="246" w:lineRule="auto"/>
              <w:rPr>
                <w:rFonts w:ascii="Arial"/>
                <w:sz w:val="21"/>
              </w:rPr>
            </w:pPr>
          </w:p>
          <w:p w14:paraId="4FCC9418">
            <w:pPr>
              <w:pStyle w:val="6"/>
              <w:spacing w:before="65" w:line="228" w:lineRule="auto"/>
              <w:ind w:left="320"/>
              <w:rPr>
                <w:sz w:val="20"/>
                <w:szCs w:val="20"/>
              </w:rPr>
            </w:pPr>
            <w:r>
              <w:rPr>
                <w:spacing w:val="3"/>
                <w:sz w:val="20"/>
                <w:szCs w:val="20"/>
              </w:rPr>
              <w:t>符合</w:t>
            </w:r>
          </w:p>
          <w:p w14:paraId="61FDCD3B">
            <w:pPr>
              <w:spacing w:line="258" w:lineRule="auto"/>
              <w:rPr>
                <w:rFonts w:ascii="Arial"/>
                <w:sz w:val="21"/>
              </w:rPr>
            </w:pPr>
          </w:p>
          <w:p w14:paraId="0BE6B9A3">
            <w:pPr>
              <w:spacing w:line="258" w:lineRule="auto"/>
              <w:rPr>
                <w:rFonts w:ascii="Arial"/>
                <w:sz w:val="21"/>
              </w:rPr>
            </w:pPr>
          </w:p>
          <w:p w14:paraId="6778C9D2">
            <w:pPr>
              <w:spacing w:line="258" w:lineRule="auto"/>
              <w:rPr>
                <w:rFonts w:ascii="Arial"/>
                <w:sz w:val="21"/>
              </w:rPr>
            </w:pPr>
          </w:p>
          <w:p w14:paraId="3F16510F">
            <w:pPr>
              <w:spacing w:line="258" w:lineRule="auto"/>
              <w:rPr>
                <w:rFonts w:ascii="Arial"/>
                <w:sz w:val="21"/>
              </w:rPr>
            </w:pPr>
          </w:p>
          <w:p w14:paraId="07E3F817">
            <w:pPr>
              <w:spacing w:line="258" w:lineRule="auto"/>
              <w:rPr>
                <w:rFonts w:ascii="Arial"/>
                <w:sz w:val="21"/>
              </w:rPr>
            </w:pPr>
          </w:p>
          <w:p w14:paraId="1A4A229F">
            <w:pPr>
              <w:spacing w:line="258" w:lineRule="auto"/>
              <w:rPr>
                <w:rFonts w:ascii="Arial"/>
                <w:sz w:val="21"/>
              </w:rPr>
            </w:pPr>
          </w:p>
          <w:p w14:paraId="4477E0BF">
            <w:pPr>
              <w:spacing w:line="258" w:lineRule="auto"/>
              <w:rPr>
                <w:rFonts w:ascii="Arial"/>
                <w:sz w:val="21"/>
              </w:rPr>
            </w:pPr>
          </w:p>
          <w:p w14:paraId="225DF35A">
            <w:pPr>
              <w:spacing w:line="258" w:lineRule="auto"/>
              <w:rPr>
                <w:rFonts w:ascii="Arial"/>
                <w:sz w:val="21"/>
              </w:rPr>
            </w:pPr>
          </w:p>
          <w:p w14:paraId="419A2D8B">
            <w:pPr>
              <w:spacing w:line="258" w:lineRule="auto"/>
              <w:rPr>
                <w:rFonts w:ascii="Arial"/>
                <w:sz w:val="21"/>
              </w:rPr>
            </w:pPr>
          </w:p>
          <w:p w14:paraId="71D5E7FB">
            <w:pPr>
              <w:spacing w:line="258" w:lineRule="auto"/>
              <w:rPr>
                <w:rFonts w:ascii="Arial"/>
                <w:sz w:val="21"/>
              </w:rPr>
            </w:pPr>
          </w:p>
          <w:p w14:paraId="2D374284">
            <w:pPr>
              <w:spacing w:line="258" w:lineRule="auto"/>
              <w:rPr>
                <w:rFonts w:ascii="Arial"/>
                <w:sz w:val="21"/>
              </w:rPr>
            </w:pPr>
          </w:p>
          <w:p w14:paraId="72E35166">
            <w:pPr>
              <w:spacing w:line="259" w:lineRule="auto"/>
              <w:rPr>
                <w:rFonts w:ascii="Arial"/>
                <w:sz w:val="21"/>
              </w:rPr>
            </w:pPr>
          </w:p>
          <w:p w14:paraId="7BABF776">
            <w:pPr>
              <w:spacing w:line="259" w:lineRule="auto"/>
              <w:rPr>
                <w:rFonts w:ascii="Arial"/>
                <w:sz w:val="21"/>
              </w:rPr>
            </w:pPr>
          </w:p>
          <w:p w14:paraId="1108C2A7">
            <w:pPr>
              <w:pStyle w:val="6"/>
              <w:spacing w:before="65" w:line="228" w:lineRule="auto"/>
              <w:ind w:left="320"/>
              <w:rPr>
                <w:sz w:val="20"/>
                <w:szCs w:val="20"/>
              </w:rPr>
            </w:pPr>
            <w:r>
              <w:rPr>
                <w:spacing w:val="3"/>
                <w:sz w:val="20"/>
                <w:szCs w:val="20"/>
              </w:rPr>
              <w:t>符合</w:t>
            </w:r>
          </w:p>
          <w:p w14:paraId="28913692">
            <w:pPr>
              <w:spacing w:line="253" w:lineRule="auto"/>
              <w:rPr>
                <w:rFonts w:ascii="Arial"/>
                <w:sz w:val="21"/>
              </w:rPr>
            </w:pPr>
          </w:p>
          <w:p w14:paraId="313C3FA8">
            <w:pPr>
              <w:spacing w:line="253" w:lineRule="auto"/>
              <w:rPr>
                <w:rFonts w:ascii="Arial"/>
                <w:sz w:val="21"/>
              </w:rPr>
            </w:pPr>
          </w:p>
          <w:p w14:paraId="0B755423">
            <w:pPr>
              <w:spacing w:line="253" w:lineRule="auto"/>
              <w:rPr>
                <w:rFonts w:ascii="Arial"/>
                <w:sz w:val="21"/>
              </w:rPr>
            </w:pPr>
          </w:p>
          <w:p w14:paraId="4D128ECC">
            <w:pPr>
              <w:spacing w:line="253" w:lineRule="auto"/>
              <w:rPr>
                <w:rFonts w:ascii="Arial"/>
                <w:sz w:val="21"/>
              </w:rPr>
            </w:pPr>
          </w:p>
          <w:p w14:paraId="75E811B2">
            <w:pPr>
              <w:spacing w:line="253" w:lineRule="auto"/>
              <w:rPr>
                <w:rFonts w:ascii="Arial"/>
                <w:sz w:val="21"/>
              </w:rPr>
            </w:pPr>
          </w:p>
          <w:p w14:paraId="5F04F39B">
            <w:pPr>
              <w:spacing w:line="253" w:lineRule="auto"/>
              <w:rPr>
                <w:rFonts w:ascii="Arial"/>
                <w:sz w:val="21"/>
              </w:rPr>
            </w:pPr>
          </w:p>
          <w:p w14:paraId="5840CFAB">
            <w:pPr>
              <w:spacing w:line="253" w:lineRule="auto"/>
              <w:rPr>
                <w:rFonts w:ascii="Arial"/>
                <w:sz w:val="21"/>
              </w:rPr>
            </w:pPr>
          </w:p>
          <w:p w14:paraId="4D2F565A">
            <w:pPr>
              <w:spacing w:line="253" w:lineRule="auto"/>
              <w:rPr>
                <w:rFonts w:ascii="Arial"/>
                <w:sz w:val="21"/>
              </w:rPr>
            </w:pPr>
          </w:p>
          <w:p w14:paraId="75FD4B1C">
            <w:pPr>
              <w:spacing w:line="253" w:lineRule="auto"/>
              <w:rPr>
                <w:rFonts w:ascii="Arial"/>
                <w:sz w:val="21"/>
              </w:rPr>
            </w:pPr>
          </w:p>
          <w:p w14:paraId="0C853BB3">
            <w:pPr>
              <w:spacing w:line="253" w:lineRule="auto"/>
              <w:rPr>
                <w:rFonts w:ascii="Arial"/>
                <w:sz w:val="21"/>
              </w:rPr>
            </w:pPr>
          </w:p>
          <w:p w14:paraId="6C2E565D">
            <w:pPr>
              <w:pStyle w:val="6"/>
              <w:spacing w:before="65" w:line="228" w:lineRule="auto"/>
              <w:ind w:left="320"/>
              <w:rPr>
                <w:sz w:val="20"/>
                <w:szCs w:val="20"/>
              </w:rPr>
            </w:pPr>
            <w:r>
              <w:rPr>
                <w:spacing w:val="3"/>
                <w:sz w:val="20"/>
                <w:szCs w:val="20"/>
              </w:rPr>
              <w:t>符合</w:t>
            </w:r>
          </w:p>
          <w:p w14:paraId="66D7B38C">
            <w:pPr>
              <w:spacing w:line="251" w:lineRule="auto"/>
              <w:rPr>
                <w:rFonts w:ascii="Arial"/>
                <w:sz w:val="21"/>
              </w:rPr>
            </w:pPr>
          </w:p>
          <w:p w14:paraId="6343E1ED">
            <w:pPr>
              <w:spacing w:line="252" w:lineRule="auto"/>
              <w:rPr>
                <w:rFonts w:ascii="Arial"/>
                <w:sz w:val="21"/>
              </w:rPr>
            </w:pPr>
          </w:p>
          <w:p w14:paraId="3B9BF753">
            <w:pPr>
              <w:spacing w:line="252" w:lineRule="auto"/>
              <w:rPr>
                <w:rFonts w:ascii="Arial"/>
                <w:sz w:val="21"/>
              </w:rPr>
            </w:pPr>
          </w:p>
          <w:p w14:paraId="4D5E35C4">
            <w:pPr>
              <w:spacing w:line="252" w:lineRule="auto"/>
              <w:rPr>
                <w:rFonts w:ascii="Arial"/>
                <w:sz w:val="21"/>
              </w:rPr>
            </w:pPr>
          </w:p>
          <w:p w14:paraId="664F464E">
            <w:pPr>
              <w:spacing w:line="252" w:lineRule="auto"/>
              <w:rPr>
                <w:rFonts w:ascii="Arial"/>
                <w:sz w:val="21"/>
              </w:rPr>
            </w:pPr>
          </w:p>
          <w:p w14:paraId="74BFA203">
            <w:pPr>
              <w:pStyle w:val="6"/>
              <w:spacing w:before="65" w:line="228" w:lineRule="auto"/>
              <w:ind w:left="320"/>
              <w:rPr>
                <w:sz w:val="20"/>
                <w:szCs w:val="20"/>
              </w:rPr>
            </w:pPr>
            <w:r>
              <w:rPr>
                <w:spacing w:val="3"/>
                <w:sz w:val="20"/>
                <w:szCs w:val="20"/>
              </w:rPr>
              <w:t>符合</w:t>
            </w:r>
          </w:p>
        </w:tc>
      </w:tr>
      <w:tr w14:paraId="516184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8" w:hRule="atLeast"/>
        </w:trPr>
        <w:tc>
          <w:tcPr>
            <w:tcW w:w="494" w:type="dxa"/>
            <w:vMerge w:val="continue"/>
            <w:tcBorders>
              <w:top w:val="nil"/>
              <w:left w:val="single" w:color="000000" w:sz="10" w:space="0"/>
              <w:bottom w:val="nil"/>
            </w:tcBorders>
            <w:vAlign w:val="top"/>
          </w:tcPr>
          <w:p w14:paraId="2CD981D0">
            <w:pPr>
              <w:rPr>
                <w:rFonts w:ascii="Arial"/>
                <w:sz w:val="21"/>
              </w:rPr>
            </w:pPr>
          </w:p>
        </w:tc>
        <w:tc>
          <w:tcPr>
            <w:tcW w:w="547" w:type="dxa"/>
            <w:vMerge w:val="continue"/>
            <w:tcBorders>
              <w:top w:val="nil"/>
              <w:bottom w:val="nil"/>
            </w:tcBorders>
            <w:vAlign w:val="top"/>
          </w:tcPr>
          <w:p w14:paraId="65CC7C19">
            <w:pPr>
              <w:rPr>
                <w:rFonts w:ascii="Arial"/>
                <w:sz w:val="21"/>
              </w:rPr>
            </w:pPr>
          </w:p>
        </w:tc>
        <w:tc>
          <w:tcPr>
            <w:tcW w:w="436" w:type="dxa"/>
            <w:vMerge w:val="continue"/>
            <w:tcBorders>
              <w:top w:val="nil"/>
              <w:bottom w:val="nil"/>
            </w:tcBorders>
            <w:vAlign w:val="top"/>
          </w:tcPr>
          <w:p w14:paraId="402BCC9E">
            <w:pPr>
              <w:rPr>
                <w:rFonts w:ascii="Arial"/>
                <w:sz w:val="21"/>
              </w:rPr>
            </w:pPr>
          </w:p>
        </w:tc>
        <w:tc>
          <w:tcPr>
            <w:tcW w:w="560" w:type="dxa"/>
            <w:vAlign w:val="top"/>
          </w:tcPr>
          <w:p w14:paraId="5BDDB1A6">
            <w:pPr>
              <w:spacing w:line="261" w:lineRule="auto"/>
              <w:rPr>
                <w:rFonts w:ascii="Arial"/>
                <w:sz w:val="21"/>
              </w:rPr>
            </w:pPr>
          </w:p>
          <w:p w14:paraId="7862C543">
            <w:pPr>
              <w:spacing w:line="261" w:lineRule="auto"/>
              <w:rPr>
                <w:rFonts w:ascii="Arial"/>
                <w:sz w:val="21"/>
              </w:rPr>
            </w:pPr>
          </w:p>
          <w:p w14:paraId="747F9C04">
            <w:pPr>
              <w:spacing w:line="262" w:lineRule="auto"/>
              <w:rPr>
                <w:rFonts w:ascii="Arial"/>
                <w:sz w:val="21"/>
              </w:rPr>
            </w:pPr>
          </w:p>
          <w:p w14:paraId="07DB08BD">
            <w:pPr>
              <w:spacing w:line="262" w:lineRule="auto"/>
              <w:rPr>
                <w:rFonts w:ascii="Arial"/>
                <w:sz w:val="21"/>
              </w:rPr>
            </w:pPr>
          </w:p>
          <w:p w14:paraId="7A64A246">
            <w:pPr>
              <w:spacing w:line="262" w:lineRule="auto"/>
              <w:rPr>
                <w:rFonts w:ascii="Arial"/>
                <w:sz w:val="21"/>
              </w:rPr>
            </w:pPr>
          </w:p>
          <w:p w14:paraId="112B6F8D">
            <w:pPr>
              <w:pStyle w:val="6"/>
              <w:spacing w:before="73" w:line="272" w:lineRule="auto"/>
              <w:ind w:left="173" w:right="132" w:hanging="50"/>
              <w:jc w:val="both"/>
              <w:rPr>
                <w:sz w:val="20"/>
                <w:szCs w:val="20"/>
              </w:rPr>
            </w:pPr>
            <w:r>
              <w:rPr>
                <w:rFonts w:ascii="Calibri" w:hAnsi="Calibri" w:eastAsia="Calibri" w:cs="Calibri"/>
                <w:spacing w:val="-2"/>
              </w:rPr>
              <w:t>4.6</w:t>
            </w:r>
            <w:r>
              <w:rPr>
                <w:rFonts w:ascii="Calibri" w:hAnsi="Calibri" w:eastAsia="Calibri" w:cs="Calibri"/>
              </w:rPr>
              <w:t xml:space="preserve"> </w:t>
            </w:r>
            <w:r>
              <w:rPr>
                <w:sz w:val="20"/>
                <w:szCs w:val="20"/>
              </w:rPr>
              <w:t>安 全 要 求</w:t>
            </w:r>
          </w:p>
        </w:tc>
        <w:tc>
          <w:tcPr>
            <w:tcW w:w="3422" w:type="dxa"/>
            <w:vAlign w:val="top"/>
          </w:tcPr>
          <w:p w14:paraId="124E7345">
            <w:pPr>
              <w:spacing w:line="254" w:lineRule="auto"/>
              <w:rPr>
                <w:rFonts w:ascii="Arial"/>
                <w:sz w:val="21"/>
              </w:rPr>
            </w:pPr>
          </w:p>
          <w:p w14:paraId="40F4FF0D">
            <w:pPr>
              <w:spacing w:line="255" w:lineRule="auto"/>
              <w:rPr>
                <w:rFonts w:ascii="Arial"/>
                <w:sz w:val="21"/>
              </w:rPr>
            </w:pPr>
          </w:p>
          <w:p w14:paraId="6860DF8E">
            <w:pPr>
              <w:pStyle w:val="6"/>
              <w:spacing w:before="73" w:line="263" w:lineRule="auto"/>
              <w:ind w:left="115" w:right="107" w:firstLine="475"/>
              <w:rPr>
                <w:sz w:val="20"/>
                <w:szCs w:val="20"/>
              </w:rPr>
            </w:pPr>
            <w:r>
              <w:rPr>
                <w:rFonts w:ascii="Calibri" w:hAnsi="Calibri" w:eastAsia="Calibri" w:cs="Calibri"/>
                <w:spacing w:val="11"/>
              </w:rPr>
              <w:t>4.6.1</w:t>
            </w:r>
            <w:r>
              <w:rPr>
                <w:spacing w:val="11"/>
                <w:sz w:val="20"/>
                <w:szCs w:val="20"/>
              </w:rPr>
              <w:t>应符合</w:t>
            </w:r>
            <w:r>
              <w:rPr>
                <w:rFonts w:ascii="Times New Roman" w:hAnsi="Times New Roman" w:eastAsia="Times New Roman" w:cs="Times New Roman"/>
                <w:sz w:val="20"/>
                <w:szCs w:val="20"/>
              </w:rPr>
              <w:t>GB</w:t>
            </w:r>
            <w:r>
              <w:rPr>
                <w:rFonts w:ascii="Times New Roman" w:hAnsi="Times New Roman" w:eastAsia="Times New Roman" w:cs="Times New Roman"/>
                <w:spacing w:val="11"/>
                <w:sz w:val="20"/>
                <w:szCs w:val="20"/>
              </w:rPr>
              <w:t>/T</w:t>
            </w:r>
            <w:r>
              <w:rPr>
                <w:rFonts w:ascii="Times New Roman" w:hAnsi="Times New Roman" w:eastAsia="Times New Roman" w:cs="Times New Roman"/>
                <w:spacing w:val="39"/>
                <w:sz w:val="20"/>
                <w:szCs w:val="20"/>
              </w:rPr>
              <w:t xml:space="preserve"> </w:t>
            </w:r>
            <w:r>
              <w:rPr>
                <w:rFonts w:ascii="Times New Roman" w:hAnsi="Times New Roman" w:eastAsia="Times New Roman" w:cs="Times New Roman"/>
                <w:spacing w:val="11"/>
                <w:sz w:val="20"/>
                <w:szCs w:val="20"/>
              </w:rPr>
              <w:t>33000</w:t>
            </w:r>
            <w:r>
              <w:rPr>
                <w:spacing w:val="11"/>
                <w:sz w:val="20"/>
                <w:szCs w:val="20"/>
              </w:rPr>
              <w:t>的规</w:t>
            </w:r>
            <w:r>
              <w:rPr>
                <w:sz w:val="20"/>
                <w:szCs w:val="20"/>
              </w:rPr>
              <w:t xml:space="preserve"> </w:t>
            </w:r>
            <w:r>
              <w:rPr>
                <w:spacing w:val="12"/>
                <w:sz w:val="20"/>
                <w:szCs w:val="20"/>
              </w:rPr>
              <w:t>定，具有安全管理制度，水电气等</w:t>
            </w:r>
            <w:r>
              <w:rPr>
                <w:spacing w:val="10"/>
                <w:sz w:val="20"/>
                <w:szCs w:val="20"/>
              </w:rPr>
              <w:t xml:space="preserve"> </w:t>
            </w:r>
            <w:r>
              <w:rPr>
                <w:spacing w:val="12"/>
                <w:sz w:val="20"/>
                <w:szCs w:val="20"/>
              </w:rPr>
              <w:t>安全使用说明，安全生产规程，防</w:t>
            </w:r>
            <w:r>
              <w:rPr>
                <w:spacing w:val="10"/>
                <w:sz w:val="20"/>
                <w:szCs w:val="20"/>
              </w:rPr>
              <w:t xml:space="preserve"> </w:t>
            </w:r>
            <w:r>
              <w:rPr>
                <w:spacing w:val="7"/>
                <w:sz w:val="20"/>
                <w:szCs w:val="20"/>
              </w:rPr>
              <w:t>火、防汛应急预案等。</w:t>
            </w:r>
          </w:p>
          <w:p w14:paraId="63AB2554">
            <w:pPr>
              <w:pStyle w:val="6"/>
              <w:spacing w:before="72" w:line="255" w:lineRule="auto"/>
              <w:ind w:left="114" w:right="109" w:firstLine="476"/>
              <w:rPr>
                <w:sz w:val="20"/>
                <w:szCs w:val="20"/>
              </w:rPr>
            </w:pPr>
            <w:r>
              <w:rPr>
                <w:rFonts w:ascii="Calibri" w:hAnsi="Calibri" w:eastAsia="Calibri" w:cs="Calibri"/>
                <w:spacing w:val="15"/>
              </w:rPr>
              <w:t>4.6.2</w:t>
            </w:r>
            <w:r>
              <w:rPr>
                <w:spacing w:val="15"/>
                <w:sz w:val="20"/>
                <w:szCs w:val="20"/>
              </w:rPr>
              <w:t>拆解场地内应设置安全</w:t>
            </w:r>
            <w:r>
              <w:rPr>
                <w:spacing w:val="4"/>
                <w:sz w:val="20"/>
                <w:szCs w:val="20"/>
              </w:rPr>
              <w:t xml:space="preserve"> </w:t>
            </w:r>
            <w:r>
              <w:rPr>
                <w:spacing w:val="7"/>
                <w:sz w:val="20"/>
                <w:szCs w:val="20"/>
              </w:rPr>
              <w:t>标志，安全标志应符合</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2894</w:t>
            </w:r>
            <w:r>
              <w:rPr>
                <w:spacing w:val="7"/>
                <w:sz w:val="20"/>
                <w:szCs w:val="20"/>
              </w:rPr>
              <w:t>的规</w:t>
            </w:r>
            <w:r>
              <w:rPr>
                <w:spacing w:val="1"/>
                <w:sz w:val="20"/>
                <w:szCs w:val="20"/>
              </w:rPr>
              <w:t xml:space="preserve"> </w:t>
            </w:r>
            <w:r>
              <w:rPr>
                <w:sz w:val="20"/>
                <w:szCs w:val="20"/>
              </w:rPr>
              <w:t>定。</w:t>
            </w:r>
          </w:p>
          <w:p w14:paraId="356348A9">
            <w:pPr>
              <w:pStyle w:val="6"/>
              <w:spacing w:before="72" w:line="255" w:lineRule="auto"/>
              <w:ind w:left="116" w:right="109" w:firstLine="474"/>
              <w:rPr>
                <w:sz w:val="20"/>
                <w:szCs w:val="20"/>
              </w:rPr>
            </w:pPr>
            <w:r>
              <w:rPr>
                <w:rFonts w:ascii="Calibri" w:hAnsi="Calibri" w:eastAsia="Calibri" w:cs="Calibri"/>
                <w:spacing w:val="1"/>
              </w:rPr>
              <w:t>4.6.3</w:t>
            </w:r>
            <w:r>
              <w:rPr>
                <w:spacing w:val="1"/>
                <w:sz w:val="20"/>
                <w:szCs w:val="20"/>
              </w:rPr>
              <w:t>对接触有害化学因素、物</w:t>
            </w:r>
            <w:r>
              <w:rPr>
                <w:spacing w:val="13"/>
                <w:sz w:val="20"/>
                <w:szCs w:val="20"/>
              </w:rPr>
              <w:t xml:space="preserve"> </w:t>
            </w:r>
            <w:r>
              <w:rPr>
                <w:spacing w:val="12"/>
                <w:sz w:val="20"/>
                <w:szCs w:val="20"/>
              </w:rPr>
              <w:t>理因素、粉尘等的作业人员，应按</w:t>
            </w:r>
            <w:r>
              <w:rPr>
                <w:spacing w:val="10"/>
                <w:sz w:val="20"/>
                <w:szCs w:val="20"/>
              </w:rPr>
              <w:t xml:space="preserve"> </w:t>
            </w:r>
            <w:r>
              <w:rPr>
                <w:spacing w:val="8"/>
                <w:sz w:val="20"/>
                <w:szCs w:val="20"/>
              </w:rPr>
              <w:t>照</w:t>
            </w:r>
            <w:r>
              <w:rPr>
                <w:rFonts w:ascii="Times New Roman" w:hAnsi="Times New Roman" w:eastAsia="Times New Roman" w:cs="Times New Roman"/>
                <w:sz w:val="20"/>
                <w:szCs w:val="20"/>
              </w:rPr>
              <w:t>GBZ</w:t>
            </w:r>
            <w:r>
              <w:rPr>
                <w:rFonts w:ascii="Times New Roman" w:hAnsi="Times New Roman" w:eastAsia="Times New Roman" w:cs="Times New Roman"/>
                <w:spacing w:val="8"/>
                <w:sz w:val="20"/>
                <w:szCs w:val="20"/>
              </w:rPr>
              <w:t>188</w:t>
            </w:r>
            <w:r>
              <w:rPr>
                <w:spacing w:val="8"/>
                <w:sz w:val="20"/>
                <w:szCs w:val="20"/>
              </w:rPr>
              <w:t>规定的要求进行监护。</w:t>
            </w:r>
          </w:p>
        </w:tc>
        <w:tc>
          <w:tcPr>
            <w:tcW w:w="2318" w:type="dxa"/>
            <w:vAlign w:val="top"/>
          </w:tcPr>
          <w:p w14:paraId="0231DB0B">
            <w:pPr>
              <w:pStyle w:val="6"/>
              <w:spacing w:before="86" w:line="289" w:lineRule="auto"/>
              <w:ind w:left="115" w:right="26" w:firstLine="420"/>
              <w:rPr>
                <w:sz w:val="20"/>
                <w:szCs w:val="20"/>
              </w:rPr>
            </w:pPr>
            <w:r>
              <w:rPr>
                <w:spacing w:val="6"/>
                <w:sz w:val="20"/>
                <w:szCs w:val="20"/>
              </w:rPr>
              <w:t>根据</w:t>
            </w: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/T 33000</w:t>
            </w:r>
            <w:r>
              <w:rPr>
                <w:spacing w:val="6"/>
                <w:sz w:val="20"/>
                <w:szCs w:val="20"/>
              </w:rPr>
              <w:t>的</w:t>
            </w:r>
            <w:r>
              <w:rPr>
                <w:spacing w:val="1"/>
                <w:sz w:val="20"/>
                <w:szCs w:val="20"/>
              </w:rPr>
              <w:t xml:space="preserve"> </w:t>
            </w:r>
            <w:r>
              <w:rPr>
                <w:spacing w:val="9"/>
                <w:sz w:val="20"/>
                <w:szCs w:val="20"/>
              </w:rPr>
              <w:t>规定，制定安全管理制</w:t>
            </w:r>
            <w:r>
              <w:rPr>
                <w:spacing w:val="1"/>
                <w:sz w:val="20"/>
                <w:szCs w:val="20"/>
              </w:rPr>
              <w:t xml:space="preserve"> </w:t>
            </w:r>
            <w:r>
              <w:rPr>
                <w:spacing w:val="9"/>
                <w:sz w:val="20"/>
                <w:szCs w:val="20"/>
              </w:rPr>
              <w:t>度，水电气等安全使用</w:t>
            </w:r>
            <w:r>
              <w:rPr>
                <w:sz w:val="20"/>
                <w:szCs w:val="20"/>
              </w:rPr>
              <w:t xml:space="preserve">  </w:t>
            </w:r>
            <w:r>
              <w:rPr>
                <w:spacing w:val="10"/>
                <w:sz w:val="20"/>
                <w:szCs w:val="20"/>
              </w:rPr>
              <w:t>说明，安全生产规程，</w:t>
            </w:r>
            <w:r>
              <w:rPr>
                <w:spacing w:val="8"/>
                <w:sz w:val="20"/>
                <w:szCs w:val="20"/>
              </w:rPr>
              <w:t xml:space="preserve"> </w:t>
            </w:r>
            <w:r>
              <w:rPr>
                <w:spacing w:val="-3"/>
                <w:sz w:val="20"/>
                <w:szCs w:val="20"/>
              </w:rPr>
              <w:t>防火、防汛应急预案等。</w:t>
            </w:r>
          </w:p>
          <w:p w14:paraId="6B6BD18A">
            <w:pPr>
              <w:pStyle w:val="6"/>
              <w:spacing w:before="31" w:line="286" w:lineRule="auto"/>
              <w:ind w:left="115" w:right="97" w:firstLine="420"/>
              <w:rPr>
                <w:sz w:val="20"/>
                <w:szCs w:val="20"/>
              </w:rPr>
            </w:pPr>
            <w:r>
              <w:rPr>
                <w:spacing w:val="9"/>
                <w:sz w:val="20"/>
                <w:szCs w:val="20"/>
              </w:rPr>
              <w:t>拆解场地内设置安</w:t>
            </w:r>
            <w:r>
              <w:rPr>
                <w:spacing w:val="6"/>
                <w:sz w:val="20"/>
                <w:szCs w:val="20"/>
              </w:rPr>
              <w:t xml:space="preserve"> </w:t>
            </w:r>
            <w:r>
              <w:rPr>
                <w:spacing w:val="10"/>
                <w:sz w:val="20"/>
                <w:szCs w:val="20"/>
              </w:rPr>
              <w:t>全标志，安全标志符合</w:t>
            </w:r>
            <w:r>
              <w:rPr>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2894</w:t>
            </w:r>
            <w:r>
              <w:rPr>
                <w:spacing w:val="7"/>
                <w:sz w:val="20"/>
                <w:szCs w:val="20"/>
              </w:rPr>
              <w:t>的规定。</w:t>
            </w:r>
          </w:p>
          <w:p w14:paraId="37B6D753">
            <w:pPr>
              <w:pStyle w:val="6"/>
              <w:spacing w:before="29" w:line="278" w:lineRule="auto"/>
              <w:ind w:left="115" w:right="97" w:firstLine="420"/>
              <w:rPr>
                <w:sz w:val="20"/>
                <w:szCs w:val="20"/>
              </w:rPr>
            </w:pPr>
            <w:r>
              <w:rPr>
                <w:spacing w:val="10"/>
                <w:sz w:val="20"/>
                <w:szCs w:val="20"/>
              </w:rPr>
              <w:t>对接触有害化学因</w:t>
            </w:r>
            <w:r>
              <w:rPr>
                <w:sz w:val="20"/>
                <w:szCs w:val="20"/>
              </w:rPr>
              <w:t xml:space="preserve"> </w:t>
            </w:r>
            <w:r>
              <w:rPr>
                <w:spacing w:val="9"/>
                <w:sz w:val="20"/>
                <w:szCs w:val="20"/>
              </w:rPr>
              <w:t>素、物理因素、粉尘等</w:t>
            </w:r>
            <w:r>
              <w:rPr>
                <w:spacing w:val="8"/>
                <w:sz w:val="20"/>
                <w:szCs w:val="20"/>
              </w:rPr>
              <w:t xml:space="preserve"> </w:t>
            </w:r>
            <w:r>
              <w:rPr>
                <w:spacing w:val="-6"/>
                <w:sz w:val="20"/>
                <w:szCs w:val="20"/>
              </w:rPr>
              <w:t>的</w:t>
            </w:r>
            <w:r>
              <w:rPr>
                <w:spacing w:val="-23"/>
                <w:sz w:val="20"/>
                <w:szCs w:val="20"/>
              </w:rPr>
              <w:t xml:space="preserve"> </w:t>
            </w:r>
            <w:r>
              <w:rPr>
                <w:spacing w:val="-6"/>
                <w:sz w:val="20"/>
                <w:szCs w:val="20"/>
              </w:rPr>
              <w:t>作</w:t>
            </w:r>
            <w:r>
              <w:rPr>
                <w:spacing w:val="-30"/>
                <w:sz w:val="20"/>
                <w:szCs w:val="20"/>
              </w:rPr>
              <w:t xml:space="preserve"> </w:t>
            </w:r>
            <w:r>
              <w:rPr>
                <w:spacing w:val="-6"/>
                <w:sz w:val="20"/>
                <w:szCs w:val="20"/>
              </w:rPr>
              <w:t>业</w:t>
            </w:r>
            <w:r>
              <w:rPr>
                <w:spacing w:val="-28"/>
                <w:sz w:val="20"/>
                <w:szCs w:val="20"/>
              </w:rPr>
              <w:t xml:space="preserve"> </w:t>
            </w:r>
            <w:r>
              <w:rPr>
                <w:spacing w:val="-6"/>
                <w:sz w:val="20"/>
                <w:szCs w:val="20"/>
              </w:rPr>
              <w:t>人</w:t>
            </w:r>
            <w:r>
              <w:rPr>
                <w:spacing w:val="-22"/>
                <w:sz w:val="20"/>
                <w:szCs w:val="20"/>
              </w:rPr>
              <w:t xml:space="preserve"> </w:t>
            </w:r>
            <w:r>
              <w:rPr>
                <w:spacing w:val="-6"/>
                <w:sz w:val="20"/>
                <w:szCs w:val="20"/>
              </w:rPr>
              <w:t>员 ，</w:t>
            </w:r>
            <w:r>
              <w:rPr>
                <w:spacing w:val="-21"/>
                <w:sz w:val="20"/>
                <w:szCs w:val="20"/>
              </w:rPr>
              <w:t xml:space="preserve"> </w:t>
            </w:r>
            <w:r>
              <w:rPr>
                <w:spacing w:val="-6"/>
                <w:sz w:val="20"/>
                <w:szCs w:val="20"/>
              </w:rPr>
              <w:t>按</w:t>
            </w:r>
            <w:r>
              <w:rPr>
                <w:spacing w:val="-23"/>
                <w:sz w:val="20"/>
                <w:szCs w:val="20"/>
              </w:rPr>
              <w:t xml:space="preserve"> </w:t>
            </w:r>
            <w:r>
              <w:rPr>
                <w:spacing w:val="-6"/>
                <w:sz w:val="20"/>
                <w:szCs w:val="20"/>
              </w:rPr>
              <w:t>照</w:t>
            </w:r>
            <w:r>
              <w:rPr>
                <w:sz w:val="20"/>
                <w:szCs w:val="20"/>
              </w:rPr>
              <w:t xml:space="preserve"> </w:t>
            </w:r>
            <w:r>
              <w:rPr>
                <w:rFonts w:ascii="Times New Roman" w:hAnsi="Times New Roman" w:eastAsia="Times New Roman" w:cs="Times New Roman"/>
                <w:sz w:val="20"/>
                <w:szCs w:val="20"/>
              </w:rPr>
              <w:t>GBZ</w:t>
            </w:r>
            <w:r>
              <w:rPr>
                <w:rFonts w:ascii="Times New Roman" w:hAnsi="Times New Roman" w:eastAsia="Times New Roman" w:cs="Times New Roman"/>
                <w:spacing w:val="22"/>
                <w:sz w:val="20"/>
                <w:szCs w:val="20"/>
              </w:rPr>
              <w:t>188</w:t>
            </w:r>
            <w:r>
              <w:rPr>
                <w:spacing w:val="22"/>
                <w:sz w:val="20"/>
                <w:szCs w:val="20"/>
              </w:rPr>
              <w:t>规定的要求进</w:t>
            </w:r>
            <w:r>
              <w:rPr>
                <w:spacing w:val="1"/>
                <w:sz w:val="20"/>
                <w:szCs w:val="20"/>
              </w:rPr>
              <w:t xml:space="preserve"> </w:t>
            </w:r>
            <w:r>
              <w:rPr>
                <w:spacing w:val="7"/>
                <w:sz w:val="20"/>
                <w:szCs w:val="20"/>
              </w:rPr>
              <w:t>行监护</w:t>
            </w:r>
          </w:p>
        </w:tc>
        <w:tc>
          <w:tcPr>
            <w:tcW w:w="1145" w:type="dxa"/>
            <w:vMerge w:val="continue"/>
            <w:tcBorders>
              <w:top w:val="nil"/>
              <w:bottom w:val="nil"/>
              <w:right w:val="single" w:color="000000" w:sz="10" w:space="0"/>
            </w:tcBorders>
            <w:vAlign w:val="top"/>
          </w:tcPr>
          <w:p w14:paraId="00EB8736">
            <w:pPr>
              <w:rPr>
                <w:rFonts w:ascii="Arial"/>
                <w:sz w:val="21"/>
              </w:rPr>
            </w:pPr>
          </w:p>
        </w:tc>
      </w:tr>
      <w:tr w14:paraId="2A3408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9" w:hRule="atLeast"/>
        </w:trPr>
        <w:tc>
          <w:tcPr>
            <w:tcW w:w="494" w:type="dxa"/>
            <w:vMerge w:val="continue"/>
            <w:tcBorders>
              <w:top w:val="nil"/>
              <w:left w:val="single" w:color="000000" w:sz="10" w:space="0"/>
              <w:bottom w:val="nil"/>
            </w:tcBorders>
            <w:vAlign w:val="top"/>
          </w:tcPr>
          <w:p w14:paraId="5DE146B1">
            <w:pPr>
              <w:rPr>
                <w:rFonts w:ascii="Arial"/>
                <w:sz w:val="21"/>
              </w:rPr>
            </w:pPr>
          </w:p>
        </w:tc>
        <w:tc>
          <w:tcPr>
            <w:tcW w:w="547" w:type="dxa"/>
            <w:vMerge w:val="continue"/>
            <w:tcBorders>
              <w:top w:val="nil"/>
              <w:bottom w:val="nil"/>
            </w:tcBorders>
            <w:vAlign w:val="top"/>
          </w:tcPr>
          <w:p w14:paraId="3FD1293B">
            <w:pPr>
              <w:rPr>
                <w:rFonts w:ascii="Arial"/>
                <w:sz w:val="21"/>
              </w:rPr>
            </w:pPr>
          </w:p>
        </w:tc>
        <w:tc>
          <w:tcPr>
            <w:tcW w:w="436" w:type="dxa"/>
            <w:vMerge w:val="continue"/>
            <w:tcBorders>
              <w:top w:val="nil"/>
            </w:tcBorders>
            <w:vAlign w:val="top"/>
          </w:tcPr>
          <w:p w14:paraId="307FA589">
            <w:pPr>
              <w:rPr>
                <w:rFonts w:ascii="Arial"/>
                <w:sz w:val="21"/>
              </w:rPr>
            </w:pPr>
          </w:p>
        </w:tc>
        <w:tc>
          <w:tcPr>
            <w:tcW w:w="560" w:type="dxa"/>
            <w:vAlign w:val="top"/>
          </w:tcPr>
          <w:p w14:paraId="72D784B2">
            <w:pPr>
              <w:spacing w:line="281" w:lineRule="auto"/>
              <w:rPr>
                <w:rFonts w:ascii="Arial"/>
                <w:sz w:val="21"/>
              </w:rPr>
            </w:pPr>
          </w:p>
          <w:p w14:paraId="19AC93DB">
            <w:pPr>
              <w:spacing w:line="281" w:lineRule="auto"/>
              <w:rPr>
                <w:rFonts w:ascii="Arial"/>
                <w:sz w:val="21"/>
              </w:rPr>
            </w:pPr>
          </w:p>
          <w:p w14:paraId="4F83E3EC">
            <w:pPr>
              <w:spacing w:line="281" w:lineRule="auto"/>
              <w:rPr>
                <w:rFonts w:ascii="Arial"/>
                <w:sz w:val="21"/>
              </w:rPr>
            </w:pPr>
          </w:p>
          <w:p w14:paraId="060A031D">
            <w:pPr>
              <w:pStyle w:val="6"/>
              <w:spacing w:before="73" w:line="271" w:lineRule="auto"/>
              <w:ind w:left="173" w:right="132" w:hanging="50"/>
              <w:jc w:val="both"/>
              <w:rPr>
                <w:sz w:val="20"/>
                <w:szCs w:val="20"/>
              </w:rPr>
            </w:pPr>
            <w:r>
              <w:rPr>
                <w:rFonts w:ascii="Calibri" w:hAnsi="Calibri" w:eastAsia="Calibri" w:cs="Calibri"/>
                <w:spacing w:val="-2"/>
              </w:rPr>
              <w:t>4.7</w:t>
            </w:r>
            <w:r>
              <w:rPr>
                <w:rFonts w:ascii="Calibri" w:hAnsi="Calibri" w:eastAsia="Calibri" w:cs="Calibri"/>
              </w:rPr>
              <w:t xml:space="preserve"> </w:t>
            </w:r>
            <w:r>
              <w:rPr>
                <w:sz w:val="20"/>
                <w:szCs w:val="20"/>
              </w:rPr>
              <w:t>环 保 要 求</w:t>
            </w:r>
          </w:p>
        </w:tc>
        <w:tc>
          <w:tcPr>
            <w:tcW w:w="3422" w:type="dxa"/>
            <w:vAlign w:val="top"/>
          </w:tcPr>
          <w:p w14:paraId="64548602">
            <w:pPr>
              <w:spacing w:line="271" w:lineRule="auto"/>
              <w:rPr>
                <w:rFonts w:ascii="Arial"/>
                <w:sz w:val="21"/>
              </w:rPr>
            </w:pPr>
          </w:p>
          <w:p w14:paraId="4198F294">
            <w:pPr>
              <w:spacing w:line="272" w:lineRule="auto"/>
              <w:rPr>
                <w:rFonts w:ascii="Arial"/>
                <w:sz w:val="21"/>
              </w:rPr>
            </w:pPr>
          </w:p>
          <w:p w14:paraId="6FD427A1">
            <w:pPr>
              <w:spacing w:line="272" w:lineRule="auto"/>
              <w:rPr>
                <w:rFonts w:ascii="Arial"/>
                <w:sz w:val="21"/>
              </w:rPr>
            </w:pPr>
          </w:p>
          <w:p w14:paraId="4253A228">
            <w:pPr>
              <w:pStyle w:val="6"/>
              <w:spacing w:before="65" w:line="268" w:lineRule="auto"/>
              <w:ind w:left="114" w:right="107" w:firstLine="414"/>
              <w:rPr>
                <w:sz w:val="20"/>
                <w:szCs w:val="20"/>
              </w:rPr>
            </w:pPr>
            <w:r>
              <w:rPr>
                <w:rFonts w:ascii="Times New Roman" w:hAnsi="Times New Roman" w:eastAsia="Times New Roman" w:cs="Times New Roman"/>
                <w:spacing w:val="9"/>
                <w:sz w:val="20"/>
                <w:szCs w:val="20"/>
              </w:rPr>
              <w:t>4.7.</w:t>
            </w:r>
            <w:r>
              <w:rPr>
                <w:rFonts w:ascii="Times New Roman" w:hAnsi="Times New Roman" w:eastAsia="Times New Roman" w:cs="Times New Roman"/>
                <w:spacing w:val="-15"/>
                <w:sz w:val="20"/>
                <w:szCs w:val="20"/>
              </w:rPr>
              <w:t xml:space="preserve"> </w:t>
            </w:r>
            <w:r>
              <w:rPr>
                <w:rFonts w:ascii="Times New Roman" w:hAnsi="Times New Roman" w:eastAsia="Times New Roman" w:cs="Times New Roman"/>
                <w:spacing w:val="9"/>
                <w:sz w:val="20"/>
                <w:szCs w:val="20"/>
              </w:rPr>
              <w:t>1</w:t>
            </w:r>
            <w:r>
              <w:rPr>
                <w:spacing w:val="9"/>
                <w:sz w:val="20"/>
                <w:szCs w:val="20"/>
              </w:rPr>
              <w:t>拆解区环境噪声限值应符</w:t>
            </w:r>
            <w:r>
              <w:rPr>
                <w:sz w:val="20"/>
                <w:szCs w:val="20"/>
              </w:rPr>
              <w:t xml:space="preserve"> </w:t>
            </w:r>
            <w:r>
              <w:rPr>
                <w:spacing w:val="8"/>
                <w:sz w:val="20"/>
                <w:szCs w:val="20"/>
              </w:rPr>
              <w:t>合</w:t>
            </w:r>
            <w:r>
              <w:rPr>
                <w:rFonts w:ascii="Times New Roman" w:hAnsi="Times New Roman" w:eastAsia="Times New Roman" w:cs="Times New Roman"/>
                <w:sz w:val="20"/>
                <w:szCs w:val="20"/>
              </w:rPr>
              <w:t>GB</w:t>
            </w:r>
            <w:r>
              <w:rPr>
                <w:rFonts w:ascii="Times New Roman" w:hAnsi="Times New Roman" w:eastAsia="Times New Roman" w:cs="Times New Roman"/>
                <w:spacing w:val="35"/>
                <w:w w:val="101"/>
                <w:sz w:val="20"/>
                <w:szCs w:val="20"/>
              </w:rPr>
              <w:t xml:space="preserve"> </w:t>
            </w:r>
            <w:r>
              <w:rPr>
                <w:rFonts w:ascii="Times New Roman" w:hAnsi="Times New Roman" w:eastAsia="Times New Roman" w:cs="Times New Roman"/>
                <w:spacing w:val="8"/>
                <w:sz w:val="20"/>
                <w:szCs w:val="20"/>
              </w:rPr>
              <w:t>12348</w:t>
            </w:r>
            <w:r>
              <w:rPr>
                <w:spacing w:val="8"/>
                <w:sz w:val="20"/>
                <w:szCs w:val="20"/>
              </w:rPr>
              <w:t>规定的三类声环境功能</w:t>
            </w:r>
            <w:r>
              <w:rPr>
                <w:sz w:val="20"/>
                <w:szCs w:val="20"/>
              </w:rPr>
              <w:t xml:space="preserve"> </w:t>
            </w:r>
            <w:r>
              <w:rPr>
                <w:spacing w:val="5"/>
                <w:sz w:val="20"/>
                <w:szCs w:val="20"/>
              </w:rPr>
              <w:t>区的要求。</w:t>
            </w:r>
          </w:p>
          <w:p w14:paraId="7E1796DA">
            <w:pPr>
              <w:pStyle w:val="6"/>
              <w:spacing w:before="71" w:line="239" w:lineRule="auto"/>
              <w:ind w:left="127" w:right="39" w:firstLine="463"/>
              <w:rPr>
                <w:sz w:val="20"/>
                <w:szCs w:val="20"/>
              </w:rPr>
            </w:pPr>
            <w:r>
              <w:rPr>
                <w:rFonts w:ascii="Calibri" w:hAnsi="Calibri" w:eastAsia="Calibri" w:cs="Calibri"/>
                <w:spacing w:val="15"/>
              </w:rPr>
              <w:t>4.7.2</w:t>
            </w:r>
            <w:r>
              <w:rPr>
                <w:spacing w:val="15"/>
                <w:sz w:val="20"/>
                <w:szCs w:val="20"/>
              </w:rPr>
              <w:t>拆解时存在有害气体或</w:t>
            </w:r>
            <w:r>
              <w:rPr>
                <w:spacing w:val="4"/>
                <w:sz w:val="20"/>
                <w:szCs w:val="20"/>
              </w:rPr>
              <w:t xml:space="preserve"> </w:t>
            </w:r>
            <w:r>
              <w:rPr>
                <w:spacing w:val="3"/>
                <w:sz w:val="20"/>
                <w:szCs w:val="20"/>
              </w:rPr>
              <w:t>易燃气体，应做好导流和无害处理。</w:t>
            </w:r>
          </w:p>
        </w:tc>
        <w:tc>
          <w:tcPr>
            <w:tcW w:w="2318" w:type="dxa"/>
            <w:vAlign w:val="top"/>
          </w:tcPr>
          <w:p w14:paraId="709E7560">
            <w:pPr>
              <w:pStyle w:val="6"/>
              <w:spacing w:before="91" w:line="291" w:lineRule="auto"/>
              <w:ind w:left="112" w:right="77" w:firstLine="423"/>
              <w:rPr>
                <w:sz w:val="20"/>
                <w:szCs w:val="20"/>
              </w:rPr>
            </w:pPr>
            <w:r>
              <w:rPr>
                <w:spacing w:val="9"/>
                <w:sz w:val="20"/>
                <w:szCs w:val="20"/>
              </w:rPr>
              <w:t>拆解车间采用低噪</w:t>
            </w:r>
            <w:r>
              <w:rPr>
                <w:spacing w:val="6"/>
                <w:sz w:val="20"/>
                <w:szCs w:val="20"/>
              </w:rPr>
              <w:t xml:space="preserve"> </w:t>
            </w:r>
            <w:r>
              <w:rPr>
                <w:spacing w:val="11"/>
                <w:sz w:val="20"/>
                <w:szCs w:val="20"/>
              </w:rPr>
              <w:t>声设备、减振、消声、</w:t>
            </w:r>
            <w:r>
              <w:rPr>
                <w:spacing w:val="5"/>
                <w:sz w:val="20"/>
                <w:szCs w:val="20"/>
              </w:rPr>
              <w:t xml:space="preserve"> </w:t>
            </w:r>
            <w:r>
              <w:rPr>
                <w:spacing w:val="10"/>
                <w:sz w:val="20"/>
                <w:szCs w:val="20"/>
              </w:rPr>
              <w:t>距离衰减等措施，项目</w:t>
            </w:r>
            <w:r>
              <w:rPr>
                <w:spacing w:val="1"/>
                <w:sz w:val="20"/>
                <w:szCs w:val="20"/>
              </w:rPr>
              <w:t xml:space="preserve"> </w:t>
            </w:r>
            <w:r>
              <w:rPr>
                <w:spacing w:val="10"/>
                <w:sz w:val="20"/>
                <w:szCs w:val="20"/>
              </w:rPr>
              <w:t>厂界噪声满足《工业企</w:t>
            </w:r>
            <w:r>
              <w:rPr>
                <w:spacing w:val="1"/>
                <w:sz w:val="20"/>
                <w:szCs w:val="20"/>
              </w:rPr>
              <w:t xml:space="preserve"> </w:t>
            </w:r>
            <w:r>
              <w:rPr>
                <w:spacing w:val="10"/>
                <w:sz w:val="20"/>
                <w:szCs w:val="20"/>
              </w:rPr>
              <w:t>业厂界环境噪声排放标</w:t>
            </w:r>
            <w:r>
              <w:rPr>
                <w:spacing w:val="1"/>
                <w:sz w:val="20"/>
                <w:szCs w:val="20"/>
              </w:rPr>
              <w:t xml:space="preserve"> </w:t>
            </w:r>
            <w:r>
              <w:rPr>
                <w:spacing w:val="5"/>
                <w:sz w:val="20"/>
                <w:szCs w:val="20"/>
              </w:rPr>
              <w:t>准》（</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12348-2008</w:t>
            </w:r>
            <w:r>
              <w:rPr>
                <w:spacing w:val="5"/>
                <w:sz w:val="20"/>
                <w:szCs w:val="20"/>
              </w:rPr>
              <w:t>）</w:t>
            </w:r>
            <w:r>
              <w:rPr>
                <w:spacing w:val="7"/>
                <w:sz w:val="20"/>
                <w:szCs w:val="20"/>
              </w:rPr>
              <w:t xml:space="preserve"> </w:t>
            </w:r>
            <w:r>
              <w:rPr>
                <w:rFonts w:ascii="Times New Roman" w:hAnsi="Times New Roman" w:eastAsia="Times New Roman" w:cs="Times New Roman"/>
                <w:spacing w:val="6"/>
                <w:sz w:val="20"/>
                <w:szCs w:val="20"/>
              </w:rPr>
              <w:t>2</w:t>
            </w:r>
            <w:r>
              <w:rPr>
                <w:spacing w:val="6"/>
                <w:sz w:val="20"/>
                <w:szCs w:val="20"/>
              </w:rPr>
              <w:t>类标准。</w:t>
            </w:r>
          </w:p>
          <w:p w14:paraId="18EB2545">
            <w:pPr>
              <w:pStyle w:val="6"/>
              <w:spacing w:before="32" w:line="264" w:lineRule="auto"/>
              <w:ind w:left="116" w:right="97" w:firstLine="420"/>
              <w:rPr>
                <w:sz w:val="20"/>
                <w:szCs w:val="20"/>
              </w:rPr>
            </w:pPr>
            <w:r>
              <w:rPr>
                <w:spacing w:val="9"/>
                <w:sz w:val="20"/>
                <w:szCs w:val="20"/>
              </w:rPr>
              <w:t>拆解时存在有害气</w:t>
            </w:r>
            <w:r>
              <w:rPr>
                <w:spacing w:val="6"/>
                <w:sz w:val="20"/>
                <w:szCs w:val="20"/>
              </w:rPr>
              <w:t xml:space="preserve"> </w:t>
            </w:r>
            <w:r>
              <w:rPr>
                <w:spacing w:val="9"/>
                <w:sz w:val="20"/>
                <w:szCs w:val="20"/>
              </w:rPr>
              <w:t>体或易燃气体，做好导</w:t>
            </w:r>
            <w:r>
              <w:rPr>
                <w:spacing w:val="8"/>
                <w:sz w:val="20"/>
                <w:szCs w:val="20"/>
              </w:rPr>
              <w:t xml:space="preserve"> 流和无害处理</w:t>
            </w:r>
          </w:p>
        </w:tc>
        <w:tc>
          <w:tcPr>
            <w:tcW w:w="1145" w:type="dxa"/>
            <w:vMerge w:val="continue"/>
            <w:tcBorders>
              <w:top w:val="nil"/>
              <w:bottom w:val="nil"/>
              <w:right w:val="single" w:color="000000" w:sz="10" w:space="0"/>
            </w:tcBorders>
            <w:vAlign w:val="top"/>
          </w:tcPr>
          <w:p w14:paraId="4A73BF8A">
            <w:pPr>
              <w:rPr>
                <w:rFonts w:ascii="Arial"/>
                <w:sz w:val="21"/>
              </w:rPr>
            </w:pPr>
          </w:p>
        </w:tc>
      </w:tr>
      <w:tr w14:paraId="32A596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6" w:hRule="atLeast"/>
        </w:trPr>
        <w:tc>
          <w:tcPr>
            <w:tcW w:w="494" w:type="dxa"/>
            <w:vMerge w:val="continue"/>
            <w:tcBorders>
              <w:top w:val="nil"/>
              <w:left w:val="single" w:color="000000" w:sz="10" w:space="0"/>
              <w:bottom w:val="nil"/>
            </w:tcBorders>
            <w:vAlign w:val="top"/>
          </w:tcPr>
          <w:p w14:paraId="3B6FB5C3">
            <w:pPr>
              <w:rPr>
                <w:rFonts w:ascii="Arial"/>
                <w:sz w:val="21"/>
              </w:rPr>
            </w:pPr>
          </w:p>
        </w:tc>
        <w:tc>
          <w:tcPr>
            <w:tcW w:w="547" w:type="dxa"/>
            <w:vMerge w:val="continue"/>
            <w:tcBorders>
              <w:top w:val="nil"/>
              <w:bottom w:val="nil"/>
            </w:tcBorders>
            <w:vAlign w:val="top"/>
          </w:tcPr>
          <w:p w14:paraId="70F54EFE">
            <w:pPr>
              <w:rPr>
                <w:rFonts w:ascii="Arial"/>
                <w:sz w:val="21"/>
              </w:rPr>
            </w:pPr>
          </w:p>
        </w:tc>
        <w:tc>
          <w:tcPr>
            <w:tcW w:w="996" w:type="dxa"/>
            <w:gridSpan w:val="2"/>
            <w:vMerge w:val="restart"/>
            <w:tcBorders>
              <w:bottom w:val="nil"/>
            </w:tcBorders>
            <w:vAlign w:val="top"/>
          </w:tcPr>
          <w:p w14:paraId="0BF0F2F7">
            <w:pPr>
              <w:spacing w:line="251" w:lineRule="auto"/>
              <w:rPr>
                <w:rFonts w:ascii="Arial"/>
                <w:sz w:val="21"/>
              </w:rPr>
            </w:pPr>
          </w:p>
          <w:p w14:paraId="7CD0075B">
            <w:pPr>
              <w:spacing w:line="251" w:lineRule="auto"/>
              <w:rPr>
                <w:rFonts w:ascii="Arial"/>
                <w:sz w:val="21"/>
              </w:rPr>
            </w:pPr>
          </w:p>
          <w:p w14:paraId="14BEE008">
            <w:pPr>
              <w:spacing w:line="251" w:lineRule="auto"/>
              <w:rPr>
                <w:rFonts w:ascii="Arial"/>
                <w:sz w:val="21"/>
              </w:rPr>
            </w:pPr>
          </w:p>
          <w:p w14:paraId="1929AB71">
            <w:pPr>
              <w:spacing w:line="251" w:lineRule="auto"/>
              <w:rPr>
                <w:rFonts w:ascii="Arial"/>
                <w:sz w:val="21"/>
              </w:rPr>
            </w:pPr>
          </w:p>
          <w:p w14:paraId="4F58A450">
            <w:pPr>
              <w:spacing w:line="252" w:lineRule="auto"/>
              <w:rPr>
                <w:rFonts w:ascii="Arial"/>
                <w:sz w:val="21"/>
              </w:rPr>
            </w:pPr>
          </w:p>
          <w:p w14:paraId="5255D15C">
            <w:pPr>
              <w:pStyle w:val="6"/>
              <w:spacing w:before="74" w:line="253" w:lineRule="auto"/>
              <w:ind w:left="181" w:right="129" w:hanging="60"/>
              <w:rPr>
                <w:sz w:val="20"/>
                <w:szCs w:val="20"/>
              </w:rPr>
            </w:pPr>
            <w:r>
              <w:rPr>
                <w:rFonts w:ascii="Calibri" w:hAnsi="Calibri" w:eastAsia="Calibri" w:cs="Calibri"/>
                <w:spacing w:val="4"/>
              </w:rPr>
              <w:t>5</w:t>
            </w:r>
            <w:r>
              <w:rPr>
                <w:spacing w:val="4"/>
                <w:sz w:val="20"/>
                <w:szCs w:val="20"/>
              </w:rPr>
              <w:t>回收技</w:t>
            </w:r>
            <w:r>
              <w:rPr>
                <w:sz w:val="20"/>
                <w:szCs w:val="20"/>
              </w:rPr>
              <w:t xml:space="preserve"> </w:t>
            </w:r>
            <w:r>
              <w:rPr>
                <w:spacing w:val="6"/>
                <w:sz w:val="20"/>
                <w:szCs w:val="20"/>
              </w:rPr>
              <w:t>术要求</w:t>
            </w:r>
          </w:p>
        </w:tc>
        <w:tc>
          <w:tcPr>
            <w:tcW w:w="3422" w:type="dxa"/>
            <w:vAlign w:val="top"/>
          </w:tcPr>
          <w:p w14:paraId="25700305">
            <w:pPr>
              <w:pStyle w:val="6"/>
              <w:spacing w:before="82" w:line="273" w:lineRule="auto"/>
              <w:ind w:left="112" w:right="107" w:firstLine="484"/>
              <w:jc w:val="both"/>
              <w:rPr>
                <w:sz w:val="20"/>
                <w:szCs w:val="20"/>
              </w:rPr>
            </w:pPr>
            <w:r>
              <w:rPr>
                <w:rFonts w:ascii="Calibri" w:hAnsi="Calibri" w:eastAsia="Calibri" w:cs="Calibri"/>
                <w:spacing w:val="14"/>
              </w:rPr>
              <w:t>5.1</w:t>
            </w:r>
            <w:r>
              <w:rPr>
                <w:spacing w:val="14"/>
                <w:sz w:val="20"/>
                <w:szCs w:val="20"/>
              </w:rPr>
              <w:t>回收企业收到报废自走式</w:t>
            </w:r>
            <w:r>
              <w:rPr>
                <w:spacing w:val="9"/>
                <w:sz w:val="20"/>
                <w:szCs w:val="20"/>
              </w:rPr>
              <w:t xml:space="preserve"> </w:t>
            </w:r>
            <w:r>
              <w:rPr>
                <w:spacing w:val="13"/>
                <w:sz w:val="20"/>
                <w:szCs w:val="20"/>
              </w:rPr>
              <w:t>农业机械后，应检查发动机、散热</w:t>
            </w:r>
            <w:r>
              <w:rPr>
                <w:sz w:val="20"/>
                <w:szCs w:val="20"/>
              </w:rPr>
              <w:t xml:space="preserve"> </w:t>
            </w:r>
            <w:r>
              <w:rPr>
                <w:spacing w:val="12"/>
                <w:sz w:val="20"/>
                <w:szCs w:val="20"/>
              </w:rPr>
              <w:t>器、变速箱、差速器、油箱、后处</w:t>
            </w:r>
            <w:r>
              <w:rPr>
                <w:spacing w:val="13"/>
                <w:sz w:val="20"/>
                <w:szCs w:val="20"/>
              </w:rPr>
              <w:t xml:space="preserve"> </w:t>
            </w:r>
            <w:r>
              <w:rPr>
                <w:spacing w:val="12"/>
                <w:sz w:val="20"/>
                <w:szCs w:val="20"/>
              </w:rPr>
              <w:t>理装置和燃料罐等总成部件的密封</w:t>
            </w:r>
            <w:r>
              <w:rPr>
                <w:spacing w:val="13"/>
                <w:sz w:val="20"/>
                <w:szCs w:val="20"/>
              </w:rPr>
              <w:t xml:space="preserve"> </w:t>
            </w:r>
            <w:r>
              <w:rPr>
                <w:spacing w:val="12"/>
                <w:sz w:val="20"/>
                <w:szCs w:val="20"/>
              </w:rPr>
              <w:t>和破损情况。对于出现泄漏的总成</w:t>
            </w:r>
            <w:r>
              <w:rPr>
                <w:spacing w:val="13"/>
                <w:sz w:val="20"/>
                <w:szCs w:val="20"/>
              </w:rPr>
              <w:t xml:space="preserve"> </w:t>
            </w:r>
            <w:r>
              <w:rPr>
                <w:spacing w:val="12"/>
                <w:sz w:val="20"/>
                <w:szCs w:val="20"/>
              </w:rPr>
              <w:t>部件，应采取适当的方式收集泄漏</w:t>
            </w:r>
            <w:r>
              <w:rPr>
                <w:spacing w:val="13"/>
                <w:sz w:val="20"/>
                <w:szCs w:val="20"/>
              </w:rPr>
              <w:t xml:space="preserve"> </w:t>
            </w:r>
            <w:r>
              <w:rPr>
                <w:spacing w:val="12"/>
                <w:sz w:val="20"/>
                <w:szCs w:val="20"/>
              </w:rPr>
              <w:t>的液体或封住泄漏处，防止废液渗</w:t>
            </w:r>
            <w:r>
              <w:rPr>
                <w:spacing w:val="13"/>
                <w:sz w:val="20"/>
                <w:szCs w:val="20"/>
              </w:rPr>
              <w:t xml:space="preserve"> </w:t>
            </w:r>
            <w:r>
              <w:rPr>
                <w:spacing w:val="5"/>
                <w:sz w:val="20"/>
                <w:szCs w:val="20"/>
              </w:rPr>
              <w:t>入地下。</w:t>
            </w:r>
          </w:p>
        </w:tc>
        <w:tc>
          <w:tcPr>
            <w:tcW w:w="2318" w:type="dxa"/>
            <w:vAlign w:val="top"/>
          </w:tcPr>
          <w:p w14:paraId="442F9CDF">
            <w:pPr>
              <w:spacing w:line="317" w:lineRule="auto"/>
              <w:rPr>
                <w:rFonts w:ascii="Arial"/>
                <w:sz w:val="21"/>
              </w:rPr>
            </w:pPr>
          </w:p>
          <w:p w14:paraId="0D52FC01">
            <w:pPr>
              <w:spacing w:line="317" w:lineRule="auto"/>
              <w:rPr>
                <w:rFonts w:ascii="Arial"/>
                <w:sz w:val="21"/>
              </w:rPr>
            </w:pPr>
          </w:p>
          <w:p w14:paraId="55D08B3E">
            <w:pPr>
              <w:spacing w:line="318" w:lineRule="auto"/>
              <w:rPr>
                <w:rFonts w:ascii="Arial"/>
                <w:sz w:val="21"/>
              </w:rPr>
            </w:pPr>
          </w:p>
          <w:p w14:paraId="21BEED4F">
            <w:pPr>
              <w:pStyle w:val="6"/>
              <w:spacing w:before="65" w:line="282" w:lineRule="auto"/>
              <w:ind w:left="120" w:right="97" w:firstLine="416"/>
              <w:rPr>
                <w:sz w:val="20"/>
                <w:szCs w:val="20"/>
              </w:rPr>
            </w:pPr>
            <w:r>
              <w:rPr>
                <w:spacing w:val="9"/>
                <w:sz w:val="20"/>
                <w:szCs w:val="20"/>
              </w:rPr>
              <w:t>本项目不拆解自走</w:t>
            </w:r>
            <w:r>
              <w:rPr>
                <w:spacing w:val="5"/>
                <w:sz w:val="20"/>
                <w:szCs w:val="20"/>
              </w:rPr>
              <w:t xml:space="preserve"> </w:t>
            </w:r>
            <w:r>
              <w:rPr>
                <w:spacing w:val="6"/>
                <w:sz w:val="20"/>
                <w:szCs w:val="20"/>
              </w:rPr>
              <w:t>式农业机械。</w:t>
            </w:r>
          </w:p>
        </w:tc>
        <w:tc>
          <w:tcPr>
            <w:tcW w:w="1145" w:type="dxa"/>
            <w:vMerge w:val="continue"/>
            <w:tcBorders>
              <w:top w:val="nil"/>
              <w:bottom w:val="nil"/>
              <w:right w:val="single" w:color="000000" w:sz="10" w:space="0"/>
            </w:tcBorders>
            <w:vAlign w:val="top"/>
          </w:tcPr>
          <w:p w14:paraId="1CA7EE03">
            <w:pPr>
              <w:rPr>
                <w:rFonts w:ascii="Arial"/>
                <w:sz w:val="21"/>
              </w:rPr>
            </w:pPr>
          </w:p>
        </w:tc>
      </w:tr>
      <w:tr w14:paraId="3467C6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6" w:hRule="atLeast"/>
        </w:trPr>
        <w:tc>
          <w:tcPr>
            <w:tcW w:w="494" w:type="dxa"/>
            <w:vMerge w:val="continue"/>
            <w:tcBorders>
              <w:top w:val="nil"/>
              <w:left w:val="single" w:color="000000" w:sz="10" w:space="0"/>
              <w:bottom w:val="single" w:color="000000" w:sz="10" w:space="0"/>
            </w:tcBorders>
            <w:vAlign w:val="top"/>
          </w:tcPr>
          <w:p w14:paraId="60EEE409">
            <w:pPr>
              <w:rPr>
                <w:rFonts w:ascii="Arial"/>
                <w:sz w:val="21"/>
              </w:rPr>
            </w:pPr>
          </w:p>
        </w:tc>
        <w:tc>
          <w:tcPr>
            <w:tcW w:w="547" w:type="dxa"/>
            <w:vMerge w:val="continue"/>
            <w:tcBorders>
              <w:top w:val="nil"/>
              <w:bottom w:val="single" w:color="000000" w:sz="10" w:space="0"/>
            </w:tcBorders>
            <w:vAlign w:val="top"/>
          </w:tcPr>
          <w:p w14:paraId="2D4EDF04">
            <w:pPr>
              <w:rPr>
                <w:rFonts w:ascii="Arial"/>
                <w:sz w:val="21"/>
              </w:rPr>
            </w:pPr>
          </w:p>
        </w:tc>
        <w:tc>
          <w:tcPr>
            <w:tcW w:w="996" w:type="dxa"/>
            <w:gridSpan w:val="2"/>
            <w:vMerge w:val="continue"/>
            <w:tcBorders>
              <w:top w:val="nil"/>
              <w:bottom w:val="single" w:color="000000" w:sz="10" w:space="0"/>
            </w:tcBorders>
            <w:vAlign w:val="top"/>
          </w:tcPr>
          <w:p w14:paraId="148C2749">
            <w:pPr>
              <w:rPr>
                <w:rFonts w:ascii="Arial"/>
                <w:sz w:val="21"/>
              </w:rPr>
            </w:pPr>
          </w:p>
        </w:tc>
        <w:tc>
          <w:tcPr>
            <w:tcW w:w="3422" w:type="dxa"/>
            <w:tcBorders>
              <w:bottom w:val="single" w:color="000000" w:sz="10" w:space="0"/>
            </w:tcBorders>
            <w:vAlign w:val="top"/>
          </w:tcPr>
          <w:p w14:paraId="77775CF2">
            <w:pPr>
              <w:pStyle w:val="6"/>
              <w:spacing w:before="93" w:line="250" w:lineRule="auto"/>
              <w:ind w:left="123" w:right="109" w:firstLine="473"/>
              <w:rPr>
                <w:sz w:val="20"/>
                <w:szCs w:val="20"/>
              </w:rPr>
            </w:pPr>
            <w:r>
              <w:rPr>
                <w:rFonts w:ascii="Calibri" w:hAnsi="Calibri" w:eastAsia="Calibri" w:cs="Calibri"/>
                <w:spacing w:val="14"/>
              </w:rPr>
              <w:t>5.2</w:t>
            </w:r>
            <w:r>
              <w:rPr>
                <w:spacing w:val="14"/>
                <w:sz w:val="20"/>
                <w:szCs w:val="20"/>
              </w:rPr>
              <w:t>回收电动自走式农业机械</w:t>
            </w:r>
            <w:r>
              <w:rPr>
                <w:spacing w:val="9"/>
                <w:sz w:val="20"/>
                <w:szCs w:val="20"/>
              </w:rPr>
              <w:t xml:space="preserve"> </w:t>
            </w:r>
            <w:r>
              <w:rPr>
                <w:spacing w:val="12"/>
                <w:sz w:val="20"/>
                <w:szCs w:val="20"/>
              </w:rPr>
              <w:t>时，应检查动力蓄电池和驱动电机</w:t>
            </w:r>
          </w:p>
        </w:tc>
        <w:tc>
          <w:tcPr>
            <w:tcW w:w="2318" w:type="dxa"/>
            <w:tcBorders>
              <w:bottom w:val="single" w:color="000000" w:sz="10" w:space="0"/>
            </w:tcBorders>
            <w:vAlign w:val="top"/>
          </w:tcPr>
          <w:p w14:paraId="0825D666">
            <w:pPr>
              <w:pStyle w:val="6"/>
              <w:spacing w:before="101" w:line="270" w:lineRule="auto"/>
              <w:ind w:left="120" w:right="97" w:firstLine="416"/>
              <w:rPr>
                <w:sz w:val="20"/>
                <w:szCs w:val="20"/>
              </w:rPr>
            </w:pPr>
            <w:r>
              <w:rPr>
                <w:spacing w:val="9"/>
                <w:sz w:val="20"/>
                <w:szCs w:val="20"/>
              </w:rPr>
              <w:t>本项目不拆解自走</w:t>
            </w:r>
            <w:r>
              <w:rPr>
                <w:spacing w:val="5"/>
                <w:sz w:val="20"/>
                <w:szCs w:val="20"/>
              </w:rPr>
              <w:t xml:space="preserve"> </w:t>
            </w:r>
            <w:r>
              <w:rPr>
                <w:spacing w:val="6"/>
                <w:sz w:val="20"/>
                <w:szCs w:val="20"/>
              </w:rPr>
              <w:t>式农业机械。</w:t>
            </w:r>
          </w:p>
        </w:tc>
        <w:tc>
          <w:tcPr>
            <w:tcW w:w="1145" w:type="dxa"/>
            <w:vMerge w:val="continue"/>
            <w:tcBorders>
              <w:top w:val="nil"/>
              <w:bottom w:val="single" w:color="000000" w:sz="10" w:space="0"/>
              <w:right w:val="single" w:color="000000" w:sz="10" w:space="0"/>
            </w:tcBorders>
            <w:vAlign w:val="top"/>
          </w:tcPr>
          <w:p w14:paraId="6BA4DF6D">
            <w:pPr>
              <w:rPr>
                <w:rFonts w:ascii="Arial"/>
                <w:sz w:val="21"/>
              </w:rPr>
            </w:pPr>
          </w:p>
        </w:tc>
      </w:tr>
    </w:tbl>
    <w:p w14:paraId="3DE4D665">
      <w:pPr>
        <w:pStyle w:val="2"/>
        <w:spacing w:line="163" w:lineRule="exact"/>
        <w:rPr>
          <w:sz w:val="14"/>
        </w:rPr>
      </w:pPr>
    </w:p>
    <w:p w14:paraId="78A48D16">
      <w:pPr>
        <w:spacing w:line="163" w:lineRule="exact"/>
        <w:rPr>
          <w:sz w:val="14"/>
          <w:szCs w:val="14"/>
        </w:rPr>
        <w:sectPr>
          <w:footerReference r:id="rId19" w:type="default"/>
          <w:pgSz w:w="11906" w:h="16839"/>
          <w:pgMar w:top="1270" w:right="1479" w:bottom="1261"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66579E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6" w:hRule="atLeast"/>
        </w:trPr>
        <w:tc>
          <w:tcPr>
            <w:tcW w:w="494" w:type="dxa"/>
            <w:vMerge w:val="restart"/>
            <w:tcBorders>
              <w:top w:val="single" w:color="000000" w:sz="10" w:space="0"/>
              <w:left w:val="single" w:color="000000" w:sz="10" w:space="0"/>
              <w:bottom w:val="nil"/>
            </w:tcBorders>
            <w:vAlign w:val="top"/>
          </w:tcPr>
          <w:p w14:paraId="34135C62">
            <w:pPr>
              <w:rPr>
                <w:rFonts w:ascii="Arial"/>
                <w:sz w:val="21"/>
              </w:rPr>
            </w:pPr>
            <w:r>
              <w:pict>
                <v:shape id="_x0000_s1030" o:spid="_x0000_s1030" style="position:absolute;left:0pt;margin-left:104.1pt;margin-top:768.4pt;height:1.45pt;width:411.15pt;mso-position-horizontal-relative:page;mso-position-vertical-relative:page;z-index:251664384;mso-width-relative:page;mso-height-relative:page;" filled="f" stroked="t" coordsize="8222,29" o:allowincell="f" path="m0,14l8222,14e">
                  <v:fill on="f" focussize="0,0"/>
                  <v:stroke weight="1.44pt" color="#000000" miterlimit="2" joinstyle="bevel"/>
                  <v:imagedata o:title=""/>
                  <o:lock v:ext="edit"/>
                </v:shape>
              </w:pict>
            </w:r>
          </w:p>
        </w:tc>
        <w:tc>
          <w:tcPr>
            <w:tcW w:w="547" w:type="dxa"/>
            <w:vMerge w:val="restart"/>
            <w:tcBorders>
              <w:top w:val="single" w:color="000000" w:sz="10" w:space="0"/>
              <w:bottom w:val="nil"/>
            </w:tcBorders>
            <w:vAlign w:val="top"/>
          </w:tcPr>
          <w:p w14:paraId="0ECFA725">
            <w:pPr>
              <w:spacing w:line="241" w:lineRule="auto"/>
              <w:rPr>
                <w:rFonts w:ascii="Arial"/>
                <w:sz w:val="21"/>
              </w:rPr>
            </w:pPr>
          </w:p>
          <w:p w14:paraId="1F0B83C7">
            <w:pPr>
              <w:spacing w:line="241" w:lineRule="auto"/>
              <w:rPr>
                <w:rFonts w:ascii="Arial"/>
                <w:sz w:val="21"/>
              </w:rPr>
            </w:pPr>
          </w:p>
          <w:p w14:paraId="0F3D8DA3">
            <w:pPr>
              <w:spacing w:line="241" w:lineRule="auto"/>
              <w:rPr>
                <w:rFonts w:ascii="Arial"/>
                <w:sz w:val="21"/>
              </w:rPr>
            </w:pPr>
          </w:p>
          <w:p w14:paraId="10D1CD60">
            <w:pPr>
              <w:spacing w:line="241" w:lineRule="auto"/>
              <w:rPr>
                <w:rFonts w:ascii="Arial"/>
                <w:sz w:val="21"/>
              </w:rPr>
            </w:pPr>
          </w:p>
          <w:p w14:paraId="62186361">
            <w:pPr>
              <w:spacing w:line="241" w:lineRule="auto"/>
              <w:rPr>
                <w:rFonts w:ascii="Arial"/>
                <w:sz w:val="21"/>
              </w:rPr>
            </w:pPr>
          </w:p>
          <w:p w14:paraId="12968523">
            <w:pPr>
              <w:spacing w:line="241" w:lineRule="auto"/>
              <w:rPr>
                <w:rFonts w:ascii="Arial"/>
                <w:sz w:val="21"/>
              </w:rPr>
            </w:pPr>
          </w:p>
          <w:p w14:paraId="138C1722">
            <w:pPr>
              <w:spacing w:line="241" w:lineRule="auto"/>
              <w:rPr>
                <w:rFonts w:ascii="Arial"/>
                <w:sz w:val="21"/>
              </w:rPr>
            </w:pPr>
          </w:p>
          <w:p w14:paraId="7BBA7AF0">
            <w:pPr>
              <w:spacing w:line="241" w:lineRule="auto"/>
              <w:rPr>
                <w:rFonts w:ascii="Arial"/>
                <w:sz w:val="21"/>
              </w:rPr>
            </w:pPr>
          </w:p>
          <w:p w14:paraId="7B2306A5">
            <w:pPr>
              <w:spacing w:line="241" w:lineRule="auto"/>
              <w:rPr>
                <w:rFonts w:ascii="Arial"/>
                <w:sz w:val="21"/>
              </w:rPr>
            </w:pPr>
          </w:p>
          <w:p w14:paraId="23734E98">
            <w:pPr>
              <w:spacing w:line="241" w:lineRule="auto"/>
              <w:rPr>
                <w:rFonts w:ascii="Arial"/>
                <w:sz w:val="21"/>
              </w:rPr>
            </w:pPr>
          </w:p>
          <w:p w14:paraId="2B771D78">
            <w:pPr>
              <w:spacing w:line="242" w:lineRule="auto"/>
              <w:rPr>
                <w:rFonts w:ascii="Arial"/>
                <w:sz w:val="21"/>
              </w:rPr>
            </w:pPr>
          </w:p>
          <w:p w14:paraId="73073296">
            <w:pPr>
              <w:spacing w:line="242" w:lineRule="auto"/>
              <w:rPr>
                <w:rFonts w:ascii="Arial"/>
                <w:sz w:val="21"/>
              </w:rPr>
            </w:pPr>
          </w:p>
          <w:p w14:paraId="0866F4FB">
            <w:pPr>
              <w:spacing w:line="242" w:lineRule="auto"/>
              <w:rPr>
                <w:rFonts w:ascii="Arial"/>
                <w:sz w:val="21"/>
              </w:rPr>
            </w:pPr>
          </w:p>
          <w:p w14:paraId="23539245">
            <w:pPr>
              <w:spacing w:line="242" w:lineRule="auto"/>
              <w:rPr>
                <w:rFonts w:ascii="Arial"/>
                <w:sz w:val="21"/>
              </w:rPr>
            </w:pPr>
          </w:p>
          <w:p w14:paraId="29D86850">
            <w:pPr>
              <w:spacing w:line="242" w:lineRule="auto"/>
              <w:rPr>
                <w:rFonts w:ascii="Arial"/>
                <w:sz w:val="21"/>
              </w:rPr>
            </w:pPr>
          </w:p>
          <w:p w14:paraId="1F0CF43D">
            <w:pPr>
              <w:spacing w:line="242" w:lineRule="auto"/>
              <w:rPr>
                <w:rFonts w:ascii="Arial"/>
                <w:sz w:val="21"/>
              </w:rPr>
            </w:pPr>
          </w:p>
          <w:p w14:paraId="28ED26B2">
            <w:pPr>
              <w:spacing w:line="242" w:lineRule="auto"/>
              <w:rPr>
                <w:rFonts w:ascii="Arial"/>
                <w:sz w:val="21"/>
              </w:rPr>
            </w:pPr>
          </w:p>
          <w:p w14:paraId="6BFFCABE">
            <w:pPr>
              <w:spacing w:line="242" w:lineRule="auto"/>
              <w:rPr>
                <w:rFonts w:ascii="Arial"/>
                <w:sz w:val="21"/>
              </w:rPr>
            </w:pPr>
          </w:p>
          <w:p w14:paraId="08C2C6E4">
            <w:pPr>
              <w:spacing w:line="242" w:lineRule="auto"/>
              <w:rPr>
                <w:rFonts w:ascii="Arial"/>
                <w:sz w:val="21"/>
              </w:rPr>
            </w:pPr>
          </w:p>
          <w:p w14:paraId="09CA9B73">
            <w:pPr>
              <w:spacing w:line="242" w:lineRule="auto"/>
              <w:rPr>
                <w:rFonts w:ascii="Arial"/>
                <w:sz w:val="21"/>
              </w:rPr>
            </w:pPr>
          </w:p>
          <w:p w14:paraId="314E0322">
            <w:pPr>
              <w:spacing w:line="242" w:lineRule="auto"/>
              <w:rPr>
                <w:rFonts w:ascii="Arial"/>
                <w:sz w:val="21"/>
              </w:rPr>
            </w:pPr>
          </w:p>
          <w:p w14:paraId="38459A8A">
            <w:pPr>
              <w:spacing w:line="242" w:lineRule="auto"/>
              <w:rPr>
                <w:rFonts w:ascii="Arial"/>
                <w:sz w:val="21"/>
              </w:rPr>
            </w:pPr>
          </w:p>
          <w:p w14:paraId="2D402F70">
            <w:pPr>
              <w:spacing w:line="242" w:lineRule="auto"/>
              <w:rPr>
                <w:rFonts w:ascii="Arial"/>
                <w:sz w:val="21"/>
              </w:rPr>
            </w:pPr>
          </w:p>
          <w:p w14:paraId="423C184A">
            <w:pPr>
              <w:spacing w:line="242" w:lineRule="auto"/>
              <w:rPr>
                <w:rFonts w:ascii="Arial"/>
                <w:sz w:val="21"/>
              </w:rPr>
            </w:pPr>
          </w:p>
          <w:p w14:paraId="609057EC">
            <w:pPr>
              <w:spacing w:line="242" w:lineRule="auto"/>
              <w:rPr>
                <w:rFonts w:ascii="Arial"/>
                <w:sz w:val="21"/>
              </w:rPr>
            </w:pPr>
          </w:p>
          <w:p w14:paraId="2ACAA249">
            <w:pPr>
              <w:spacing w:line="242" w:lineRule="auto"/>
              <w:rPr>
                <w:rFonts w:ascii="Arial"/>
                <w:sz w:val="21"/>
              </w:rPr>
            </w:pPr>
          </w:p>
          <w:p w14:paraId="5ACCA457">
            <w:pPr>
              <w:spacing w:line="242" w:lineRule="auto"/>
              <w:rPr>
                <w:rFonts w:ascii="Arial"/>
                <w:sz w:val="21"/>
              </w:rPr>
            </w:pPr>
          </w:p>
          <w:p w14:paraId="36D659B7">
            <w:pPr>
              <w:spacing w:line="242" w:lineRule="auto"/>
              <w:rPr>
                <w:rFonts w:ascii="Arial"/>
                <w:sz w:val="21"/>
              </w:rPr>
            </w:pPr>
          </w:p>
          <w:p w14:paraId="297B3DA1">
            <w:pPr>
              <w:spacing w:line="242" w:lineRule="auto"/>
              <w:rPr>
                <w:rFonts w:ascii="Arial"/>
                <w:sz w:val="21"/>
              </w:rPr>
            </w:pPr>
          </w:p>
          <w:p w14:paraId="348D6961">
            <w:pPr>
              <w:spacing w:line="242" w:lineRule="auto"/>
              <w:rPr>
                <w:rFonts w:ascii="Arial"/>
                <w:sz w:val="21"/>
              </w:rPr>
            </w:pPr>
          </w:p>
          <w:p w14:paraId="133024D1">
            <w:pPr>
              <w:spacing w:line="242" w:lineRule="auto"/>
              <w:rPr>
                <w:rFonts w:ascii="Arial"/>
                <w:sz w:val="21"/>
              </w:rPr>
            </w:pPr>
          </w:p>
          <w:p w14:paraId="549AE205">
            <w:pPr>
              <w:spacing w:before="57" w:line="195" w:lineRule="auto"/>
              <w:ind w:left="269"/>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996" w:type="dxa"/>
            <w:gridSpan w:val="2"/>
            <w:tcBorders>
              <w:top w:val="single" w:color="000000" w:sz="10" w:space="0"/>
            </w:tcBorders>
            <w:vAlign w:val="top"/>
          </w:tcPr>
          <w:p w14:paraId="26A5B655">
            <w:pPr>
              <w:rPr>
                <w:rFonts w:ascii="Arial"/>
                <w:sz w:val="21"/>
              </w:rPr>
            </w:pPr>
          </w:p>
        </w:tc>
        <w:tc>
          <w:tcPr>
            <w:tcW w:w="3422" w:type="dxa"/>
            <w:tcBorders>
              <w:top w:val="single" w:color="000000" w:sz="10" w:space="0"/>
            </w:tcBorders>
            <w:vAlign w:val="top"/>
          </w:tcPr>
          <w:p w14:paraId="19F2DB59">
            <w:pPr>
              <w:pStyle w:val="6"/>
              <w:spacing w:before="44" w:line="275" w:lineRule="auto"/>
              <w:ind w:left="113" w:right="109" w:firstLine="1"/>
              <w:jc w:val="both"/>
              <w:rPr>
                <w:sz w:val="20"/>
                <w:szCs w:val="20"/>
              </w:rPr>
            </w:pPr>
            <w:r>
              <w:rPr>
                <w:spacing w:val="12"/>
                <w:sz w:val="20"/>
                <w:szCs w:val="20"/>
              </w:rPr>
              <w:t>等部件的密封和破损情况。对于出</w:t>
            </w:r>
            <w:r>
              <w:rPr>
                <w:spacing w:val="10"/>
                <w:sz w:val="20"/>
                <w:szCs w:val="20"/>
              </w:rPr>
              <w:t xml:space="preserve"> 现动力蓄电池破损、</w:t>
            </w:r>
            <w:r>
              <w:rPr>
                <w:spacing w:val="-57"/>
                <w:sz w:val="20"/>
                <w:szCs w:val="20"/>
              </w:rPr>
              <w:t xml:space="preserve"> </w:t>
            </w:r>
            <w:r>
              <w:rPr>
                <w:spacing w:val="10"/>
                <w:sz w:val="20"/>
                <w:szCs w:val="20"/>
              </w:rPr>
              <w:t>电极头和线束</w:t>
            </w:r>
            <w:r>
              <w:rPr>
                <w:sz w:val="20"/>
                <w:szCs w:val="20"/>
              </w:rPr>
              <w:t xml:space="preserve"> </w:t>
            </w:r>
            <w:r>
              <w:rPr>
                <w:spacing w:val="12"/>
                <w:sz w:val="20"/>
                <w:szCs w:val="20"/>
              </w:rPr>
              <w:t xml:space="preserve">裸露存在漏电风险等情况，应采取 </w:t>
            </w:r>
            <w:r>
              <w:rPr>
                <w:spacing w:val="8"/>
                <w:sz w:val="20"/>
                <w:szCs w:val="20"/>
              </w:rPr>
              <w:t>适当的方式进行绝缘处理。</w:t>
            </w:r>
          </w:p>
        </w:tc>
        <w:tc>
          <w:tcPr>
            <w:tcW w:w="2318" w:type="dxa"/>
            <w:tcBorders>
              <w:top w:val="single" w:color="000000" w:sz="10" w:space="0"/>
            </w:tcBorders>
            <w:vAlign w:val="top"/>
          </w:tcPr>
          <w:p w14:paraId="564E2F7C">
            <w:pPr>
              <w:rPr>
                <w:rFonts w:ascii="Arial"/>
                <w:sz w:val="21"/>
              </w:rPr>
            </w:pPr>
          </w:p>
        </w:tc>
        <w:tc>
          <w:tcPr>
            <w:tcW w:w="1145" w:type="dxa"/>
            <w:vMerge w:val="restart"/>
            <w:tcBorders>
              <w:top w:val="single" w:color="000000" w:sz="10" w:space="0"/>
              <w:bottom w:val="nil"/>
              <w:right w:val="single" w:color="000000" w:sz="10" w:space="0"/>
            </w:tcBorders>
            <w:vAlign w:val="top"/>
          </w:tcPr>
          <w:p w14:paraId="64DBC9A8">
            <w:pPr>
              <w:spacing w:line="244" w:lineRule="auto"/>
              <w:rPr>
                <w:rFonts w:ascii="Arial"/>
                <w:sz w:val="21"/>
              </w:rPr>
            </w:pPr>
          </w:p>
          <w:p w14:paraId="7DFCD003">
            <w:pPr>
              <w:spacing w:line="244" w:lineRule="auto"/>
              <w:rPr>
                <w:rFonts w:ascii="Arial"/>
                <w:sz w:val="21"/>
              </w:rPr>
            </w:pPr>
          </w:p>
          <w:p w14:paraId="29532C80">
            <w:pPr>
              <w:spacing w:line="244" w:lineRule="auto"/>
              <w:rPr>
                <w:rFonts w:ascii="Arial"/>
                <w:sz w:val="21"/>
              </w:rPr>
            </w:pPr>
          </w:p>
          <w:p w14:paraId="7A425856">
            <w:pPr>
              <w:spacing w:line="244" w:lineRule="auto"/>
              <w:rPr>
                <w:rFonts w:ascii="Arial"/>
                <w:sz w:val="21"/>
              </w:rPr>
            </w:pPr>
          </w:p>
          <w:p w14:paraId="06E513DE">
            <w:pPr>
              <w:spacing w:line="244" w:lineRule="auto"/>
              <w:rPr>
                <w:rFonts w:ascii="Arial"/>
                <w:sz w:val="21"/>
              </w:rPr>
            </w:pPr>
          </w:p>
          <w:p w14:paraId="080E9BD9">
            <w:pPr>
              <w:spacing w:line="245" w:lineRule="auto"/>
              <w:rPr>
                <w:rFonts w:ascii="Arial"/>
                <w:sz w:val="21"/>
              </w:rPr>
            </w:pPr>
          </w:p>
          <w:p w14:paraId="70342926">
            <w:pPr>
              <w:spacing w:line="245" w:lineRule="auto"/>
              <w:rPr>
                <w:rFonts w:ascii="Arial"/>
                <w:sz w:val="21"/>
              </w:rPr>
            </w:pPr>
          </w:p>
          <w:p w14:paraId="41F58371">
            <w:pPr>
              <w:spacing w:line="245" w:lineRule="auto"/>
              <w:rPr>
                <w:rFonts w:ascii="Arial"/>
                <w:sz w:val="21"/>
              </w:rPr>
            </w:pPr>
          </w:p>
          <w:p w14:paraId="69BD3D91">
            <w:pPr>
              <w:spacing w:line="245" w:lineRule="auto"/>
              <w:rPr>
                <w:rFonts w:ascii="Arial"/>
                <w:sz w:val="21"/>
              </w:rPr>
            </w:pPr>
          </w:p>
          <w:p w14:paraId="49014B76">
            <w:pPr>
              <w:spacing w:line="245" w:lineRule="auto"/>
              <w:rPr>
                <w:rFonts w:ascii="Arial"/>
                <w:sz w:val="21"/>
              </w:rPr>
            </w:pPr>
          </w:p>
          <w:p w14:paraId="7EBBC821">
            <w:pPr>
              <w:spacing w:line="245" w:lineRule="auto"/>
              <w:rPr>
                <w:rFonts w:ascii="Arial"/>
                <w:sz w:val="21"/>
              </w:rPr>
            </w:pPr>
          </w:p>
          <w:p w14:paraId="4D4B9058">
            <w:pPr>
              <w:spacing w:line="245" w:lineRule="auto"/>
              <w:rPr>
                <w:rFonts w:ascii="Arial"/>
                <w:sz w:val="21"/>
              </w:rPr>
            </w:pPr>
          </w:p>
          <w:p w14:paraId="2FA8A9A7">
            <w:pPr>
              <w:pStyle w:val="6"/>
              <w:spacing w:before="65" w:line="228" w:lineRule="auto"/>
              <w:ind w:left="320"/>
              <w:rPr>
                <w:sz w:val="20"/>
                <w:szCs w:val="20"/>
              </w:rPr>
            </w:pPr>
            <w:r>
              <w:rPr>
                <w:spacing w:val="3"/>
                <w:sz w:val="20"/>
                <w:szCs w:val="20"/>
              </w:rPr>
              <w:t>符合</w:t>
            </w:r>
          </w:p>
          <w:p w14:paraId="17DEAA7C">
            <w:pPr>
              <w:spacing w:line="259" w:lineRule="auto"/>
              <w:rPr>
                <w:rFonts w:ascii="Arial"/>
                <w:sz w:val="21"/>
              </w:rPr>
            </w:pPr>
          </w:p>
          <w:p w14:paraId="1F412FD2">
            <w:pPr>
              <w:spacing w:line="259" w:lineRule="auto"/>
              <w:rPr>
                <w:rFonts w:ascii="Arial"/>
                <w:sz w:val="21"/>
              </w:rPr>
            </w:pPr>
          </w:p>
          <w:p w14:paraId="16806613">
            <w:pPr>
              <w:spacing w:line="259" w:lineRule="auto"/>
              <w:rPr>
                <w:rFonts w:ascii="Arial"/>
                <w:sz w:val="21"/>
              </w:rPr>
            </w:pPr>
          </w:p>
          <w:p w14:paraId="492CFC7C">
            <w:pPr>
              <w:spacing w:line="259" w:lineRule="auto"/>
              <w:rPr>
                <w:rFonts w:ascii="Arial"/>
                <w:sz w:val="21"/>
              </w:rPr>
            </w:pPr>
          </w:p>
          <w:p w14:paraId="54689504">
            <w:pPr>
              <w:spacing w:line="259" w:lineRule="auto"/>
              <w:rPr>
                <w:rFonts w:ascii="Arial"/>
                <w:sz w:val="21"/>
              </w:rPr>
            </w:pPr>
          </w:p>
          <w:p w14:paraId="56C90151">
            <w:pPr>
              <w:spacing w:line="259" w:lineRule="auto"/>
              <w:rPr>
                <w:rFonts w:ascii="Arial"/>
                <w:sz w:val="21"/>
              </w:rPr>
            </w:pPr>
          </w:p>
          <w:p w14:paraId="2B40E038">
            <w:pPr>
              <w:spacing w:line="259" w:lineRule="auto"/>
              <w:rPr>
                <w:rFonts w:ascii="Arial"/>
                <w:sz w:val="21"/>
              </w:rPr>
            </w:pPr>
          </w:p>
          <w:p w14:paraId="788DD33D">
            <w:pPr>
              <w:spacing w:line="259" w:lineRule="auto"/>
              <w:rPr>
                <w:rFonts w:ascii="Arial"/>
                <w:sz w:val="21"/>
              </w:rPr>
            </w:pPr>
          </w:p>
          <w:p w14:paraId="30F3143D">
            <w:pPr>
              <w:spacing w:line="260" w:lineRule="auto"/>
              <w:rPr>
                <w:rFonts w:ascii="Arial"/>
                <w:sz w:val="21"/>
              </w:rPr>
            </w:pPr>
          </w:p>
          <w:p w14:paraId="6963ACF5">
            <w:pPr>
              <w:spacing w:line="260" w:lineRule="auto"/>
              <w:rPr>
                <w:rFonts w:ascii="Arial"/>
                <w:sz w:val="21"/>
              </w:rPr>
            </w:pPr>
          </w:p>
          <w:p w14:paraId="12EAFC21">
            <w:pPr>
              <w:spacing w:line="260" w:lineRule="auto"/>
              <w:rPr>
                <w:rFonts w:ascii="Arial"/>
                <w:sz w:val="21"/>
              </w:rPr>
            </w:pPr>
          </w:p>
          <w:p w14:paraId="3F76ADB3">
            <w:pPr>
              <w:spacing w:line="260" w:lineRule="auto"/>
              <w:rPr>
                <w:rFonts w:ascii="Arial"/>
                <w:sz w:val="21"/>
              </w:rPr>
            </w:pPr>
          </w:p>
          <w:p w14:paraId="26DC86A1">
            <w:pPr>
              <w:pStyle w:val="6"/>
              <w:spacing w:before="65" w:line="228" w:lineRule="auto"/>
              <w:ind w:left="320"/>
              <w:rPr>
                <w:sz w:val="20"/>
                <w:szCs w:val="20"/>
              </w:rPr>
            </w:pPr>
            <w:r>
              <w:rPr>
                <w:spacing w:val="3"/>
                <w:sz w:val="20"/>
                <w:szCs w:val="20"/>
              </w:rPr>
              <w:t>符合</w:t>
            </w:r>
          </w:p>
          <w:p w14:paraId="07ABEB37">
            <w:pPr>
              <w:rPr>
                <w:rFonts w:ascii="Arial"/>
                <w:sz w:val="21"/>
              </w:rPr>
            </w:pPr>
          </w:p>
          <w:p w14:paraId="2155B34C">
            <w:pPr>
              <w:rPr>
                <w:rFonts w:ascii="Arial"/>
                <w:sz w:val="21"/>
              </w:rPr>
            </w:pPr>
          </w:p>
          <w:p w14:paraId="5105994B">
            <w:pPr>
              <w:rPr>
                <w:rFonts w:ascii="Arial"/>
                <w:sz w:val="21"/>
              </w:rPr>
            </w:pPr>
          </w:p>
          <w:p w14:paraId="431556A6">
            <w:pPr>
              <w:rPr>
                <w:rFonts w:ascii="Arial"/>
                <w:sz w:val="21"/>
              </w:rPr>
            </w:pPr>
          </w:p>
          <w:p w14:paraId="47A39A65">
            <w:pPr>
              <w:rPr>
                <w:rFonts w:ascii="Arial"/>
                <w:sz w:val="21"/>
              </w:rPr>
            </w:pPr>
          </w:p>
          <w:p w14:paraId="52325292">
            <w:pPr>
              <w:rPr>
                <w:rFonts w:ascii="Arial"/>
                <w:sz w:val="21"/>
              </w:rPr>
            </w:pPr>
          </w:p>
          <w:p w14:paraId="54A5B194">
            <w:pPr>
              <w:spacing w:line="241" w:lineRule="auto"/>
              <w:rPr>
                <w:rFonts w:ascii="Arial"/>
                <w:sz w:val="21"/>
              </w:rPr>
            </w:pPr>
          </w:p>
          <w:p w14:paraId="20A13C8F">
            <w:pPr>
              <w:spacing w:line="241" w:lineRule="auto"/>
              <w:rPr>
                <w:rFonts w:ascii="Arial"/>
                <w:sz w:val="21"/>
              </w:rPr>
            </w:pPr>
          </w:p>
          <w:p w14:paraId="3387C642">
            <w:pPr>
              <w:spacing w:line="241" w:lineRule="auto"/>
              <w:rPr>
                <w:rFonts w:ascii="Arial"/>
                <w:sz w:val="21"/>
              </w:rPr>
            </w:pPr>
          </w:p>
          <w:p w14:paraId="5DC44C71">
            <w:pPr>
              <w:spacing w:line="241" w:lineRule="auto"/>
              <w:rPr>
                <w:rFonts w:ascii="Arial"/>
                <w:sz w:val="21"/>
              </w:rPr>
            </w:pPr>
          </w:p>
          <w:p w14:paraId="08FA1501">
            <w:pPr>
              <w:spacing w:line="241" w:lineRule="auto"/>
              <w:rPr>
                <w:rFonts w:ascii="Arial"/>
                <w:sz w:val="21"/>
              </w:rPr>
            </w:pPr>
          </w:p>
          <w:p w14:paraId="31018C57">
            <w:pPr>
              <w:pStyle w:val="6"/>
              <w:spacing w:before="65" w:line="228" w:lineRule="auto"/>
              <w:ind w:left="320"/>
              <w:rPr>
                <w:sz w:val="20"/>
                <w:szCs w:val="20"/>
              </w:rPr>
            </w:pPr>
            <w:r>
              <w:rPr>
                <w:spacing w:val="3"/>
                <w:sz w:val="20"/>
                <w:szCs w:val="20"/>
              </w:rPr>
              <w:t>符合</w:t>
            </w:r>
          </w:p>
          <w:p w14:paraId="2CC5F5E6">
            <w:pPr>
              <w:rPr>
                <w:rFonts w:ascii="Arial"/>
                <w:sz w:val="21"/>
              </w:rPr>
            </w:pPr>
          </w:p>
          <w:p w14:paraId="57C6EADC">
            <w:pPr>
              <w:rPr>
                <w:rFonts w:ascii="Arial"/>
                <w:sz w:val="21"/>
              </w:rPr>
            </w:pPr>
          </w:p>
          <w:p w14:paraId="6F55157A">
            <w:pPr>
              <w:rPr>
                <w:rFonts w:ascii="Arial"/>
                <w:sz w:val="21"/>
              </w:rPr>
            </w:pPr>
          </w:p>
          <w:p w14:paraId="3890B07C">
            <w:pPr>
              <w:rPr>
                <w:rFonts w:ascii="Arial"/>
                <w:sz w:val="21"/>
              </w:rPr>
            </w:pPr>
          </w:p>
          <w:p w14:paraId="0B816EE2">
            <w:pPr>
              <w:rPr>
                <w:rFonts w:ascii="Arial"/>
                <w:sz w:val="21"/>
              </w:rPr>
            </w:pPr>
          </w:p>
          <w:p w14:paraId="5BA6A585">
            <w:pPr>
              <w:rPr>
                <w:rFonts w:ascii="Arial"/>
                <w:sz w:val="21"/>
              </w:rPr>
            </w:pPr>
          </w:p>
          <w:p w14:paraId="15EFD452">
            <w:pPr>
              <w:spacing w:line="241" w:lineRule="auto"/>
              <w:rPr>
                <w:rFonts w:ascii="Arial"/>
                <w:sz w:val="21"/>
              </w:rPr>
            </w:pPr>
          </w:p>
          <w:p w14:paraId="2A8705FA">
            <w:pPr>
              <w:spacing w:line="241" w:lineRule="auto"/>
              <w:rPr>
                <w:rFonts w:ascii="Arial"/>
                <w:sz w:val="21"/>
              </w:rPr>
            </w:pPr>
          </w:p>
          <w:p w14:paraId="5E463CE2">
            <w:pPr>
              <w:spacing w:line="241" w:lineRule="auto"/>
              <w:rPr>
                <w:rFonts w:ascii="Arial"/>
                <w:sz w:val="21"/>
              </w:rPr>
            </w:pPr>
          </w:p>
          <w:p w14:paraId="2D5BC318">
            <w:pPr>
              <w:spacing w:line="241" w:lineRule="auto"/>
              <w:rPr>
                <w:rFonts w:ascii="Arial"/>
                <w:sz w:val="21"/>
              </w:rPr>
            </w:pPr>
          </w:p>
          <w:p w14:paraId="3772E77E">
            <w:pPr>
              <w:spacing w:line="241" w:lineRule="auto"/>
              <w:rPr>
                <w:rFonts w:ascii="Arial"/>
                <w:sz w:val="21"/>
              </w:rPr>
            </w:pPr>
          </w:p>
          <w:p w14:paraId="1979D811">
            <w:pPr>
              <w:pStyle w:val="6"/>
              <w:spacing w:before="65" w:line="228" w:lineRule="auto"/>
              <w:ind w:left="320"/>
              <w:rPr>
                <w:sz w:val="20"/>
                <w:szCs w:val="20"/>
              </w:rPr>
            </w:pPr>
            <w:r>
              <w:rPr>
                <w:spacing w:val="3"/>
                <w:sz w:val="20"/>
                <w:szCs w:val="20"/>
              </w:rPr>
              <w:t>符合</w:t>
            </w:r>
          </w:p>
        </w:tc>
      </w:tr>
      <w:tr w14:paraId="59E89E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2" w:hRule="atLeast"/>
        </w:trPr>
        <w:tc>
          <w:tcPr>
            <w:tcW w:w="494" w:type="dxa"/>
            <w:vMerge w:val="continue"/>
            <w:tcBorders>
              <w:top w:val="nil"/>
              <w:left w:val="single" w:color="000000" w:sz="10" w:space="0"/>
              <w:bottom w:val="nil"/>
            </w:tcBorders>
            <w:vAlign w:val="top"/>
          </w:tcPr>
          <w:p w14:paraId="1F43CA97">
            <w:pPr>
              <w:rPr>
                <w:rFonts w:ascii="Arial"/>
                <w:sz w:val="21"/>
              </w:rPr>
            </w:pPr>
          </w:p>
        </w:tc>
        <w:tc>
          <w:tcPr>
            <w:tcW w:w="547" w:type="dxa"/>
            <w:vMerge w:val="continue"/>
            <w:tcBorders>
              <w:top w:val="nil"/>
              <w:bottom w:val="nil"/>
            </w:tcBorders>
            <w:vAlign w:val="top"/>
          </w:tcPr>
          <w:p w14:paraId="00248941">
            <w:pPr>
              <w:rPr>
                <w:rFonts w:ascii="Arial"/>
                <w:sz w:val="21"/>
              </w:rPr>
            </w:pPr>
          </w:p>
        </w:tc>
        <w:tc>
          <w:tcPr>
            <w:tcW w:w="436" w:type="dxa"/>
            <w:vMerge w:val="restart"/>
            <w:tcBorders>
              <w:bottom w:val="nil"/>
            </w:tcBorders>
            <w:vAlign w:val="top"/>
          </w:tcPr>
          <w:p w14:paraId="4DC57844">
            <w:pPr>
              <w:rPr>
                <w:rFonts w:ascii="Arial"/>
                <w:sz w:val="21"/>
              </w:rPr>
            </w:pPr>
          </w:p>
          <w:p w14:paraId="119097A8">
            <w:pPr>
              <w:rPr>
                <w:rFonts w:ascii="Arial"/>
                <w:sz w:val="21"/>
              </w:rPr>
            </w:pPr>
          </w:p>
          <w:p w14:paraId="63BF97F9">
            <w:pPr>
              <w:rPr>
                <w:rFonts w:ascii="Arial"/>
                <w:sz w:val="21"/>
              </w:rPr>
            </w:pPr>
          </w:p>
          <w:p w14:paraId="390CD941">
            <w:pPr>
              <w:rPr>
                <w:rFonts w:ascii="Arial"/>
                <w:sz w:val="21"/>
              </w:rPr>
            </w:pPr>
          </w:p>
          <w:p w14:paraId="52B5C8A5">
            <w:pPr>
              <w:spacing w:line="241" w:lineRule="auto"/>
              <w:rPr>
                <w:rFonts w:ascii="Arial"/>
                <w:sz w:val="21"/>
              </w:rPr>
            </w:pPr>
          </w:p>
          <w:p w14:paraId="09E31F69">
            <w:pPr>
              <w:spacing w:line="241" w:lineRule="auto"/>
              <w:rPr>
                <w:rFonts w:ascii="Arial"/>
                <w:sz w:val="21"/>
              </w:rPr>
            </w:pPr>
          </w:p>
          <w:p w14:paraId="64809ED8">
            <w:pPr>
              <w:spacing w:line="241" w:lineRule="auto"/>
              <w:rPr>
                <w:rFonts w:ascii="Arial"/>
                <w:sz w:val="21"/>
              </w:rPr>
            </w:pPr>
          </w:p>
          <w:p w14:paraId="4D80F5DA">
            <w:pPr>
              <w:spacing w:line="241" w:lineRule="auto"/>
              <w:rPr>
                <w:rFonts w:ascii="Arial"/>
                <w:sz w:val="21"/>
              </w:rPr>
            </w:pPr>
          </w:p>
          <w:p w14:paraId="12A66E3D">
            <w:pPr>
              <w:spacing w:line="241" w:lineRule="auto"/>
              <w:rPr>
                <w:rFonts w:ascii="Arial"/>
                <w:sz w:val="21"/>
              </w:rPr>
            </w:pPr>
          </w:p>
          <w:p w14:paraId="491CD64D">
            <w:pPr>
              <w:spacing w:line="241" w:lineRule="auto"/>
              <w:rPr>
                <w:rFonts w:ascii="Arial"/>
                <w:sz w:val="21"/>
              </w:rPr>
            </w:pPr>
          </w:p>
          <w:p w14:paraId="4D4F1C51">
            <w:pPr>
              <w:spacing w:line="241" w:lineRule="auto"/>
              <w:rPr>
                <w:rFonts w:ascii="Arial"/>
                <w:sz w:val="21"/>
              </w:rPr>
            </w:pPr>
          </w:p>
          <w:p w14:paraId="25F1B9CC">
            <w:pPr>
              <w:spacing w:line="241" w:lineRule="auto"/>
              <w:rPr>
                <w:rFonts w:ascii="Arial"/>
                <w:sz w:val="21"/>
              </w:rPr>
            </w:pPr>
          </w:p>
          <w:p w14:paraId="762622AC">
            <w:pPr>
              <w:spacing w:line="241" w:lineRule="auto"/>
              <w:rPr>
                <w:rFonts w:ascii="Arial"/>
                <w:sz w:val="21"/>
              </w:rPr>
            </w:pPr>
          </w:p>
          <w:p w14:paraId="1D82600E">
            <w:pPr>
              <w:spacing w:line="241" w:lineRule="auto"/>
              <w:rPr>
                <w:rFonts w:ascii="Arial"/>
                <w:sz w:val="21"/>
              </w:rPr>
            </w:pPr>
          </w:p>
          <w:p w14:paraId="011CE5C4">
            <w:pPr>
              <w:spacing w:line="241" w:lineRule="auto"/>
              <w:rPr>
                <w:rFonts w:ascii="Arial"/>
                <w:sz w:val="21"/>
              </w:rPr>
            </w:pPr>
          </w:p>
          <w:p w14:paraId="50690565">
            <w:pPr>
              <w:spacing w:line="241" w:lineRule="auto"/>
              <w:rPr>
                <w:rFonts w:ascii="Arial"/>
                <w:sz w:val="21"/>
              </w:rPr>
            </w:pPr>
          </w:p>
          <w:p w14:paraId="540A349B">
            <w:pPr>
              <w:spacing w:line="241" w:lineRule="auto"/>
              <w:rPr>
                <w:rFonts w:ascii="Arial"/>
                <w:sz w:val="21"/>
              </w:rPr>
            </w:pPr>
          </w:p>
          <w:p w14:paraId="3CBE8F5B">
            <w:pPr>
              <w:spacing w:line="241" w:lineRule="auto"/>
              <w:rPr>
                <w:rFonts w:ascii="Arial"/>
                <w:sz w:val="21"/>
              </w:rPr>
            </w:pPr>
          </w:p>
          <w:p w14:paraId="1565181C">
            <w:pPr>
              <w:spacing w:line="241" w:lineRule="auto"/>
              <w:rPr>
                <w:rFonts w:ascii="Arial"/>
                <w:sz w:val="21"/>
              </w:rPr>
            </w:pPr>
          </w:p>
          <w:p w14:paraId="0B70C08C">
            <w:pPr>
              <w:spacing w:line="241" w:lineRule="auto"/>
              <w:rPr>
                <w:rFonts w:ascii="Arial"/>
                <w:sz w:val="21"/>
              </w:rPr>
            </w:pPr>
          </w:p>
          <w:p w14:paraId="0BFBCACB">
            <w:pPr>
              <w:spacing w:line="241" w:lineRule="auto"/>
              <w:rPr>
                <w:rFonts w:ascii="Arial"/>
                <w:sz w:val="21"/>
              </w:rPr>
            </w:pPr>
          </w:p>
          <w:p w14:paraId="3FE2B286">
            <w:pPr>
              <w:spacing w:line="241" w:lineRule="auto"/>
              <w:rPr>
                <w:rFonts w:ascii="Arial"/>
                <w:sz w:val="21"/>
              </w:rPr>
            </w:pPr>
          </w:p>
          <w:p w14:paraId="52C0FF1C">
            <w:pPr>
              <w:pStyle w:val="6"/>
              <w:spacing w:before="73" w:line="276" w:lineRule="auto"/>
              <w:ind w:left="110" w:right="118" w:firstLine="48"/>
              <w:jc w:val="both"/>
              <w:rPr>
                <w:sz w:val="20"/>
                <w:szCs w:val="20"/>
              </w:rPr>
            </w:pPr>
            <w:r>
              <w:rPr>
                <w:rFonts w:ascii="Calibri" w:hAnsi="Calibri" w:eastAsia="Calibri" w:cs="Calibri"/>
                <w:spacing w:val="-13"/>
              </w:rPr>
              <w:t>6</w:t>
            </w:r>
            <w:r>
              <w:rPr>
                <w:rFonts w:ascii="Calibri" w:hAnsi="Calibri" w:eastAsia="Calibri" w:cs="Calibri"/>
              </w:rPr>
              <w:t xml:space="preserve">  </w:t>
            </w:r>
            <w:r>
              <w:rPr>
                <w:spacing w:val="1"/>
                <w:sz w:val="20"/>
                <w:szCs w:val="20"/>
              </w:rPr>
              <w:t>拆</w:t>
            </w:r>
            <w:r>
              <w:rPr>
                <w:sz w:val="20"/>
                <w:szCs w:val="20"/>
              </w:rPr>
              <w:t xml:space="preserve"> </w:t>
            </w:r>
            <w:r>
              <w:rPr>
                <w:spacing w:val="1"/>
                <w:sz w:val="20"/>
                <w:szCs w:val="20"/>
              </w:rPr>
              <w:t>解</w:t>
            </w:r>
            <w:r>
              <w:rPr>
                <w:sz w:val="20"/>
                <w:szCs w:val="20"/>
              </w:rPr>
              <w:t xml:space="preserve"> </w:t>
            </w:r>
            <w:r>
              <w:rPr>
                <w:spacing w:val="1"/>
                <w:sz w:val="20"/>
                <w:szCs w:val="20"/>
              </w:rPr>
              <w:t>技</w:t>
            </w:r>
            <w:r>
              <w:rPr>
                <w:sz w:val="20"/>
                <w:szCs w:val="20"/>
              </w:rPr>
              <w:t xml:space="preserve"> </w:t>
            </w:r>
            <w:r>
              <w:rPr>
                <w:spacing w:val="1"/>
                <w:sz w:val="20"/>
                <w:szCs w:val="20"/>
              </w:rPr>
              <w:t>术</w:t>
            </w:r>
            <w:r>
              <w:rPr>
                <w:sz w:val="20"/>
                <w:szCs w:val="20"/>
              </w:rPr>
              <w:t xml:space="preserve"> </w:t>
            </w:r>
            <w:r>
              <w:rPr>
                <w:spacing w:val="1"/>
                <w:sz w:val="20"/>
                <w:szCs w:val="20"/>
              </w:rPr>
              <w:t>要</w:t>
            </w:r>
            <w:r>
              <w:rPr>
                <w:sz w:val="20"/>
                <w:szCs w:val="20"/>
              </w:rPr>
              <w:t xml:space="preserve"> </w:t>
            </w:r>
            <w:r>
              <w:rPr>
                <w:spacing w:val="1"/>
                <w:sz w:val="20"/>
                <w:szCs w:val="20"/>
              </w:rPr>
              <w:t>求</w:t>
            </w:r>
          </w:p>
        </w:tc>
        <w:tc>
          <w:tcPr>
            <w:tcW w:w="560" w:type="dxa"/>
            <w:vAlign w:val="top"/>
          </w:tcPr>
          <w:p w14:paraId="7D49E87E">
            <w:pPr>
              <w:spacing w:line="314" w:lineRule="auto"/>
              <w:rPr>
                <w:rFonts w:ascii="Arial"/>
                <w:sz w:val="21"/>
              </w:rPr>
            </w:pPr>
          </w:p>
          <w:p w14:paraId="780A0842">
            <w:pPr>
              <w:spacing w:line="314" w:lineRule="auto"/>
              <w:rPr>
                <w:rFonts w:ascii="Arial"/>
                <w:sz w:val="21"/>
              </w:rPr>
            </w:pPr>
          </w:p>
          <w:p w14:paraId="66406D8E">
            <w:pPr>
              <w:spacing w:line="314" w:lineRule="auto"/>
              <w:rPr>
                <w:rFonts w:ascii="Arial"/>
                <w:sz w:val="21"/>
              </w:rPr>
            </w:pPr>
          </w:p>
          <w:p w14:paraId="470A8E69">
            <w:pPr>
              <w:pStyle w:val="6"/>
              <w:spacing w:before="73" w:line="274" w:lineRule="auto"/>
              <w:ind w:left="173" w:right="132" w:hanging="43"/>
              <w:jc w:val="both"/>
              <w:rPr>
                <w:sz w:val="20"/>
                <w:szCs w:val="20"/>
              </w:rPr>
            </w:pPr>
            <w:r>
              <w:rPr>
                <w:rFonts w:ascii="Calibri" w:hAnsi="Calibri" w:eastAsia="Calibri" w:cs="Calibri"/>
                <w:spacing w:val="-5"/>
              </w:rPr>
              <w:t>6.1</w:t>
            </w:r>
            <w:r>
              <w:rPr>
                <w:rFonts w:ascii="Calibri" w:hAnsi="Calibri" w:eastAsia="Calibri" w:cs="Calibri"/>
                <w:spacing w:val="1"/>
              </w:rPr>
              <w:t xml:space="preserve"> </w:t>
            </w:r>
            <w:r>
              <w:rPr>
                <w:sz w:val="20"/>
                <w:szCs w:val="20"/>
              </w:rPr>
              <w:t>检 查 和 等 级</w:t>
            </w:r>
          </w:p>
        </w:tc>
        <w:tc>
          <w:tcPr>
            <w:tcW w:w="3422" w:type="dxa"/>
            <w:vAlign w:val="top"/>
          </w:tcPr>
          <w:p w14:paraId="7E699F16">
            <w:pPr>
              <w:pStyle w:val="6"/>
              <w:spacing w:before="57" w:line="277" w:lineRule="auto"/>
              <w:ind w:left="112" w:right="109" w:firstLine="485"/>
              <w:rPr>
                <w:sz w:val="20"/>
                <w:szCs w:val="20"/>
              </w:rPr>
            </w:pPr>
            <w:r>
              <w:rPr>
                <w:rFonts w:ascii="Calibri" w:hAnsi="Calibri" w:eastAsia="Calibri" w:cs="Calibri"/>
                <w:spacing w:val="14"/>
              </w:rPr>
              <w:t>6.1.1</w:t>
            </w:r>
            <w:r>
              <w:rPr>
                <w:spacing w:val="14"/>
                <w:sz w:val="20"/>
                <w:szCs w:val="20"/>
              </w:rPr>
              <w:t>应对报废自走式农业机</w:t>
            </w:r>
            <w:r>
              <w:rPr>
                <w:spacing w:val="12"/>
                <w:sz w:val="20"/>
                <w:szCs w:val="20"/>
              </w:rPr>
              <w:t xml:space="preserve"> 械的发动机、变速箱、传动箱、转</w:t>
            </w:r>
            <w:r>
              <w:rPr>
                <w:spacing w:val="13"/>
                <w:sz w:val="20"/>
                <w:szCs w:val="20"/>
              </w:rPr>
              <w:t xml:space="preserve"> </w:t>
            </w:r>
            <w:r>
              <w:rPr>
                <w:spacing w:val="12"/>
                <w:sz w:val="20"/>
                <w:szCs w:val="20"/>
              </w:rPr>
              <w:t>向器、散热器、差速器、油箱、液</w:t>
            </w:r>
            <w:r>
              <w:rPr>
                <w:spacing w:val="13"/>
                <w:sz w:val="20"/>
                <w:szCs w:val="20"/>
              </w:rPr>
              <w:t xml:space="preserve"> </w:t>
            </w:r>
            <w:r>
              <w:rPr>
                <w:spacing w:val="12"/>
                <w:sz w:val="20"/>
                <w:szCs w:val="20"/>
              </w:rPr>
              <w:t>压油箱、空调压缩机、铅酸电池、</w:t>
            </w:r>
            <w:r>
              <w:rPr>
                <w:spacing w:val="13"/>
                <w:sz w:val="20"/>
                <w:szCs w:val="20"/>
              </w:rPr>
              <w:t xml:space="preserve"> </w:t>
            </w:r>
            <w:r>
              <w:rPr>
                <w:spacing w:val="12"/>
                <w:sz w:val="20"/>
                <w:szCs w:val="20"/>
              </w:rPr>
              <w:t>锂电池、氧燃料电池等总成部件的</w:t>
            </w:r>
            <w:r>
              <w:rPr>
                <w:spacing w:val="13"/>
                <w:sz w:val="20"/>
                <w:szCs w:val="20"/>
              </w:rPr>
              <w:t xml:space="preserve"> </w:t>
            </w:r>
            <w:r>
              <w:rPr>
                <w:spacing w:val="12"/>
                <w:sz w:val="20"/>
                <w:szCs w:val="20"/>
              </w:rPr>
              <w:t>密封情况进行检查。对出现泄漏的</w:t>
            </w:r>
            <w:r>
              <w:rPr>
                <w:spacing w:val="13"/>
                <w:sz w:val="20"/>
                <w:szCs w:val="20"/>
              </w:rPr>
              <w:t xml:space="preserve"> </w:t>
            </w:r>
            <w:r>
              <w:rPr>
                <w:spacing w:val="12"/>
                <w:sz w:val="20"/>
                <w:szCs w:val="20"/>
              </w:rPr>
              <w:t>地方，应采取适当的方式收集泄漏</w:t>
            </w:r>
            <w:r>
              <w:rPr>
                <w:spacing w:val="13"/>
                <w:sz w:val="20"/>
                <w:szCs w:val="20"/>
              </w:rPr>
              <w:t xml:space="preserve"> </w:t>
            </w:r>
            <w:r>
              <w:rPr>
                <w:spacing w:val="12"/>
                <w:sz w:val="20"/>
                <w:szCs w:val="20"/>
              </w:rPr>
              <w:t>的液体或封住泄漏处，防止废液渗</w:t>
            </w:r>
            <w:r>
              <w:rPr>
                <w:spacing w:val="13"/>
                <w:sz w:val="20"/>
                <w:szCs w:val="20"/>
              </w:rPr>
              <w:t xml:space="preserve"> </w:t>
            </w:r>
            <w:r>
              <w:rPr>
                <w:spacing w:val="5"/>
                <w:sz w:val="20"/>
                <w:szCs w:val="20"/>
              </w:rPr>
              <w:t>入地下。</w:t>
            </w:r>
          </w:p>
          <w:p w14:paraId="3DD97F42">
            <w:pPr>
              <w:pStyle w:val="6"/>
              <w:spacing w:before="69" w:line="255" w:lineRule="auto"/>
              <w:ind w:left="112" w:right="109" w:firstLine="485"/>
              <w:rPr>
                <w:sz w:val="20"/>
                <w:szCs w:val="20"/>
              </w:rPr>
            </w:pPr>
            <w:r>
              <w:rPr>
                <w:rFonts w:ascii="Calibri" w:hAnsi="Calibri" w:eastAsia="Calibri" w:cs="Calibri"/>
                <w:spacing w:val="14"/>
              </w:rPr>
              <w:t>6.1.2</w:t>
            </w:r>
            <w:r>
              <w:rPr>
                <w:spacing w:val="14"/>
                <w:sz w:val="20"/>
                <w:szCs w:val="20"/>
              </w:rPr>
              <w:t>按照规定对报废农业机</w:t>
            </w:r>
            <w:r>
              <w:rPr>
                <w:spacing w:val="12"/>
                <w:sz w:val="20"/>
                <w:szCs w:val="20"/>
              </w:rPr>
              <w:t xml:space="preserve"> 械的主要信息进行登记拍照，并在</w:t>
            </w:r>
            <w:r>
              <w:rPr>
                <w:spacing w:val="13"/>
                <w:sz w:val="20"/>
                <w:szCs w:val="20"/>
              </w:rPr>
              <w:t xml:space="preserve"> </w:t>
            </w:r>
            <w:r>
              <w:rPr>
                <w:spacing w:val="8"/>
                <w:sz w:val="20"/>
                <w:szCs w:val="20"/>
              </w:rPr>
              <w:t>机身醒目处设置唯一性标识。</w:t>
            </w:r>
          </w:p>
        </w:tc>
        <w:tc>
          <w:tcPr>
            <w:tcW w:w="2318" w:type="dxa"/>
            <w:vAlign w:val="top"/>
          </w:tcPr>
          <w:p w14:paraId="4D548E4C">
            <w:pPr>
              <w:spacing w:line="306" w:lineRule="auto"/>
              <w:rPr>
                <w:rFonts w:ascii="Arial"/>
                <w:sz w:val="21"/>
              </w:rPr>
            </w:pPr>
          </w:p>
          <w:p w14:paraId="132A52F3">
            <w:pPr>
              <w:spacing w:line="306" w:lineRule="auto"/>
              <w:rPr>
                <w:rFonts w:ascii="Arial"/>
                <w:sz w:val="21"/>
              </w:rPr>
            </w:pPr>
          </w:p>
          <w:p w14:paraId="16054E3A">
            <w:pPr>
              <w:spacing w:line="307" w:lineRule="auto"/>
              <w:rPr>
                <w:rFonts w:ascii="Arial"/>
                <w:sz w:val="21"/>
              </w:rPr>
            </w:pPr>
          </w:p>
          <w:p w14:paraId="2B1983D9">
            <w:pPr>
              <w:pStyle w:val="6"/>
              <w:spacing w:before="65" w:line="280" w:lineRule="auto"/>
              <w:ind w:left="120" w:right="97" w:firstLine="416"/>
              <w:rPr>
                <w:sz w:val="20"/>
                <w:szCs w:val="20"/>
              </w:rPr>
            </w:pPr>
            <w:r>
              <w:rPr>
                <w:spacing w:val="9"/>
                <w:sz w:val="20"/>
                <w:szCs w:val="20"/>
              </w:rPr>
              <w:t>本项目不拆解自走</w:t>
            </w:r>
            <w:r>
              <w:rPr>
                <w:spacing w:val="5"/>
                <w:sz w:val="20"/>
                <w:szCs w:val="20"/>
              </w:rPr>
              <w:t xml:space="preserve"> </w:t>
            </w:r>
            <w:r>
              <w:rPr>
                <w:spacing w:val="6"/>
                <w:sz w:val="20"/>
                <w:szCs w:val="20"/>
              </w:rPr>
              <w:t>式农业机械。</w:t>
            </w:r>
          </w:p>
          <w:p w14:paraId="2291055B">
            <w:pPr>
              <w:pStyle w:val="6"/>
              <w:spacing w:before="35" w:line="288" w:lineRule="auto"/>
              <w:ind w:left="115" w:right="97" w:firstLine="422"/>
              <w:rPr>
                <w:sz w:val="20"/>
                <w:szCs w:val="20"/>
              </w:rPr>
            </w:pPr>
            <w:r>
              <w:rPr>
                <w:spacing w:val="9"/>
                <w:sz w:val="20"/>
                <w:szCs w:val="20"/>
              </w:rPr>
              <w:t>按照规定对报废农</w:t>
            </w:r>
            <w:r>
              <w:rPr>
                <w:spacing w:val="4"/>
                <w:sz w:val="20"/>
                <w:szCs w:val="20"/>
              </w:rPr>
              <w:t xml:space="preserve"> </w:t>
            </w:r>
            <w:r>
              <w:rPr>
                <w:spacing w:val="9"/>
                <w:sz w:val="20"/>
                <w:szCs w:val="20"/>
              </w:rPr>
              <w:t>业机械的主要信息进行</w:t>
            </w:r>
            <w:r>
              <w:rPr>
                <w:spacing w:val="8"/>
                <w:sz w:val="20"/>
                <w:szCs w:val="20"/>
              </w:rPr>
              <w:t xml:space="preserve"> </w:t>
            </w:r>
            <w:r>
              <w:rPr>
                <w:spacing w:val="9"/>
                <w:sz w:val="20"/>
                <w:szCs w:val="20"/>
              </w:rPr>
              <w:t>登记拍照，并在机身醒</w:t>
            </w:r>
            <w:r>
              <w:rPr>
                <w:spacing w:val="8"/>
                <w:sz w:val="20"/>
                <w:szCs w:val="20"/>
              </w:rPr>
              <w:t xml:space="preserve"> 目处设置唯一性标识。</w:t>
            </w:r>
          </w:p>
        </w:tc>
        <w:tc>
          <w:tcPr>
            <w:tcW w:w="1145" w:type="dxa"/>
            <w:vMerge w:val="continue"/>
            <w:tcBorders>
              <w:top w:val="nil"/>
              <w:bottom w:val="nil"/>
              <w:right w:val="single" w:color="000000" w:sz="10" w:space="0"/>
            </w:tcBorders>
            <w:vAlign w:val="top"/>
          </w:tcPr>
          <w:p w14:paraId="59A8E80B">
            <w:pPr>
              <w:rPr>
                <w:rFonts w:ascii="Arial"/>
                <w:sz w:val="21"/>
              </w:rPr>
            </w:pPr>
          </w:p>
        </w:tc>
      </w:tr>
      <w:tr w14:paraId="61DF7C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9" w:hRule="atLeast"/>
        </w:trPr>
        <w:tc>
          <w:tcPr>
            <w:tcW w:w="494" w:type="dxa"/>
            <w:vMerge w:val="continue"/>
            <w:tcBorders>
              <w:top w:val="nil"/>
              <w:left w:val="single" w:color="000000" w:sz="10" w:space="0"/>
              <w:bottom w:val="nil"/>
            </w:tcBorders>
            <w:vAlign w:val="top"/>
          </w:tcPr>
          <w:p w14:paraId="4CE8FE5C">
            <w:pPr>
              <w:rPr>
                <w:rFonts w:ascii="Arial"/>
                <w:sz w:val="21"/>
              </w:rPr>
            </w:pPr>
          </w:p>
        </w:tc>
        <w:tc>
          <w:tcPr>
            <w:tcW w:w="547" w:type="dxa"/>
            <w:vMerge w:val="continue"/>
            <w:tcBorders>
              <w:top w:val="nil"/>
              <w:bottom w:val="nil"/>
            </w:tcBorders>
            <w:vAlign w:val="top"/>
          </w:tcPr>
          <w:p w14:paraId="014D4DDA">
            <w:pPr>
              <w:rPr>
                <w:rFonts w:ascii="Arial"/>
                <w:sz w:val="21"/>
              </w:rPr>
            </w:pPr>
          </w:p>
        </w:tc>
        <w:tc>
          <w:tcPr>
            <w:tcW w:w="436" w:type="dxa"/>
            <w:vMerge w:val="continue"/>
            <w:tcBorders>
              <w:top w:val="nil"/>
              <w:bottom w:val="nil"/>
            </w:tcBorders>
            <w:vAlign w:val="top"/>
          </w:tcPr>
          <w:p w14:paraId="17F5AABB">
            <w:pPr>
              <w:rPr>
                <w:rFonts w:ascii="Arial"/>
                <w:sz w:val="21"/>
              </w:rPr>
            </w:pPr>
          </w:p>
        </w:tc>
        <w:tc>
          <w:tcPr>
            <w:tcW w:w="560" w:type="dxa"/>
            <w:vAlign w:val="top"/>
          </w:tcPr>
          <w:p w14:paraId="393D0746">
            <w:pPr>
              <w:spacing w:line="319" w:lineRule="auto"/>
              <w:rPr>
                <w:rFonts w:ascii="Arial"/>
                <w:sz w:val="21"/>
              </w:rPr>
            </w:pPr>
          </w:p>
          <w:p w14:paraId="45C53E37">
            <w:pPr>
              <w:spacing w:line="320" w:lineRule="auto"/>
              <w:rPr>
                <w:rFonts w:ascii="Arial"/>
                <w:sz w:val="21"/>
              </w:rPr>
            </w:pPr>
          </w:p>
          <w:p w14:paraId="51E396C3">
            <w:pPr>
              <w:pStyle w:val="6"/>
              <w:spacing w:before="73" w:line="274" w:lineRule="auto"/>
              <w:ind w:left="172" w:right="132" w:hanging="42"/>
              <w:jc w:val="both"/>
              <w:rPr>
                <w:sz w:val="20"/>
                <w:szCs w:val="20"/>
              </w:rPr>
            </w:pPr>
            <w:r>
              <w:rPr>
                <w:rFonts w:ascii="Calibri" w:hAnsi="Calibri" w:eastAsia="Calibri" w:cs="Calibri"/>
                <w:spacing w:val="-5"/>
              </w:rPr>
              <w:t>6.2</w:t>
            </w:r>
            <w:r>
              <w:rPr>
                <w:rFonts w:ascii="Calibri" w:hAnsi="Calibri" w:eastAsia="Calibri" w:cs="Calibri"/>
                <w:spacing w:val="1"/>
              </w:rPr>
              <w:t xml:space="preserve"> </w:t>
            </w:r>
            <w:r>
              <w:rPr>
                <w:spacing w:val="1"/>
                <w:sz w:val="20"/>
                <w:szCs w:val="20"/>
              </w:rPr>
              <w:t>拆</w:t>
            </w:r>
            <w:r>
              <w:rPr>
                <w:sz w:val="20"/>
                <w:szCs w:val="20"/>
              </w:rPr>
              <w:t xml:space="preserve"> </w:t>
            </w:r>
            <w:r>
              <w:rPr>
                <w:spacing w:val="1"/>
                <w:sz w:val="20"/>
                <w:szCs w:val="20"/>
              </w:rPr>
              <w:t>解</w:t>
            </w:r>
            <w:r>
              <w:rPr>
                <w:sz w:val="20"/>
                <w:szCs w:val="20"/>
              </w:rPr>
              <w:t xml:space="preserve"> </w:t>
            </w:r>
            <w:r>
              <w:rPr>
                <w:spacing w:val="1"/>
                <w:sz w:val="20"/>
                <w:szCs w:val="20"/>
              </w:rPr>
              <w:t>前</w:t>
            </w:r>
            <w:r>
              <w:rPr>
                <w:sz w:val="20"/>
                <w:szCs w:val="20"/>
              </w:rPr>
              <w:t xml:space="preserve"> </w:t>
            </w:r>
            <w:r>
              <w:rPr>
                <w:spacing w:val="1"/>
                <w:sz w:val="20"/>
                <w:szCs w:val="20"/>
              </w:rPr>
              <w:t>储</w:t>
            </w:r>
            <w:r>
              <w:rPr>
                <w:sz w:val="20"/>
                <w:szCs w:val="20"/>
              </w:rPr>
              <w:t xml:space="preserve"> </w:t>
            </w:r>
            <w:r>
              <w:rPr>
                <w:spacing w:val="1"/>
                <w:sz w:val="20"/>
                <w:szCs w:val="20"/>
              </w:rPr>
              <w:t>存</w:t>
            </w:r>
          </w:p>
        </w:tc>
        <w:tc>
          <w:tcPr>
            <w:tcW w:w="3422" w:type="dxa"/>
            <w:vAlign w:val="top"/>
          </w:tcPr>
          <w:p w14:paraId="49F89207">
            <w:pPr>
              <w:pStyle w:val="6"/>
              <w:spacing w:before="68" w:line="263" w:lineRule="auto"/>
              <w:ind w:left="112" w:right="56" w:firstLine="485"/>
              <w:rPr>
                <w:sz w:val="20"/>
                <w:szCs w:val="20"/>
              </w:rPr>
            </w:pPr>
            <w:r>
              <w:rPr>
                <w:rFonts w:ascii="Calibri" w:hAnsi="Calibri" w:eastAsia="Calibri" w:cs="Calibri"/>
                <w:spacing w:val="14"/>
              </w:rPr>
              <w:t>6.2.1</w:t>
            </w:r>
            <w:r>
              <w:rPr>
                <w:spacing w:val="14"/>
                <w:sz w:val="20"/>
                <w:szCs w:val="20"/>
              </w:rPr>
              <w:t>报废农业机械应与其他</w:t>
            </w:r>
            <w:r>
              <w:rPr>
                <w:spacing w:val="12"/>
                <w:sz w:val="20"/>
                <w:szCs w:val="20"/>
              </w:rPr>
              <w:t xml:space="preserve"> </w:t>
            </w:r>
            <w:r>
              <w:rPr>
                <w:spacing w:val="2"/>
                <w:sz w:val="20"/>
                <w:szCs w:val="20"/>
              </w:rPr>
              <w:t>废弃物分开储存，严禁侧放、倒放：</w:t>
            </w:r>
            <w:r>
              <w:rPr>
                <w:spacing w:val="14"/>
                <w:sz w:val="20"/>
                <w:szCs w:val="20"/>
              </w:rPr>
              <w:t xml:space="preserve"> </w:t>
            </w:r>
            <w:r>
              <w:rPr>
                <w:spacing w:val="12"/>
                <w:sz w:val="20"/>
                <w:szCs w:val="20"/>
              </w:rPr>
              <w:t>如需叠放，应做到堆放合理，方便</w:t>
            </w:r>
            <w:r>
              <w:rPr>
                <w:spacing w:val="13"/>
                <w:sz w:val="20"/>
                <w:szCs w:val="20"/>
              </w:rPr>
              <w:t xml:space="preserve"> </w:t>
            </w:r>
            <w:r>
              <w:rPr>
                <w:spacing w:val="8"/>
                <w:sz w:val="20"/>
                <w:szCs w:val="20"/>
              </w:rPr>
              <w:t>装卸，保障人身财产安全。</w:t>
            </w:r>
          </w:p>
          <w:p w14:paraId="27EE55DC">
            <w:pPr>
              <w:pStyle w:val="6"/>
              <w:spacing w:before="72" w:line="263" w:lineRule="auto"/>
              <w:ind w:left="114" w:right="109" w:firstLine="483"/>
              <w:rPr>
                <w:sz w:val="20"/>
                <w:szCs w:val="20"/>
              </w:rPr>
            </w:pPr>
            <w:r>
              <w:rPr>
                <w:rFonts w:ascii="Calibri" w:hAnsi="Calibri" w:eastAsia="Calibri" w:cs="Calibri"/>
                <w:spacing w:val="14"/>
              </w:rPr>
              <w:t>6.2.2</w:t>
            </w:r>
            <w:r>
              <w:rPr>
                <w:spacing w:val="14"/>
                <w:sz w:val="20"/>
                <w:szCs w:val="20"/>
              </w:rPr>
              <w:t>电动自走式农业机械在</w:t>
            </w:r>
            <w:r>
              <w:rPr>
                <w:spacing w:val="12"/>
                <w:sz w:val="20"/>
                <w:szCs w:val="20"/>
              </w:rPr>
              <w:t xml:space="preserve"> 动力蓄电池未拆卸前应单独存放，</w:t>
            </w:r>
            <w:r>
              <w:rPr>
                <w:spacing w:val="11"/>
                <w:sz w:val="20"/>
                <w:szCs w:val="20"/>
              </w:rPr>
              <w:t xml:space="preserve"> </w:t>
            </w:r>
            <w:r>
              <w:rPr>
                <w:spacing w:val="12"/>
                <w:sz w:val="20"/>
                <w:szCs w:val="20"/>
              </w:rPr>
              <w:t>并采取防火、防水、绝缘、隔热等</w:t>
            </w:r>
            <w:r>
              <w:rPr>
                <w:spacing w:val="11"/>
                <w:sz w:val="20"/>
                <w:szCs w:val="20"/>
              </w:rPr>
              <w:t xml:space="preserve"> </w:t>
            </w:r>
            <w:r>
              <w:rPr>
                <w:spacing w:val="6"/>
                <w:sz w:val="20"/>
                <w:szCs w:val="20"/>
              </w:rPr>
              <w:t>安全保障措施。</w:t>
            </w:r>
          </w:p>
          <w:p w14:paraId="22FEB8AC">
            <w:pPr>
              <w:pStyle w:val="6"/>
              <w:spacing w:before="73" w:line="236" w:lineRule="auto"/>
              <w:ind w:left="112" w:right="109" w:firstLine="485"/>
              <w:rPr>
                <w:sz w:val="20"/>
                <w:szCs w:val="20"/>
              </w:rPr>
            </w:pPr>
            <w:r>
              <w:rPr>
                <w:rFonts w:ascii="Calibri" w:hAnsi="Calibri" w:eastAsia="Calibri" w:cs="Calibri"/>
                <w:spacing w:val="1"/>
              </w:rPr>
              <w:t>6.2.3</w:t>
            </w:r>
            <w:r>
              <w:rPr>
                <w:spacing w:val="1"/>
                <w:sz w:val="20"/>
                <w:szCs w:val="20"/>
              </w:rPr>
              <w:t>回收报废农业机械后，应</w:t>
            </w:r>
            <w:r>
              <w:rPr>
                <w:spacing w:val="6"/>
                <w:sz w:val="20"/>
                <w:szCs w:val="20"/>
              </w:rPr>
              <w:t xml:space="preserve"> </w:t>
            </w:r>
            <w:r>
              <w:rPr>
                <w:spacing w:val="8"/>
                <w:sz w:val="20"/>
                <w:szCs w:val="20"/>
              </w:rPr>
              <w:t>在</w:t>
            </w:r>
            <w:r>
              <w:rPr>
                <w:rFonts w:ascii="Times New Roman" w:hAnsi="Times New Roman" w:eastAsia="Times New Roman" w:cs="Times New Roman"/>
                <w:spacing w:val="8"/>
                <w:sz w:val="20"/>
                <w:szCs w:val="20"/>
              </w:rPr>
              <w:t>3</w:t>
            </w:r>
            <w:r>
              <w:rPr>
                <w:spacing w:val="8"/>
                <w:sz w:val="20"/>
                <w:szCs w:val="20"/>
              </w:rPr>
              <w:t>个月内将其拆解完毕。</w:t>
            </w:r>
          </w:p>
        </w:tc>
        <w:tc>
          <w:tcPr>
            <w:tcW w:w="2318" w:type="dxa"/>
            <w:vAlign w:val="top"/>
          </w:tcPr>
          <w:p w14:paraId="6C6E1F27">
            <w:pPr>
              <w:spacing w:line="298" w:lineRule="auto"/>
              <w:rPr>
                <w:rFonts w:ascii="Arial"/>
                <w:sz w:val="21"/>
              </w:rPr>
            </w:pPr>
          </w:p>
          <w:p w14:paraId="72E3637E">
            <w:pPr>
              <w:pStyle w:val="6"/>
              <w:spacing w:before="65" w:line="285" w:lineRule="auto"/>
              <w:ind w:left="114" w:right="97" w:firstLine="420"/>
              <w:rPr>
                <w:sz w:val="20"/>
                <w:szCs w:val="20"/>
              </w:rPr>
            </w:pPr>
            <w:r>
              <w:rPr>
                <w:spacing w:val="10"/>
                <w:sz w:val="20"/>
                <w:szCs w:val="20"/>
              </w:rPr>
              <w:t>报废农业机械与其</w:t>
            </w:r>
            <w:r>
              <w:rPr>
                <w:sz w:val="20"/>
                <w:szCs w:val="20"/>
              </w:rPr>
              <w:t xml:space="preserve"> </w:t>
            </w:r>
            <w:r>
              <w:rPr>
                <w:spacing w:val="10"/>
                <w:sz w:val="20"/>
                <w:szCs w:val="20"/>
              </w:rPr>
              <w:t>他废弃物分开储存，不</w:t>
            </w:r>
            <w:r>
              <w:rPr>
                <w:sz w:val="20"/>
                <w:szCs w:val="20"/>
              </w:rPr>
              <w:t xml:space="preserve"> </w:t>
            </w:r>
            <w:r>
              <w:rPr>
                <w:spacing w:val="7"/>
                <w:sz w:val="20"/>
                <w:szCs w:val="20"/>
              </w:rPr>
              <w:t>进行蓄电池的拆卸。</w:t>
            </w:r>
          </w:p>
          <w:p w14:paraId="6473F40F">
            <w:pPr>
              <w:pStyle w:val="6"/>
              <w:spacing w:before="33" w:line="280" w:lineRule="auto"/>
              <w:ind w:left="120" w:right="97" w:firstLine="416"/>
              <w:rPr>
                <w:sz w:val="20"/>
                <w:szCs w:val="20"/>
              </w:rPr>
            </w:pPr>
            <w:r>
              <w:rPr>
                <w:spacing w:val="9"/>
                <w:sz w:val="20"/>
                <w:szCs w:val="20"/>
              </w:rPr>
              <w:t>本项目不拆解自走</w:t>
            </w:r>
            <w:r>
              <w:rPr>
                <w:spacing w:val="5"/>
                <w:sz w:val="20"/>
                <w:szCs w:val="20"/>
              </w:rPr>
              <w:t xml:space="preserve"> </w:t>
            </w:r>
            <w:r>
              <w:rPr>
                <w:spacing w:val="6"/>
                <w:sz w:val="20"/>
                <w:szCs w:val="20"/>
              </w:rPr>
              <w:t>式农业机械。</w:t>
            </w:r>
          </w:p>
          <w:p w14:paraId="7F7ED9B8">
            <w:pPr>
              <w:pStyle w:val="6"/>
              <w:spacing w:before="32" w:line="286" w:lineRule="auto"/>
              <w:ind w:left="118" w:right="97" w:firstLine="438"/>
              <w:rPr>
                <w:sz w:val="20"/>
                <w:szCs w:val="20"/>
              </w:rPr>
            </w:pPr>
            <w:r>
              <w:rPr>
                <w:spacing w:val="7"/>
                <w:sz w:val="20"/>
                <w:szCs w:val="20"/>
              </w:rPr>
              <w:t>回收报废农业机械</w:t>
            </w:r>
            <w:r>
              <w:rPr>
                <w:spacing w:val="1"/>
                <w:sz w:val="20"/>
                <w:szCs w:val="20"/>
              </w:rPr>
              <w:t xml:space="preserve"> </w:t>
            </w:r>
            <w:r>
              <w:rPr>
                <w:spacing w:val="-1"/>
                <w:sz w:val="20"/>
                <w:szCs w:val="20"/>
              </w:rPr>
              <w:t>后，在</w:t>
            </w:r>
            <w:r>
              <w:rPr>
                <w:rFonts w:ascii="Times New Roman" w:hAnsi="Times New Roman" w:eastAsia="Times New Roman" w:cs="Times New Roman"/>
                <w:spacing w:val="-1"/>
                <w:sz w:val="20"/>
                <w:szCs w:val="20"/>
              </w:rPr>
              <w:t>3</w:t>
            </w:r>
            <w:r>
              <w:rPr>
                <w:spacing w:val="-1"/>
                <w:sz w:val="20"/>
                <w:szCs w:val="20"/>
              </w:rPr>
              <w:t>个月内将其拆解</w:t>
            </w:r>
            <w:r>
              <w:rPr>
                <w:spacing w:val="7"/>
                <w:sz w:val="20"/>
                <w:szCs w:val="20"/>
              </w:rPr>
              <w:t xml:space="preserve"> </w:t>
            </w:r>
            <w:r>
              <w:rPr>
                <w:spacing w:val="2"/>
                <w:sz w:val="20"/>
                <w:szCs w:val="20"/>
              </w:rPr>
              <w:t>完毕。</w:t>
            </w:r>
          </w:p>
        </w:tc>
        <w:tc>
          <w:tcPr>
            <w:tcW w:w="1145" w:type="dxa"/>
            <w:vMerge w:val="continue"/>
            <w:tcBorders>
              <w:top w:val="nil"/>
              <w:bottom w:val="nil"/>
              <w:right w:val="single" w:color="000000" w:sz="10" w:space="0"/>
            </w:tcBorders>
            <w:vAlign w:val="top"/>
          </w:tcPr>
          <w:p w14:paraId="10632FDF">
            <w:pPr>
              <w:rPr>
                <w:rFonts w:ascii="Arial"/>
                <w:sz w:val="21"/>
              </w:rPr>
            </w:pPr>
          </w:p>
        </w:tc>
      </w:tr>
      <w:tr w14:paraId="1F7696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8" w:hRule="atLeast"/>
        </w:trPr>
        <w:tc>
          <w:tcPr>
            <w:tcW w:w="494" w:type="dxa"/>
            <w:vMerge w:val="continue"/>
            <w:tcBorders>
              <w:top w:val="nil"/>
              <w:left w:val="single" w:color="000000" w:sz="10" w:space="0"/>
              <w:bottom w:val="nil"/>
            </w:tcBorders>
            <w:vAlign w:val="top"/>
          </w:tcPr>
          <w:p w14:paraId="350DCC59">
            <w:pPr>
              <w:rPr>
                <w:rFonts w:ascii="Arial"/>
                <w:sz w:val="21"/>
              </w:rPr>
            </w:pPr>
          </w:p>
        </w:tc>
        <w:tc>
          <w:tcPr>
            <w:tcW w:w="547" w:type="dxa"/>
            <w:vMerge w:val="continue"/>
            <w:tcBorders>
              <w:top w:val="nil"/>
              <w:bottom w:val="nil"/>
            </w:tcBorders>
            <w:vAlign w:val="top"/>
          </w:tcPr>
          <w:p w14:paraId="1E699C0E">
            <w:pPr>
              <w:rPr>
                <w:rFonts w:ascii="Arial"/>
                <w:sz w:val="21"/>
              </w:rPr>
            </w:pPr>
          </w:p>
        </w:tc>
        <w:tc>
          <w:tcPr>
            <w:tcW w:w="436" w:type="dxa"/>
            <w:vMerge w:val="continue"/>
            <w:tcBorders>
              <w:top w:val="nil"/>
              <w:bottom w:val="nil"/>
            </w:tcBorders>
            <w:vAlign w:val="top"/>
          </w:tcPr>
          <w:p w14:paraId="535B2D6E">
            <w:pPr>
              <w:rPr>
                <w:rFonts w:ascii="Arial"/>
                <w:sz w:val="21"/>
              </w:rPr>
            </w:pPr>
          </w:p>
        </w:tc>
        <w:tc>
          <w:tcPr>
            <w:tcW w:w="560" w:type="dxa"/>
            <w:vAlign w:val="top"/>
          </w:tcPr>
          <w:p w14:paraId="1B745D6B">
            <w:pPr>
              <w:spacing w:line="243" w:lineRule="auto"/>
              <w:rPr>
                <w:rFonts w:ascii="Arial"/>
                <w:sz w:val="21"/>
              </w:rPr>
            </w:pPr>
          </w:p>
          <w:p w14:paraId="223F04AA">
            <w:pPr>
              <w:spacing w:line="244" w:lineRule="auto"/>
              <w:rPr>
                <w:rFonts w:ascii="Arial"/>
                <w:sz w:val="21"/>
              </w:rPr>
            </w:pPr>
          </w:p>
          <w:p w14:paraId="4EFB893D">
            <w:pPr>
              <w:pStyle w:val="6"/>
              <w:spacing w:before="73" w:line="276" w:lineRule="auto"/>
              <w:ind w:left="172" w:right="132" w:hanging="42"/>
              <w:jc w:val="both"/>
              <w:rPr>
                <w:sz w:val="20"/>
                <w:szCs w:val="20"/>
              </w:rPr>
            </w:pPr>
            <w:r>
              <w:rPr>
                <w:rFonts w:ascii="Calibri" w:hAnsi="Calibri" w:eastAsia="Calibri" w:cs="Calibri"/>
                <w:spacing w:val="-5"/>
              </w:rPr>
              <w:t>6.3</w:t>
            </w:r>
            <w:r>
              <w:rPr>
                <w:rFonts w:ascii="Calibri" w:hAnsi="Calibri" w:eastAsia="Calibri" w:cs="Calibri"/>
                <w:spacing w:val="1"/>
              </w:rPr>
              <w:t xml:space="preserve"> </w:t>
            </w:r>
            <w:r>
              <w:rPr>
                <w:spacing w:val="1"/>
                <w:sz w:val="20"/>
                <w:szCs w:val="20"/>
              </w:rPr>
              <w:t>拆</w:t>
            </w:r>
            <w:r>
              <w:rPr>
                <w:sz w:val="20"/>
                <w:szCs w:val="20"/>
              </w:rPr>
              <w:t xml:space="preserve"> </w:t>
            </w:r>
            <w:r>
              <w:rPr>
                <w:spacing w:val="1"/>
                <w:sz w:val="20"/>
                <w:szCs w:val="20"/>
              </w:rPr>
              <w:t>解</w:t>
            </w:r>
            <w:r>
              <w:rPr>
                <w:sz w:val="20"/>
                <w:szCs w:val="20"/>
              </w:rPr>
              <w:t xml:space="preserve"> </w:t>
            </w:r>
            <w:r>
              <w:rPr>
                <w:spacing w:val="1"/>
                <w:sz w:val="20"/>
                <w:szCs w:val="20"/>
              </w:rPr>
              <w:t>预</w:t>
            </w:r>
            <w:r>
              <w:rPr>
                <w:sz w:val="20"/>
                <w:szCs w:val="20"/>
              </w:rPr>
              <w:t xml:space="preserve"> </w:t>
            </w:r>
            <w:r>
              <w:rPr>
                <w:spacing w:val="1"/>
                <w:sz w:val="20"/>
                <w:szCs w:val="20"/>
              </w:rPr>
              <w:t>处</w:t>
            </w:r>
            <w:r>
              <w:rPr>
                <w:sz w:val="20"/>
                <w:szCs w:val="20"/>
              </w:rPr>
              <w:t xml:space="preserve"> </w:t>
            </w:r>
            <w:r>
              <w:rPr>
                <w:spacing w:val="1"/>
                <w:sz w:val="20"/>
                <w:szCs w:val="20"/>
              </w:rPr>
              <w:t>理</w:t>
            </w:r>
          </w:p>
        </w:tc>
        <w:tc>
          <w:tcPr>
            <w:tcW w:w="3422" w:type="dxa"/>
            <w:vAlign w:val="top"/>
          </w:tcPr>
          <w:p w14:paraId="3C77344E">
            <w:pPr>
              <w:pStyle w:val="6"/>
              <w:spacing w:before="74" w:line="255" w:lineRule="auto"/>
              <w:ind w:left="113" w:right="109" w:firstLine="484"/>
              <w:rPr>
                <w:sz w:val="20"/>
                <w:szCs w:val="20"/>
              </w:rPr>
            </w:pPr>
            <w:r>
              <w:rPr>
                <w:rFonts w:ascii="Calibri" w:hAnsi="Calibri" w:eastAsia="Calibri" w:cs="Calibri"/>
                <w:spacing w:val="14"/>
              </w:rPr>
              <w:t>6.3.1</w:t>
            </w:r>
            <w:r>
              <w:rPr>
                <w:spacing w:val="14"/>
                <w:sz w:val="20"/>
                <w:szCs w:val="20"/>
              </w:rPr>
              <w:t>先对报废农业机械进行</w:t>
            </w:r>
            <w:r>
              <w:rPr>
                <w:spacing w:val="12"/>
                <w:sz w:val="20"/>
                <w:szCs w:val="20"/>
              </w:rPr>
              <w:t xml:space="preserve"> 清洁处理，去除机械外部的非原机 </w:t>
            </w:r>
            <w:r>
              <w:rPr>
                <w:spacing w:val="7"/>
                <w:sz w:val="20"/>
                <w:szCs w:val="20"/>
              </w:rPr>
              <w:t>所属的覆盖物。</w:t>
            </w:r>
          </w:p>
          <w:p w14:paraId="0EEF705A">
            <w:pPr>
              <w:pStyle w:val="6"/>
              <w:spacing w:before="71" w:line="239" w:lineRule="auto"/>
              <w:ind w:left="118" w:right="109" w:firstLine="479"/>
              <w:rPr>
                <w:sz w:val="20"/>
                <w:szCs w:val="20"/>
              </w:rPr>
            </w:pPr>
            <w:r>
              <w:rPr>
                <w:rFonts w:ascii="Calibri" w:hAnsi="Calibri" w:eastAsia="Calibri" w:cs="Calibri"/>
                <w:spacing w:val="14"/>
              </w:rPr>
              <w:t>6.3.2</w:t>
            </w:r>
            <w:r>
              <w:rPr>
                <w:spacing w:val="14"/>
                <w:sz w:val="20"/>
                <w:szCs w:val="20"/>
              </w:rPr>
              <w:t>在拆解预处理区域排空</w:t>
            </w:r>
            <w:r>
              <w:rPr>
                <w:spacing w:val="12"/>
                <w:sz w:val="20"/>
                <w:szCs w:val="20"/>
              </w:rPr>
              <w:t xml:space="preserve"> </w:t>
            </w:r>
            <w:r>
              <w:rPr>
                <w:spacing w:val="8"/>
                <w:sz w:val="20"/>
                <w:szCs w:val="20"/>
              </w:rPr>
              <w:t>并分类收集农业机械内的废液。</w:t>
            </w:r>
          </w:p>
          <w:p w14:paraId="6A3B7AB9">
            <w:pPr>
              <w:pStyle w:val="6"/>
              <w:spacing w:before="74" w:line="260" w:lineRule="auto"/>
              <w:ind w:left="113" w:right="109" w:firstLine="484"/>
              <w:rPr>
                <w:sz w:val="20"/>
                <w:szCs w:val="20"/>
              </w:rPr>
            </w:pPr>
            <w:r>
              <w:rPr>
                <w:rFonts w:ascii="Calibri" w:hAnsi="Calibri" w:eastAsia="Calibri" w:cs="Calibri"/>
                <w:spacing w:val="1"/>
              </w:rPr>
              <w:t>6.3.3</w:t>
            </w:r>
            <w:r>
              <w:rPr>
                <w:spacing w:val="1"/>
                <w:sz w:val="20"/>
                <w:szCs w:val="20"/>
              </w:rPr>
              <w:t>拆卸动力蓄电池，拆除铅</w:t>
            </w:r>
            <w:r>
              <w:rPr>
                <w:spacing w:val="6"/>
                <w:sz w:val="20"/>
                <w:szCs w:val="20"/>
              </w:rPr>
              <w:t xml:space="preserve"> </w:t>
            </w:r>
            <w:r>
              <w:rPr>
                <w:spacing w:val="12"/>
                <w:sz w:val="20"/>
                <w:szCs w:val="20"/>
              </w:rPr>
              <w:t xml:space="preserve">酸蓄电池、油箱、气泵、水泵、气 罐、液罐、锂电池、液压泵、空调 </w:t>
            </w:r>
            <w:r>
              <w:rPr>
                <w:spacing w:val="7"/>
                <w:sz w:val="20"/>
                <w:szCs w:val="20"/>
              </w:rPr>
              <w:t>器等外围附属件。</w:t>
            </w:r>
          </w:p>
        </w:tc>
        <w:tc>
          <w:tcPr>
            <w:tcW w:w="2318" w:type="dxa"/>
            <w:vAlign w:val="top"/>
          </w:tcPr>
          <w:p w14:paraId="18A0897C">
            <w:pPr>
              <w:pStyle w:val="6"/>
              <w:spacing w:before="215" w:line="280" w:lineRule="auto"/>
              <w:ind w:left="119" w:right="97" w:firstLine="417"/>
              <w:rPr>
                <w:sz w:val="20"/>
                <w:szCs w:val="20"/>
              </w:rPr>
            </w:pPr>
            <w:r>
              <w:rPr>
                <w:spacing w:val="9"/>
                <w:sz w:val="20"/>
                <w:szCs w:val="20"/>
              </w:rPr>
              <w:t>本项目设备及车辆</w:t>
            </w:r>
            <w:r>
              <w:rPr>
                <w:spacing w:val="5"/>
                <w:sz w:val="20"/>
                <w:szCs w:val="20"/>
              </w:rPr>
              <w:t xml:space="preserve"> </w:t>
            </w:r>
            <w:r>
              <w:rPr>
                <w:spacing w:val="7"/>
                <w:sz w:val="20"/>
                <w:szCs w:val="20"/>
              </w:rPr>
              <w:t>不在厂区内清洗。</w:t>
            </w:r>
          </w:p>
          <w:p w14:paraId="5162D518">
            <w:pPr>
              <w:pStyle w:val="6"/>
              <w:spacing w:before="34" w:line="288" w:lineRule="auto"/>
              <w:ind w:left="115" w:right="97" w:firstLine="420"/>
              <w:rPr>
                <w:sz w:val="20"/>
                <w:szCs w:val="20"/>
              </w:rPr>
            </w:pPr>
            <w:r>
              <w:rPr>
                <w:spacing w:val="39"/>
                <w:sz w:val="20"/>
                <w:szCs w:val="20"/>
              </w:rPr>
              <w:t>拆解区四周设置</w:t>
            </w:r>
            <w:r>
              <w:rPr>
                <w:spacing w:val="5"/>
                <w:sz w:val="20"/>
                <w:szCs w:val="20"/>
              </w:rPr>
              <w:t xml:space="preserve"> </w:t>
            </w:r>
            <w:r>
              <w:rPr>
                <w:rFonts w:ascii="Times New Roman" w:hAnsi="Times New Roman" w:eastAsia="Times New Roman" w:cs="Times New Roman"/>
                <w:spacing w:val="9"/>
                <w:sz w:val="20"/>
                <w:szCs w:val="20"/>
              </w:rPr>
              <w:t>0.4m</w:t>
            </w:r>
            <w:r>
              <w:rPr>
                <w:rFonts w:ascii="Arial" w:hAnsi="Arial" w:eastAsia="Arial" w:cs="Arial"/>
                <w:spacing w:val="9"/>
                <w:sz w:val="20"/>
                <w:szCs w:val="20"/>
              </w:rPr>
              <w:t>×</w:t>
            </w:r>
            <w:r>
              <w:rPr>
                <w:rFonts w:ascii="Times New Roman" w:hAnsi="Times New Roman" w:eastAsia="Times New Roman" w:cs="Times New Roman"/>
                <w:spacing w:val="9"/>
                <w:sz w:val="20"/>
                <w:szCs w:val="20"/>
              </w:rPr>
              <w:t>0.5m</w:t>
            </w:r>
            <w:r>
              <w:rPr>
                <w:spacing w:val="9"/>
                <w:sz w:val="20"/>
                <w:szCs w:val="20"/>
              </w:rPr>
              <w:t>导流槽</w:t>
            </w:r>
            <w:r>
              <w:rPr>
                <w:spacing w:val="-56"/>
                <w:sz w:val="20"/>
                <w:szCs w:val="20"/>
              </w:rPr>
              <w:t xml:space="preserve"> </w:t>
            </w:r>
            <w:r>
              <w:rPr>
                <w:spacing w:val="9"/>
                <w:sz w:val="20"/>
                <w:szCs w:val="20"/>
              </w:rPr>
              <w:t>，于</w:t>
            </w:r>
            <w:r>
              <w:rPr>
                <w:sz w:val="20"/>
                <w:szCs w:val="20"/>
              </w:rPr>
              <w:t xml:space="preserve"> </w:t>
            </w:r>
            <w:r>
              <w:rPr>
                <w:spacing w:val="9"/>
                <w:sz w:val="20"/>
                <w:szCs w:val="20"/>
              </w:rPr>
              <w:t>拆解车间外侧西南角建</w:t>
            </w:r>
            <w:r>
              <w:rPr>
                <w:spacing w:val="8"/>
                <w:sz w:val="20"/>
                <w:szCs w:val="20"/>
              </w:rPr>
              <w:t xml:space="preserve"> </w:t>
            </w:r>
            <w:r>
              <w:rPr>
                <w:spacing w:val="6"/>
                <w:sz w:val="20"/>
                <w:szCs w:val="20"/>
              </w:rPr>
              <w:t>设</w:t>
            </w:r>
            <w:r>
              <w:rPr>
                <w:rFonts w:ascii="Times New Roman" w:hAnsi="Times New Roman" w:eastAsia="Times New Roman" w:cs="Times New Roman"/>
                <w:spacing w:val="6"/>
                <w:sz w:val="20"/>
                <w:szCs w:val="20"/>
              </w:rPr>
              <w:t>10m</w:t>
            </w:r>
            <w:r>
              <w:rPr>
                <w:rFonts w:ascii="Times New Roman" w:hAnsi="Times New Roman" w:eastAsia="Times New Roman" w:cs="Times New Roman"/>
                <w:spacing w:val="6"/>
                <w:position w:val="6"/>
                <w:sz w:val="13"/>
                <w:szCs w:val="13"/>
              </w:rPr>
              <w:t>3</w:t>
            </w:r>
            <w:r>
              <w:rPr>
                <w:spacing w:val="6"/>
                <w:sz w:val="20"/>
                <w:szCs w:val="20"/>
              </w:rPr>
              <w:t>事故收集池。</w:t>
            </w:r>
          </w:p>
          <w:p w14:paraId="4C455F40">
            <w:pPr>
              <w:pStyle w:val="6"/>
              <w:spacing w:before="30" w:line="281" w:lineRule="auto"/>
              <w:ind w:left="120" w:right="97" w:firstLine="419"/>
              <w:rPr>
                <w:sz w:val="20"/>
                <w:szCs w:val="20"/>
              </w:rPr>
            </w:pPr>
            <w:r>
              <w:rPr>
                <w:spacing w:val="9"/>
                <w:sz w:val="20"/>
                <w:szCs w:val="20"/>
              </w:rPr>
              <w:t>不进行蓄电池的拆</w:t>
            </w:r>
            <w:r>
              <w:rPr>
                <w:spacing w:val="2"/>
                <w:sz w:val="20"/>
                <w:szCs w:val="20"/>
              </w:rPr>
              <w:t xml:space="preserve"> </w:t>
            </w:r>
            <w:r>
              <w:rPr>
                <w:spacing w:val="-2"/>
                <w:sz w:val="20"/>
                <w:szCs w:val="20"/>
              </w:rPr>
              <w:t>卸。</w:t>
            </w:r>
          </w:p>
        </w:tc>
        <w:tc>
          <w:tcPr>
            <w:tcW w:w="1145" w:type="dxa"/>
            <w:vMerge w:val="continue"/>
            <w:tcBorders>
              <w:top w:val="nil"/>
              <w:bottom w:val="nil"/>
              <w:right w:val="single" w:color="000000" w:sz="10" w:space="0"/>
            </w:tcBorders>
            <w:vAlign w:val="top"/>
          </w:tcPr>
          <w:p w14:paraId="58BA66F5">
            <w:pPr>
              <w:rPr>
                <w:rFonts w:ascii="Arial"/>
                <w:sz w:val="21"/>
              </w:rPr>
            </w:pPr>
          </w:p>
        </w:tc>
      </w:tr>
      <w:tr w14:paraId="4B3F26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1" w:hRule="atLeast"/>
        </w:trPr>
        <w:tc>
          <w:tcPr>
            <w:tcW w:w="494" w:type="dxa"/>
            <w:vMerge w:val="continue"/>
            <w:tcBorders>
              <w:top w:val="nil"/>
              <w:left w:val="single" w:color="000000" w:sz="10" w:space="0"/>
              <w:bottom w:val="single" w:color="000000" w:sz="10" w:space="0"/>
            </w:tcBorders>
            <w:vAlign w:val="top"/>
          </w:tcPr>
          <w:p w14:paraId="4777233C">
            <w:pPr>
              <w:rPr>
                <w:rFonts w:ascii="Arial"/>
                <w:sz w:val="21"/>
              </w:rPr>
            </w:pPr>
          </w:p>
        </w:tc>
        <w:tc>
          <w:tcPr>
            <w:tcW w:w="547" w:type="dxa"/>
            <w:vMerge w:val="continue"/>
            <w:tcBorders>
              <w:top w:val="nil"/>
              <w:bottom w:val="single" w:color="000000" w:sz="10" w:space="0"/>
            </w:tcBorders>
            <w:vAlign w:val="top"/>
          </w:tcPr>
          <w:p w14:paraId="3DE89328">
            <w:pPr>
              <w:rPr>
                <w:rFonts w:ascii="Arial"/>
                <w:sz w:val="21"/>
              </w:rPr>
            </w:pPr>
          </w:p>
        </w:tc>
        <w:tc>
          <w:tcPr>
            <w:tcW w:w="436" w:type="dxa"/>
            <w:vMerge w:val="continue"/>
            <w:tcBorders>
              <w:top w:val="nil"/>
              <w:bottom w:val="single" w:color="000000" w:sz="10" w:space="0"/>
            </w:tcBorders>
            <w:vAlign w:val="top"/>
          </w:tcPr>
          <w:p w14:paraId="6D36008F">
            <w:pPr>
              <w:rPr>
                <w:rFonts w:ascii="Arial"/>
                <w:sz w:val="21"/>
              </w:rPr>
            </w:pPr>
          </w:p>
        </w:tc>
        <w:tc>
          <w:tcPr>
            <w:tcW w:w="560" w:type="dxa"/>
            <w:tcBorders>
              <w:bottom w:val="single" w:color="000000" w:sz="10" w:space="0"/>
            </w:tcBorders>
            <w:vAlign w:val="top"/>
          </w:tcPr>
          <w:p w14:paraId="14A7E71D">
            <w:pPr>
              <w:spacing w:line="278" w:lineRule="auto"/>
              <w:rPr>
                <w:rFonts w:ascii="Arial"/>
                <w:sz w:val="21"/>
              </w:rPr>
            </w:pPr>
          </w:p>
          <w:p w14:paraId="04938BFC">
            <w:pPr>
              <w:spacing w:line="278" w:lineRule="auto"/>
              <w:rPr>
                <w:rFonts w:ascii="Arial"/>
                <w:sz w:val="21"/>
              </w:rPr>
            </w:pPr>
          </w:p>
          <w:p w14:paraId="0F5CE99F">
            <w:pPr>
              <w:spacing w:line="279" w:lineRule="auto"/>
              <w:rPr>
                <w:rFonts w:ascii="Arial"/>
                <w:sz w:val="21"/>
              </w:rPr>
            </w:pPr>
          </w:p>
          <w:p w14:paraId="000B68FB">
            <w:pPr>
              <w:spacing w:line="279" w:lineRule="auto"/>
              <w:rPr>
                <w:rFonts w:ascii="Arial"/>
                <w:sz w:val="21"/>
              </w:rPr>
            </w:pPr>
          </w:p>
          <w:p w14:paraId="50B259D7">
            <w:pPr>
              <w:pStyle w:val="6"/>
              <w:spacing w:before="74" w:line="265" w:lineRule="auto"/>
              <w:ind w:left="172" w:right="132" w:hanging="42"/>
              <w:jc w:val="both"/>
              <w:rPr>
                <w:sz w:val="20"/>
                <w:szCs w:val="20"/>
              </w:rPr>
            </w:pPr>
            <w:r>
              <w:rPr>
                <w:rFonts w:ascii="Calibri" w:hAnsi="Calibri" w:eastAsia="Calibri" w:cs="Calibri"/>
                <w:spacing w:val="-5"/>
              </w:rPr>
              <w:t>6.4</w:t>
            </w:r>
            <w:r>
              <w:rPr>
                <w:rFonts w:ascii="Calibri" w:hAnsi="Calibri" w:eastAsia="Calibri" w:cs="Calibri"/>
                <w:spacing w:val="1"/>
              </w:rPr>
              <w:t xml:space="preserve"> </w:t>
            </w:r>
            <w:r>
              <w:rPr>
                <w:spacing w:val="1"/>
                <w:sz w:val="20"/>
                <w:szCs w:val="20"/>
              </w:rPr>
              <w:t>拆</w:t>
            </w:r>
            <w:r>
              <w:rPr>
                <w:sz w:val="20"/>
                <w:szCs w:val="20"/>
              </w:rPr>
              <w:t xml:space="preserve"> </w:t>
            </w:r>
            <w:r>
              <w:rPr>
                <w:spacing w:val="1"/>
                <w:sz w:val="20"/>
                <w:szCs w:val="20"/>
              </w:rPr>
              <w:t>解</w:t>
            </w:r>
          </w:p>
        </w:tc>
        <w:tc>
          <w:tcPr>
            <w:tcW w:w="3422" w:type="dxa"/>
            <w:tcBorders>
              <w:bottom w:val="single" w:color="000000" w:sz="10" w:space="0"/>
            </w:tcBorders>
            <w:vAlign w:val="top"/>
          </w:tcPr>
          <w:p w14:paraId="7D854458">
            <w:pPr>
              <w:pStyle w:val="6"/>
              <w:spacing w:before="71" w:line="228" w:lineRule="auto"/>
              <w:ind w:left="533"/>
              <w:rPr>
                <w:sz w:val="20"/>
                <w:szCs w:val="20"/>
              </w:rPr>
            </w:pPr>
            <w:r>
              <w:rPr>
                <w:spacing w:val="7"/>
                <w:sz w:val="20"/>
                <w:szCs w:val="20"/>
              </w:rPr>
              <w:t>拆解过程如下：</w:t>
            </w:r>
          </w:p>
          <w:p w14:paraId="098A6875">
            <w:pPr>
              <w:pStyle w:val="6"/>
              <w:spacing w:before="66" w:line="284" w:lineRule="auto"/>
              <w:ind w:left="112" w:right="19" w:firstLine="420"/>
              <w:rPr>
                <w:sz w:val="20"/>
                <w:szCs w:val="20"/>
              </w:rPr>
            </w:pPr>
            <w:r>
              <w:rPr>
                <w:rFonts w:ascii="Times New Roman" w:hAnsi="Times New Roman" w:eastAsia="Times New Roman" w:cs="Times New Roman"/>
                <w:spacing w:val="4"/>
                <w:sz w:val="20"/>
                <w:szCs w:val="20"/>
              </w:rPr>
              <w:t>a</w:t>
            </w:r>
            <w:r>
              <w:rPr>
                <w:spacing w:val="4"/>
                <w:sz w:val="20"/>
                <w:szCs w:val="20"/>
              </w:rPr>
              <w:t>）拆除驾驶室玻璃（适用时</w:t>
            </w:r>
            <w:r>
              <w:rPr>
                <w:spacing w:val="-39"/>
                <w:sz w:val="20"/>
                <w:szCs w:val="20"/>
              </w:rPr>
              <w:t>）；</w:t>
            </w:r>
            <w:r>
              <w:rPr>
                <w:spacing w:val="1"/>
                <w:sz w:val="20"/>
                <w:szCs w:val="20"/>
              </w:rPr>
              <w:t xml:space="preserve"> </w:t>
            </w:r>
            <w:r>
              <w:rPr>
                <w:spacing w:val="6"/>
                <w:sz w:val="20"/>
                <w:szCs w:val="20"/>
              </w:rPr>
              <w:t>拆除覆盖件；</w:t>
            </w:r>
            <w:r>
              <w:rPr>
                <w:rFonts w:ascii="Times New Roman" w:hAnsi="Times New Roman" w:eastAsia="Times New Roman" w:cs="Times New Roman"/>
                <w:spacing w:val="6"/>
                <w:sz w:val="20"/>
                <w:szCs w:val="20"/>
              </w:rPr>
              <w:t>c</w:t>
            </w:r>
            <w:r>
              <w:rPr>
                <w:spacing w:val="6"/>
                <w:sz w:val="20"/>
                <w:szCs w:val="20"/>
              </w:rPr>
              <w:t>）拆除燃油箱、液压</w:t>
            </w:r>
            <w:r>
              <w:rPr>
                <w:spacing w:val="4"/>
                <w:sz w:val="20"/>
                <w:szCs w:val="20"/>
              </w:rPr>
              <w:t xml:space="preserve">  </w:t>
            </w:r>
            <w:r>
              <w:rPr>
                <w:spacing w:val="5"/>
                <w:sz w:val="20"/>
                <w:szCs w:val="20"/>
              </w:rPr>
              <w:t>油箱；</w:t>
            </w:r>
            <w:r>
              <w:rPr>
                <w:rFonts w:ascii="Times New Roman" w:hAnsi="Times New Roman" w:eastAsia="Times New Roman" w:cs="Times New Roman"/>
                <w:spacing w:val="5"/>
                <w:sz w:val="20"/>
                <w:szCs w:val="20"/>
              </w:rPr>
              <w:t>d</w:t>
            </w:r>
            <w:r>
              <w:rPr>
                <w:spacing w:val="5"/>
                <w:sz w:val="20"/>
                <w:szCs w:val="20"/>
              </w:rPr>
              <w:t>）拆除各类滤清器、空气过</w:t>
            </w:r>
            <w:r>
              <w:rPr>
                <w:spacing w:val="6"/>
                <w:sz w:val="20"/>
                <w:szCs w:val="20"/>
              </w:rPr>
              <w:t xml:space="preserve">  </w:t>
            </w:r>
            <w:r>
              <w:rPr>
                <w:spacing w:val="15"/>
                <w:sz w:val="20"/>
                <w:szCs w:val="20"/>
              </w:rPr>
              <w:t>滤器；</w:t>
            </w:r>
            <w:r>
              <w:rPr>
                <w:rFonts w:ascii="Times New Roman" w:hAnsi="Times New Roman" w:eastAsia="Times New Roman" w:cs="Times New Roman"/>
                <w:spacing w:val="15"/>
                <w:sz w:val="20"/>
                <w:szCs w:val="20"/>
              </w:rPr>
              <w:t>e</w:t>
            </w:r>
            <w:r>
              <w:rPr>
                <w:spacing w:val="15"/>
                <w:sz w:val="20"/>
                <w:szCs w:val="20"/>
              </w:rPr>
              <w:t>）拆除各类灯具；</w:t>
            </w:r>
            <w:r>
              <w:rPr>
                <w:rFonts w:ascii="Times New Roman" w:hAnsi="Times New Roman" w:eastAsia="Times New Roman" w:cs="Times New Roman"/>
                <w:spacing w:val="15"/>
                <w:sz w:val="20"/>
                <w:szCs w:val="20"/>
              </w:rPr>
              <w:t>f</w:t>
            </w:r>
            <w:r>
              <w:rPr>
                <w:spacing w:val="15"/>
                <w:sz w:val="20"/>
                <w:szCs w:val="20"/>
              </w:rPr>
              <w:t>）拆除</w:t>
            </w:r>
            <w:r>
              <w:rPr>
                <w:sz w:val="20"/>
                <w:szCs w:val="20"/>
              </w:rPr>
              <w:t xml:space="preserve">  </w:t>
            </w:r>
            <w:r>
              <w:rPr>
                <w:spacing w:val="5"/>
                <w:sz w:val="20"/>
                <w:szCs w:val="20"/>
              </w:rPr>
              <w:t>电控系统中各电子元器件；</w:t>
            </w:r>
            <w:r>
              <w:rPr>
                <w:rFonts w:ascii="Times New Roman" w:hAnsi="Times New Roman" w:eastAsia="Times New Roman" w:cs="Times New Roman"/>
                <w:spacing w:val="5"/>
                <w:sz w:val="20"/>
                <w:szCs w:val="20"/>
              </w:rPr>
              <w:t>g</w:t>
            </w:r>
            <w:r>
              <w:rPr>
                <w:spacing w:val="5"/>
                <w:sz w:val="20"/>
                <w:szCs w:val="20"/>
              </w:rPr>
              <w:t>）拆除</w:t>
            </w:r>
            <w:r>
              <w:rPr>
                <w:spacing w:val="6"/>
                <w:sz w:val="20"/>
                <w:szCs w:val="20"/>
              </w:rPr>
              <w:t xml:space="preserve">  </w:t>
            </w:r>
            <w:r>
              <w:rPr>
                <w:spacing w:val="12"/>
                <w:sz w:val="20"/>
                <w:szCs w:val="20"/>
              </w:rPr>
              <w:t>液压系统管路、泵、阀、马达及相</w:t>
            </w:r>
            <w:r>
              <w:rPr>
                <w:spacing w:val="6"/>
                <w:sz w:val="20"/>
                <w:szCs w:val="20"/>
              </w:rPr>
              <w:t xml:space="preserve">  </w:t>
            </w:r>
            <w:r>
              <w:rPr>
                <w:spacing w:val="-1"/>
                <w:sz w:val="20"/>
                <w:szCs w:val="20"/>
              </w:rPr>
              <w:t>关控制元件；</w:t>
            </w:r>
            <w:r>
              <w:rPr>
                <w:rFonts w:ascii="Times New Roman" w:hAnsi="Times New Roman" w:eastAsia="Times New Roman" w:cs="Times New Roman"/>
                <w:spacing w:val="-1"/>
                <w:sz w:val="20"/>
                <w:szCs w:val="20"/>
              </w:rPr>
              <w:t>h</w:t>
            </w:r>
            <w:r>
              <w:rPr>
                <w:spacing w:val="-1"/>
                <w:sz w:val="20"/>
                <w:szCs w:val="20"/>
              </w:rPr>
              <w:t>）拆除冷却系统水箱、</w:t>
            </w:r>
            <w:r>
              <w:rPr>
                <w:spacing w:val="1"/>
                <w:sz w:val="20"/>
                <w:szCs w:val="20"/>
              </w:rPr>
              <w:t xml:space="preserve"> </w:t>
            </w:r>
            <w:r>
              <w:rPr>
                <w:spacing w:val="4"/>
                <w:sz w:val="20"/>
                <w:szCs w:val="20"/>
              </w:rPr>
              <w:t>管道；</w:t>
            </w:r>
            <w:r>
              <w:rPr>
                <w:rFonts w:ascii="Times New Roman" w:hAnsi="Times New Roman" w:eastAsia="Times New Roman" w:cs="Times New Roman"/>
                <w:spacing w:val="4"/>
                <w:sz w:val="20"/>
                <w:szCs w:val="20"/>
              </w:rPr>
              <w:t>i</w:t>
            </w:r>
            <w:r>
              <w:rPr>
                <w:spacing w:val="4"/>
                <w:sz w:val="20"/>
                <w:szCs w:val="20"/>
              </w:rPr>
              <w:t>）拆除各种塑料件；</w:t>
            </w:r>
            <w:r>
              <w:rPr>
                <w:rFonts w:ascii="Times New Roman" w:hAnsi="Times New Roman" w:eastAsia="Times New Roman" w:cs="Times New Roman"/>
                <w:spacing w:val="4"/>
                <w:sz w:val="20"/>
                <w:szCs w:val="20"/>
              </w:rPr>
              <w:t>j</w:t>
            </w:r>
            <w:r>
              <w:rPr>
                <w:spacing w:val="4"/>
                <w:sz w:val="20"/>
                <w:szCs w:val="20"/>
              </w:rPr>
              <w:t>）拆除</w:t>
            </w:r>
            <w:r>
              <w:rPr>
                <w:spacing w:val="7"/>
                <w:sz w:val="20"/>
                <w:szCs w:val="20"/>
              </w:rPr>
              <w:t xml:space="preserve">  </w:t>
            </w:r>
            <w:r>
              <w:rPr>
                <w:spacing w:val="8"/>
                <w:sz w:val="20"/>
                <w:szCs w:val="20"/>
              </w:rPr>
              <w:t>橡胶制品部件；</w:t>
            </w:r>
            <w:r>
              <w:rPr>
                <w:rFonts w:ascii="Times New Roman" w:hAnsi="Times New Roman" w:eastAsia="Times New Roman" w:cs="Times New Roman"/>
                <w:spacing w:val="8"/>
                <w:sz w:val="20"/>
                <w:szCs w:val="20"/>
              </w:rPr>
              <w:t>k</w:t>
            </w:r>
            <w:r>
              <w:rPr>
                <w:spacing w:val="8"/>
                <w:sz w:val="20"/>
                <w:szCs w:val="20"/>
              </w:rPr>
              <w:t>）拆除含金属铜、</w:t>
            </w:r>
          </w:p>
        </w:tc>
        <w:tc>
          <w:tcPr>
            <w:tcW w:w="2318" w:type="dxa"/>
            <w:tcBorders>
              <w:bottom w:val="single" w:color="000000" w:sz="10" w:space="0"/>
            </w:tcBorders>
            <w:vAlign w:val="top"/>
          </w:tcPr>
          <w:p w14:paraId="58EEC9C0">
            <w:pPr>
              <w:spacing w:line="252" w:lineRule="auto"/>
              <w:rPr>
                <w:rFonts w:ascii="Arial"/>
                <w:sz w:val="21"/>
              </w:rPr>
            </w:pPr>
          </w:p>
          <w:p w14:paraId="187A5107">
            <w:pPr>
              <w:spacing w:line="253" w:lineRule="auto"/>
              <w:rPr>
                <w:rFonts w:ascii="Arial"/>
                <w:sz w:val="21"/>
              </w:rPr>
            </w:pPr>
          </w:p>
          <w:p w14:paraId="1E27B3AF">
            <w:pPr>
              <w:spacing w:line="253" w:lineRule="auto"/>
              <w:rPr>
                <w:rFonts w:ascii="Arial"/>
                <w:sz w:val="21"/>
              </w:rPr>
            </w:pPr>
          </w:p>
          <w:p w14:paraId="16010968">
            <w:pPr>
              <w:spacing w:line="253" w:lineRule="auto"/>
              <w:rPr>
                <w:rFonts w:ascii="Arial"/>
                <w:sz w:val="21"/>
              </w:rPr>
            </w:pPr>
          </w:p>
          <w:p w14:paraId="338529A7">
            <w:pPr>
              <w:spacing w:line="253" w:lineRule="auto"/>
              <w:rPr>
                <w:rFonts w:ascii="Arial"/>
                <w:sz w:val="21"/>
              </w:rPr>
            </w:pPr>
          </w:p>
          <w:p w14:paraId="58E2773E">
            <w:pPr>
              <w:pStyle w:val="6"/>
              <w:spacing w:before="65" w:line="280" w:lineRule="auto"/>
              <w:ind w:left="117" w:right="97" w:firstLine="420"/>
              <w:rPr>
                <w:sz w:val="20"/>
                <w:szCs w:val="20"/>
              </w:rPr>
            </w:pPr>
            <w:r>
              <w:rPr>
                <w:spacing w:val="9"/>
                <w:sz w:val="20"/>
                <w:szCs w:val="20"/>
              </w:rPr>
              <w:t>按照规定进行拆解</w:t>
            </w:r>
            <w:r>
              <w:rPr>
                <w:spacing w:val="4"/>
                <w:sz w:val="20"/>
                <w:szCs w:val="20"/>
              </w:rPr>
              <w:t xml:space="preserve"> </w:t>
            </w:r>
            <w:r>
              <w:rPr>
                <w:spacing w:val="2"/>
                <w:sz w:val="20"/>
                <w:szCs w:val="20"/>
              </w:rPr>
              <w:t>作业。</w:t>
            </w:r>
          </w:p>
        </w:tc>
        <w:tc>
          <w:tcPr>
            <w:tcW w:w="1145" w:type="dxa"/>
            <w:vMerge w:val="continue"/>
            <w:tcBorders>
              <w:top w:val="nil"/>
              <w:bottom w:val="single" w:color="000000" w:sz="10" w:space="0"/>
              <w:right w:val="single" w:color="000000" w:sz="10" w:space="0"/>
            </w:tcBorders>
            <w:vAlign w:val="top"/>
          </w:tcPr>
          <w:p w14:paraId="1C2C1C5C">
            <w:pPr>
              <w:rPr>
                <w:rFonts w:ascii="Arial"/>
                <w:sz w:val="21"/>
              </w:rPr>
            </w:pPr>
          </w:p>
        </w:tc>
      </w:tr>
    </w:tbl>
    <w:p w14:paraId="15AD8BAD">
      <w:pPr>
        <w:pStyle w:val="2"/>
        <w:spacing w:line="138" w:lineRule="exact"/>
        <w:rPr>
          <w:sz w:val="12"/>
        </w:rPr>
      </w:pPr>
    </w:p>
    <w:p w14:paraId="0FD8C169">
      <w:pPr>
        <w:spacing w:line="138" w:lineRule="exact"/>
        <w:rPr>
          <w:sz w:val="12"/>
          <w:szCs w:val="12"/>
        </w:rPr>
        <w:sectPr>
          <w:footerReference r:id="rId20"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6BF26B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5" w:hRule="atLeast"/>
        </w:trPr>
        <w:tc>
          <w:tcPr>
            <w:tcW w:w="494" w:type="dxa"/>
            <w:vMerge w:val="restart"/>
            <w:tcBorders>
              <w:top w:val="single" w:color="000000" w:sz="10" w:space="0"/>
              <w:left w:val="single" w:color="000000" w:sz="10" w:space="0"/>
              <w:bottom w:val="nil"/>
            </w:tcBorders>
            <w:vAlign w:val="top"/>
          </w:tcPr>
          <w:p w14:paraId="65148BE3">
            <w:pPr>
              <w:rPr>
                <w:rFonts w:ascii="Arial"/>
                <w:sz w:val="21"/>
              </w:rPr>
            </w:pPr>
            <w:r>
              <w:pict>
                <v:shape id="_x0000_s1031" o:spid="_x0000_s1031" style="position:absolute;left:0pt;margin-left:104.1pt;margin-top:766.9pt;height:1.45pt;width:411.15pt;mso-position-horizontal-relative:page;mso-position-vertical-relative:page;z-index:251665408;mso-width-relative:page;mso-height-relative:page;" filled="f" stroked="t" coordsize="8222,29" o:allowincell="f" path="m0,14l8222,14e">
                  <v:fill on="f" focussize="0,0"/>
                  <v:stroke weight="1.44pt" color="#000000" miterlimit="2" joinstyle="bevel"/>
                  <v:imagedata o:title=""/>
                  <o:lock v:ext="edit"/>
                </v:shape>
              </w:pict>
            </w:r>
          </w:p>
        </w:tc>
        <w:tc>
          <w:tcPr>
            <w:tcW w:w="547" w:type="dxa"/>
            <w:vMerge w:val="restart"/>
            <w:tcBorders>
              <w:top w:val="single" w:color="000000" w:sz="10" w:space="0"/>
              <w:bottom w:val="nil"/>
            </w:tcBorders>
            <w:vAlign w:val="top"/>
          </w:tcPr>
          <w:p w14:paraId="2A42E69D">
            <w:pPr>
              <w:rPr>
                <w:rFonts w:ascii="Arial"/>
                <w:sz w:val="21"/>
              </w:rPr>
            </w:pPr>
          </w:p>
        </w:tc>
        <w:tc>
          <w:tcPr>
            <w:tcW w:w="436" w:type="dxa"/>
            <w:vMerge w:val="restart"/>
            <w:tcBorders>
              <w:top w:val="single" w:color="000000" w:sz="10" w:space="0"/>
              <w:bottom w:val="nil"/>
            </w:tcBorders>
            <w:vAlign w:val="top"/>
          </w:tcPr>
          <w:p w14:paraId="4B226FA3">
            <w:pPr>
              <w:rPr>
                <w:rFonts w:ascii="Arial"/>
                <w:sz w:val="21"/>
              </w:rPr>
            </w:pPr>
          </w:p>
        </w:tc>
        <w:tc>
          <w:tcPr>
            <w:tcW w:w="560" w:type="dxa"/>
            <w:tcBorders>
              <w:top w:val="single" w:color="000000" w:sz="10" w:space="0"/>
            </w:tcBorders>
            <w:vAlign w:val="top"/>
          </w:tcPr>
          <w:p w14:paraId="3CD0EE1C">
            <w:pPr>
              <w:rPr>
                <w:rFonts w:ascii="Arial"/>
                <w:sz w:val="21"/>
              </w:rPr>
            </w:pPr>
          </w:p>
        </w:tc>
        <w:tc>
          <w:tcPr>
            <w:tcW w:w="3422" w:type="dxa"/>
            <w:tcBorders>
              <w:top w:val="single" w:color="000000" w:sz="10" w:space="0"/>
            </w:tcBorders>
            <w:vAlign w:val="top"/>
          </w:tcPr>
          <w:p w14:paraId="5B6D0181">
            <w:pPr>
              <w:pStyle w:val="6"/>
              <w:spacing w:before="47" w:line="274" w:lineRule="auto"/>
              <w:ind w:left="112" w:right="107" w:firstLine="1"/>
              <w:jc w:val="both"/>
              <w:rPr>
                <w:sz w:val="20"/>
                <w:szCs w:val="20"/>
              </w:rPr>
            </w:pPr>
            <w:r>
              <w:rPr>
                <w:spacing w:val="5"/>
                <w:sz w:val="20"/>
                <w:szCs w:val="20"/>
              </w:rPr>
              <w:t>铝、镁等能有效回收的部件；</w:t>
            </w:r>
            <w:r>
              <w:rPr>
                <w:rFonts w:ascii="Times New Roman" w:hAnsi="Times New Roman" w:eastAsia="Times New Roman" w:cs="Times New Roman"/>
                <w:spacing w:val="5"/>
                <w:sz w:val="20"/>
                <w:szCs w:val="20"/>
              </w:rPr>
              <w:t>1</w:t>
            </w:r>
            <w:r>
              <w:rPr>
                <w:spacing w:val="5"/>
                <w:sz w:val="20"/>
                <w:szCs w:val="20"/>
              </w:rPr>
              <w:t>）拆</w:t>
            </w:r>
            <w:r>
              <w:rPr>
                <w:spacing w:val="11"/>
                <w:sz w:val="20"/>
                <w:szCs w:val="20"/>
              </w:rPr>
              <w:t xml:space="preserve"> </w:t>
            </w:r>
            <w:r>
              <w:rPr>
                <w:spacing w:val="12"/>
                <w:sz w:val="20"/>
                <w:szCs w:val="20"/>
              </w:rPr>
              <w:t>除含有铅、汞、镉、铬等有毒物质</w:t>
            </w:r>
            <w:r>
              <w:rPr>
                <w:spacing w:val="13"/>
                <w:sz w:val="20"/>
                <w:szCs w:val="20"/>
              </w:rPr>
              <w:t xml:space="preserve"> 的部件；</w:t>
            </w:r>
            <w:r>
              <w:rPr>
                <w:rFonts w:ascii="Times New Roman" w:hAnsi="Times New Roman" w:eastAsia="Times New Roman" w:cs="Times New Roman"/>
                <w:spacing w:val="13"/>
                <w:sz w:val="20"/>
                <w:szCs w:val="20"/>
              </w:rPr>
              <w:t>m</w:t>
            </w:r>
            <w:r>
              <w:rPr>
                <w:rFonts w:ascii="Times New Roman" w:hAnsi="Times New Roman" w:eastAsia="Times New Roman" w:cs="Times New Roman"/>
                <w:spacing w:val="-5"/>
                <w:sz w:val="20"/>
                <w:szCs w:val="20"/>
              </w:rPr>
              <w:t xml:space="preserve"> </w:t>
            </w:r>
            <w:r>
              <w:rPr>
                <w:spacing w:val="13"/>
                <w:sz w:val="20"/>
                <w:szCs w:val="20"/>
              </w:rPr>
              <w:t>）拆除其他各类非金属</w:t>
            </w:r>
            <w:r>
              <w:rPr>
                <w:sz w:val="20"/>
                <w:szCs w:val="20"/>
              </w:rPr>
              <w:t xml:space="preserve"> 件。</w:t>
            </w:r>
          </w:p>
        </w:tc>
        <w:tc>
          <w:tcPr>
            <w:tcW w:w="2318" w:type="dxa"/>
            <w:tcBorders>
              <w:top w:val="single" w:color="000000" w:sz="10" w:space="0"/>
            </w:tcBorders>
            <w:vAlign w:val="top"/>
          </w:tcPr>
          <w:p w14:paraId="6EB7F0D3">
            <w:pPr>
              <w:rPr>
                <w:rFonts w:ascii="Arial"/>
                <w:sz w:val="21"/>
              </w:rPr>
            </w:pPr>
          </w:p>
        </w:tc>
        <w:tc>
          <w:tcPr>
            <w:tcW w:w="1145" w:type="dxa"/>
            <w:vMerge w:val="restart"/>
            <w:tcBorders>
              <w:top w:val="single" w:color="000000" w:sz="10" w:space="0"/>
              <w:bottom w:val="nil"/>
              <w:right w:val="single" w:color="000000" w:sz="10" w:space="0"/>
            </w:tcBorders>
            <w:vAlign w:val="top"/>
          </w:tcPr>
          <w:p w14:paraId="2B87D70D">
            <w:pPr>
              <w:spacing w:line="247" w:lineRule="auto"/>
              <w:rPr>
                <w:rFonts w:ascii="Arial"/>
                <w:sz w:val="21"/>
              </w:rPr>
            </w:pPr>
          </w:p>
          <w:p w14:paraId="422537B8">
            <w:pPr>
              <w:spacing w:line="247" w:lineRule="auto"/>
              <w:rPr>
                <w:rFonts w:ascii="Arial"/>
                <w:sz w:val="21"/>
              </w:rPr>
            </w:pPr>
          </w:p>
          <w:p w14:paraId="483F76D7">
            <w:pPr>
              <w:spacing w:line="247" w:lineRule="auto"/>
              <w:rPr>
                <w:rFonts w:ascii="Arial"/>
                <w:sz w:val="21"/>
              </w:rPr>
            </w:pPr>
          </w:p>
          <w:p w14:paraId="402F1B31">
            <w:pPr>
              <w:spacing w:line="247" w:lineRule="auto"/>
              <w:rPr>
                <w:rFonts w:ascii="Arial"/>
                <w:sz w:val="21"/>
              </w:rPr>
            </w:pPr>
          </w:p>
          <w:p w14:paraId="5448D711">
            <w:pPr>
              <w:spacing w:line="247" w:lineRule="auto"/>
              <w:rPr>
                <w:rFonts w:ascii="Arial"/>
                <w:sz w:val="21"/>
              </w:rPr>
            </w:pPr>
          </w:p>
          <w:p w14:paraId="21BE74C0">
            <w:pPr>
              <w:spacing w:line="247" w:lineRule="auto"/>
              <w:rPr>
                <w:rFonts w:ascii="Arial"/>
                <w:sz w:val="21"/>
              </w:rPr>
            </w:pPr>
          </w:p>
          <w:p w14:paraId="00E59556">
            <w:pPr>
              <w:spacing w:line="247" w:lineRule="auto"/>
              <w:rPr>
                <w:rFonts w:ascii="Arial"/>
                <w:sz w:val="21"/>
              </w:rPr>
            </w:pPr>
          </w:p>
          <w:p w14:paraId="69991FF2">
            <w:pPr>
              <w:spacing w:line="247" w:lineRule="auto"/>
              <w:rPr>
                <w:rFonts w:ascii="Arial"/>
                <w:sz w:val="21"/>
              </w:rPr>
            </w:pPr>
          </w:p>
          <w:p w14:paraId="3506D7C8">
            <w:pPr>
              <w:spacing w:line="248" w:lineRule="auto"/>
              <w:rPr>
                <w:rFonts w:ascii="Arial"/>
                <w:sz w:val="21"/>
              </w:rPr>
            </w:pPr>
          </w:p>
          <w:p w14:paraId="373B8B54">
            <w:pPr>
              <w:spacing w:line="248" w:lineRule="auto"/>
              <w:rPr>
                <w:rFonts w:ascii="Arial"/>
                <w:sz w:val="21"/>
              </w:rPr>
            </w:pPr>
          </w:p>
          <w:p w14:paraId="360A06D8">
            <w:pPr>
              <w:spacing w:line="248" w:lineRule="auto"/>
              <w:rPr>
                <w:rFonts w:ascii="Arial"/>
                <w:sz w:val="21"/>
              </w:rPr>
            </w:pPr>
          </w:p>
          <w:p w14:paraId="22AFF3EA">
            <w:pPr>
              <w:spacing w:line="248" w:lineRule="auto"/>
              <w:rPr>
                <w:rFonts w:ascii="Arial"/>
                <w:sz w:val="21"/>
              </w:rPr>
            </w:pPr>
          </w:p>
          <w:p w14:paraId="7DED7364">
            <w:pPr>
              <w:spacing w:line="248" w:lineRule="auto"/>
              <w:rPr>
                <w:rFonts w:ascii="Arial"/>
                <w:sz w:val="21"/>
              </w:rPr>
            </w:pPr>
          </w:p>
          <w:p w14:paraId="63917D7B">
            <w:pPr>
              <w:spacing w:line="248" w:lineRule="auto"/>
              <w:rPr>
                <w:rFonts w:ascii="Arial"/>
                <w:sz w:val="21"/>
              </w:rPr>
            </w:pPr>
          </w:p>
          <w:p w14:paraId="34087312">
            <w:pPr>
              <w:spacing w:line="248" w:lineRule="auto"/>
              <w:rPr>
                <w:rFonts w:ascii="Arial"/>
                <w:sz w:val="21"/>
              </w:rPr>
            </w:pPr>
          </w:p>
          <w:p w14:paraId="339C77FF">
            <w:pPr>
              <w:spacing w:line="248" w:lineRule="auto"/>
              <w:rPr>
                <w:rFonts w:ascii="Arial"/>
                <w:sz w:val="21"/>
              </w:rPr>
            </w:pPr>
          </w:p>
          <w:p w14:paraId="389C14AE">
            <w:pPr>
              <w:spacing w:line="248" w:lineRule="auto"/>
              <w:rPr>
                <w:rFonts w:ascii="Arial"/>
                <w:sz w:val="21"/>
              </w:rPr>
            </w:pPr>
          </w:p>
          <w:p w14:paraId="6B5E986F">
            <w:pPr>
              <w:spacing w:line="248" w:lineRule="auto"/>
              <w:rPr>
                <w:rFonts w:ascii="Arial"/>
                <w:sz w:val="21"/>
              </w:rPr>
            </w:pPr>
          </w:p>
          <w:p w14:paraId="4656C7AD">
            <w:pPr>
              <w:spacing w:line="248" w:lineRule="auto"/>
              <w:rPr>
                <w:rFonts w:ascii="Arial"/>
                <w:sz w:val="21"/>
              </w:rPr>
            </w:pPr>
          </w:p>
          <w:p w14:paraId="4EB0F6BD">
            <w:pPr>
              <w:spacing w:line="248" w:lineRule="auto"/>
              <w:rPr>
                <w:rFonts w:ascii="Arial"/>
                <w:sz w:val="21"/>
              </w:rPr>
            </w:pPr>
          </w:p>
          <w:p w14:paraId="156AA36E">
            <w:pPr>
              <w:spacing w:line="248" w:lineRule="auto"/>
              <w:rPr>
                <w:rFonts w:ascii="Arial"/>
                <w:sz w:val="21"/>
              </w:rPr>
            </w:pPr>
          </w:p>
          <w:p w14:paraId="1D0F0EEB">
            <w:pPr>
              <w:spacing w:line="248" w:lineRule="auto"/>
              <w:rPr>
                <w:rFonts w:ascii="Arial"/>
                <w:sz w:val="21"/>
              </w:rPr>
            </w:pPr>
          </w:p>
          <w:p w14:paraId="43FE5221">
            <w:pPr>
              <w:spacing w:line="248" w:lineRule="auto"/>
              <w:rPr>
                <w:rFonts w:ascii="Arial"/>
                <w:sz w:val="21"/>
              </w:rPr>
            </w:pPr>
          </w:p>
          <w:p w14:paraId="5304151C">
            <w:pPr>
              <w:spacing w:line="248" w:lineRule="auto"/>
              <w:rPr>
                <w:rFonts w:ascii="Arial"/>
                <w:sz w:val="21"/>
              </w:rPr>
            </w:pPr>
          </w:p>
          <w:p w14:paraId="40654DA5">
            <w:pPr>
              <w:spacing w:line="248" w:lineRule="auto"/>
              <w:rPr>
                <w:rFonts w:ascii="Arial"/>
                <w:sz w:val="21"/>
              </w:rPr>
            </w:pPr>
          </w:p>
          <w:p w14:paraId="79A04ECD">
            <w:pPr>
              <w:spacing w:line="248" w:lineRule="auto"/>
              <w:rPr>
                <w:rFonts w:ascii="Arial"/>
                <w:sz w:val="21"/>
              </w:rPr>
            </w:pPr>
          </w:p>
          <w:p w14:paraId="1244157C">
            <w:pPr>
              <w:spacing w:line="248" w:lineRule="auto"/>
              <w:rPr>
                <w:rFonts w:ascii="Arial"/>
                <w:sz w:val="21"/>
              </w:rPr>
            </w:pPr>
          </w:p>
          <w:p w14:paraId="66D0D6FD">
            <w:pPr>
              <w:spacing w:line="248" w:lineRule="auto"/>
              <w:rPr>
                <w:rFonts w:ascii="Arial"/>
                <w:sz w:val="21"/>
              </w:rPr>
            </w:pPr>
          </w:p>
          <w:p w14:paraId="602A0C4F">
            <w:pPr>
              <w:spacing w:line="248" w:lineRule="auto"/>
              <w:rPr>
                <w:rFonts w:ascii="Arial"/>
                <w:sz w:val="21"/>
              </w:rPr>
            </w:pPr>
          </w:p>
          <w:p w14:paraId="2B548FD7">
            <w:pPr>
              <w:spacing w:line="248" w:lineRule="auto"/>
              <w:rPr>
                <w:rFonts w:ascii="Arial"/>
                <w:sz w:val="21"/>
              </w:rPr>
            </w:pPr>
          </w:p>
          <w:p w14:paraId="5CF39029">
            <w:pPr>
              <w:pStyle w:val="6"/>
              <w:spacing w:before="65" w:line="228" w:lineRule="auto"/>
              <w:ind w:left="320"/>
              <w:rPr>
                <w:sz w:val="20"/>
                <w:szCs w:val="20"/>
              </w:rPr>
            </w:pPr>
            <w:r>
              <w:rPr>
                <w:spacing w:val="3"/>
                <w:sz w:val="20"/>
                <w:szCs w:val="20"/>
              </w:rPr>
              <w:t>符合</w:t>
            </w:r>
          </w:p>
        </w:tc>
      </w:tr>
      <w:tr w14:paraId="38E8CC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26" w:hRule="atLeast"/>
        </w:trPr>
        <w:tc>
          <w:tcPr>
            <w:tcW w:w="494" w:type="dxa"/>
            <w:vMerge w:val="continue"/>
            <w:tcBorders>
              <w:top w:val="nil"/>
              <w:left w:val="single" w:color="000000" w:sz="10" w:space="0"/>
              <w:bottom w:val="single" w:color="000000" w:sz="10" w:space="0"/>
            </w:tcBorders>
            <w:vAlign w:val="top"/>
          </w:tcPr>
          <w:p w14:paraId="2930E430">
            <w:pPr>
              <w:rPr>
                <w:rFonts w:ascii="Arial"/>
                <w:sz w:val="21"/>
              </w:rPr>
            </w:pPr>
          </w:p>
        </w:tc>
        <w:tc>
          <w:tcPr>
            <w:tcW w:w="547" w:type="dxa"/>
            <w:vMerge w:val="continue"/>
            <w:tcBorders>
              <w:top w:val="nil"/>
              <w:bottom w:val="single" w:color="000000" w:sz="10" w:space="0"/>
            </w:tcBorders>
            <w:vAlign w:val="top"/>
          </w:tcPr>
          <w:p w14:paraId="2C9FFBD4">
            <w:pPr>
              <w:rPr>
                <w:rFonts w:ascii="Arial"/>
                <w:sz w:val="21"/>
              </w:rPr>
            </w:pPr>
          </w:p>
        </w:tc>
        <w:tc>
          <w:tcPr>
            <w:tcW w:w="436" w:type="dxa"/>
            <w:vMerge w:val="continue"/>
            <w:tcBorders>
              <w:top w:val="nil"/>
              <w:bottom w:val="single" w:color="000000" w:sz="10" w:space="0"/>
            </w:tcBorders>
            <w:vAlign w:val="top"/>
          </w:tcPr>
          <w:p w14:paraId="5C422B73">
            <w:pPr>
              <w:rPr>
                <w:rFonts w:ascii="Arial"/>
                <w:sz w:val="21"/>
              </w:rPr>
            </w:pPr>
          </w:p>
        </w:tc>
        <w:tc>
          <w:tcPr>
            <w:tcW w:w="560" w:type="dxa"/>
            <w:tcBorders>
              <w:bottom w:val="single" w:color="000000" w:sz="10" w:space="0"/>
            </w:tcBorders>
            <w:vAlign w:val="top"/>
          </w:tcPr>
          <w:p w14:paraId="7EA7557D">
            <w:pPr>
              <w:spacing w:line="249" w:lineRule="auto"/>
              <w:rPr>
                <w:rFonts w:ascii="Arial"/>
                <w:sz w:val="21"/>
              </w:rPr>
            </w:pPr>
          </w:p>
          <w:p w14:paraId="1999AB57">
            <w:pPr>
              <w:spacing w:line="249" w:lineRule="auto"/>
              <w:rPr>
                <w:rFonts w:ascii="Arial"/>
                <w:sz w:val="21"/>
              </w:rPr>
            </w:pPr>
          </w:p>
          <w:p w14:paraId="59339B3B">
            <w:pPr>
              <w:spacing w:line="249" w:lineRule="auto"/>
              <w:rPr>
                <w:rFonts w:ascii="Arial"/>
                <w:sz w:val="21"/>
              </w:rPr>
            </w:pPr>
          </w:p>
          <w:p w14:paraId="6419224A">
            <w:pPr>
              <w:spacing w:line="249" w:lineRule="auto"/>
              <w:rPr>
                <w:rFonts w:ascii="Arial"/>
                <w:sz w:val="21"/>
              </w:rPr>
            </w:pPr>
          </w:p>
          <w:p w14:paraId="761E00D8">
            <w:pPr>
              <w:spacing w:line="249" w:lineRule="auto"/>
              <w:rPr>
                <w:rFonts w:ascii="Arial"/>
                <w:sz w:val="21"/>
              </w:rPr>
            </w:pPr>
          </w:p>
          <w:p w14:paraId="514D60BD">
            <w:pPr>
              <w:spacing w:line="249" w:lineRule="auto"/>
              <w:rPr>
                <w:rFonts w:ascii="Arial"/>
                <w:sz w:val="21"/>
              </w:rPr>
            </w:pPr>
          </w:p>
          <w:p w14:paraId="1167BFAC">
            <w:pPr>
              <w:spacing w:line="249" w:lineRule="auto"/>
              <w:rPr>
                <w:rFonts w:ascii="Arial"/>
                <w:sz w:val="21"/>
              </w:rPr>
            </w:pPr>
          </w:p>
          <w:p w14:paraId="164D4CD0">
            <w:pPr>
              <w:spacing w:line="249" w:lineRule="auto"/>
              <w:rPr>
                <w:rFonts w:ascii="Arial"/>
                <w:sz w:val="21"/>
              </w:rPr>
            </w:pPr>
          </w:p>
          <w:p w14:paraId="20EF3059">
            <w:pPr>
              <w:spacing w:line="249" w:lineRule="auto"/>
              <w:rPr>
                <w:rFonts w:ascii="Arial"/>
                <w:sz w:val="21"/>
              </w:rPr>
            </w:pPr>
          </w:p>
          <w:p w14:paraId="5B15049B">
            <w:pPr>
              <w:spacing w:line="249" w:lineRule="auto"/>
              <w:rPr>
                <w:rFonts w:ascii="Arial"/>
                <w:sz w:val="21"/>
              </w:rPr>
            </w:pPr>
          </w:p>
          <w:p w14:paraId="5F1D87CB">
            <w:pPr>
              <w:spacing w:line="249" w:lineRule="auto"/>
              <w:rPr>
                <w:rFonts w:ascii="Arial"/>
                <w:sz w:val="21"/>
              </w:rPr>
            </w:pPr>
          </w:p>
          <w:p w14:paraId="0A28CD00">
            <w:pPr>
              <w:spacing w:line="250" w:lineRule="auto"/>
              <w:rPr>
                <w:rFonts w:ascii="Arial"/>
                <w:sz w:val="21"/>
              </w:rPr>
            </w:pPr>
          </w:p>
          <w:p w14:paraId="012B7C29">
            <w:pPr>
              <w:spacing w:line="250" w:lineRule="auto"/>
              <w:rPr>
                <w:rFonts w:ascii="Arial"/>
                <w:sz w:val="21"/>
              </w:rPr>
            </w:pPr>
          </w:p>
          <w:p w14:paraId="1CAF9F38">
            <w:pPr>
              <w:spacing w:line="250" w:lineRule="auto"/>
              <w:rPr>
                <w:rFonts w:ascii="Arial"/>
                <w:sz w:val="21"/>
              </w:rPr>
            </w:pPr>
          </w:p>
          <w:p w14:paraId="28BD3E13">
            <w:pPr>
              <w:spacing w:line="250" w:lineRule="auto"/>
              <w:rPr>
                <w:rFonts w:ascii="Arial"/>
                <w:sz w:val="21"/>
              </w:rPr>
            </w:pPr>
          </w:p>
          <w:p w14:paraId="6C63608B">
            <w:pPr>
              <w:spacing w:line="250" w:lineRule="auto"/>
              <w:rPr>
                <w:rFonts w:ascii="Arial"/>
                <w:sz w:val="21"/>
              </w:rPr>
            </w:pPr>
          </w:p>
          <w:p w14:paraId="1E95ACF9">
            <w:pPr>
              <w:spacing w:line="250" w:lineRule="auto"/>
              <w:rPr>
                <w:rFonts w:ascii="Arial"/>
                <w:sz w:val="21"/>
              </w:rPr>
            </w:pPr>
          </w:p>
          <w:p w14:paraId="31705FA2">
            <w:pPr>
              <w:spacing w:line="250" w:lineRule="auto"/>
              <w:rPr>
                <w:rFonts w:ascii="Arial"/>
                <w:sz w:val="21"/>
              </w:rPr>
            </w:pPr>
          </w:p>
          <w:p w14:paraId="5E3A26C1">
            <w:pPr>
              <w:spacing w:line="250" w:lineRule="auto"/>
              <w:rPr>
                <w:rFonts w:ascii="Arial"/>
                <w:sz w:val="21"/>
              </w:rPr>
            </w:pPr>
          </w:p>
          <w:p w14:paraId="1A884A80">
            <w:pPr>
              <w:spacing w:line="250" w:lineRule="auto"/>
              <w:rPr>
                <w:rFonts w:ascii="Arial"/>
                <w:sz w:val="21"/>
              </w:rPr>
            </w:pPr>
          </w:p>
          <w:p w14:paraId="6C494A09">
            <w:pPr>
              <w:pStyle w:val="6"/>
              <w:spacing w:before="58" w:line="286" w:lineRule="auto"/>
              <w:ind w:left="173" w:right="154" w:hanging="27"/>
              <w:jc w:val="both"/>
              <w:rPr>
                <w:sz w:val="20"/>
                <w:szCs w:val="20"/>
              </w:rPr>
            </w:pPr>
            <w:r>
              <w:rPr>
                <w:rFonts w:ascii="Times New Roman" w:hAnsi="Times New Roman" w:eastAsia="Times New Roman" w:cs="Times New Roman"/>
                <w:spacing w:val="1"/>
                <w:sz w:val="20"/>
                <w:szCs w:val="20"/>
              </w:rPr>
              <w:t>6.5</w:t>
            </w:r>
            <w:r>
              <w:rPr>
                <w:rFonts w:ascii="Times New Roman" w:hAnsi="Times New Roman" w:eastAsia="Times New Roman" w:cs="Times New Roman"/>
                <w:sz w:val="20"/>
                <w:szCs w:val="20"/>
              </w:rPr>
              <w:t xml:space="preserve"> </w:t>
            </w:r>
            <w:r>
              <w:rPr>
                <w:spacing w:val="1"/>
                <w:sz w:val="20"/>
                <w:szCs w:val="20"/>
              </w:rPr>
              <w:t>主</w:t>
            </w:r>
            <w:r>
              <w:rPr>
                <w:sz w:val="20"/>
                <w:szCs w:val="20"/>
              </w:rPr>
              <w:t xml:space="preserve"> </w:t>
            </w:r>
            <w:r>
              <w:rPr>
                <w:spacing w:val="1"/>
                <w:sz w:val="20"/>
                <w:szCs w:val="20"/>
              </w:rPr>
              <w:t>要</w:t>
            </w:r>
            <w:r>
              <w:rPr>
                <w:sz w:val="20"/>
                <w:szCs w:val="20"/>
              </w:rPr>
              <w:t xml:space="preserve"> </w:t>
            </w:r>
            <w:r>
              <w:rPr>
                <w:spacing w:val="1"/>
                <w:sz w:val="20"/>
                <w:szCs w:val="20"/>
              </w:rPr>
              <w:t>总</w:t>
            </w:r>
            <w:r>
              <w:rPr>
                <w:sz w:val="20"/>
                <w:szCs w:val="20"/>
              </w:rPr>
              <w:t xml:space="preserve"> </w:t>
            </w:r>
            <w:r>
              <w:rPr>
                <w:spacing w:val="1"/>
                <w:sz w:val="20"/>
                <w:szCs w:val="20"/>
              </w:rPr>
              <w:t>成</w:t>
            </w:r>
            <w:r>
              <w:rPr>
                <w:sz w:val="20"/>
                <w:szCs w:val="20"/>
              </w:rPr>
              <w:t xml:space="preserve"> </w:t>
            </w:r>
            <w:r>
              <w:rPr>
                <w:spacing w:val="1"/>
                <w:sz w:val="20"/>
                <w:szCs w:val="20"/>
              </w:rPr>
              <w:t>解</w:t>
            </w:r>
            <w:r>
              <w:rPr>
                <w:sz w:val="20"/>
                <w:szCs w:val="20"/>
              </w:rPr>
              <w:t xml:space="preserve"> </w:t>
            </w:r>
            <w:r>
              <w:rPr>
                <w:spacing w:val="1"/>
                <w:sz w:val="20"/>
                <w:szCs w:val="20"/>
              </w:rPr>
              <w:t>体</w:t>
            </w:r>
            <w:r>
              <w:rPr>
                <w:sz w:val="20"/>
                <w:szCs w:val="20"/>
              </w:rPr>
              <w:t xml:space="preserve"> </w:t>
            </w:r>
            <w:r>
              <w:rPr>
                <w:spacing w:val="1"/>
                <w:sz w:val="20"/>
                <w:szCs w:val="20"/>
              </w:rPr>
              <w:t>销</w:t>
            </w:r>
            <w:r>
              <w:rPr>
                <w:sz w:val="20"/>
                <w:szCs w:val="20"/>
              </w:rPr>
              <w:t xml:space="preserve"> </w:t>
            </w:r>
            <w:r>
              <w:rPr>
                <w:spacing w:val="1"/>
                <w:sz w:val="20"/>
                <w:szCs w:val="20"/>
              </w:rPr>
              <w:t>毁</w:t>
            </w:r>
          </w:p>
        </w:tc>
        <w:tc>
          <w:tcPr>
            <w:tcW w:w="3422" w:type="dxa"/>
            <w:tcBorders>
              <w:bottom w:val="single" w:color="000000" w:sz="10" w:space="0"/>
            </w:tcBorders>
            <w:vAlign w:val="top"/>
          </w:tcPr>
          <w:p w14:paraId="0D18AA93">
            <w:pPr>
              <w:pStyle w:val="6"/>
              <w:spacing w:before="57" w:line="277" w:lineRule="auto"/>
              <w:ind w:left="112" w:right="55" w:firstLine="485"/>
              <w:rPr>
                <w:sz w:val="20"/>
                <w:szCs w:val="20"/>
              </w:rPr>
            </w:pPr>
            <w:r>
              <w:rPr>
                <w:rFonts w:ascii="Calibri" w:hAnsi="Calibri" w:eastAsia="Calibri" w:cs="Calibri"/>
                <w:spacing w:val="1"/>
              </w:rPr>
              <w:t>6.5.1</w:t>
            </w:r>
            <w:r>
              <w:rPr>
                <w:spacing w:val="1"/>
                <w:sz w:val="20"/>
                <w:szCs w:val="20"/>
              </w:rPr>
              <w:t>拆解的发动机、变速箱总</w:t>
            </w:r>
            <w:r>
              <w:rPr>
                <w:spacing w:val="6"/>
                <w:sz w:val="20"/>
                <w:szCs w:val="20"/>
              </w:rPr>
              <w:t xml:space="preserve"> </w:t>
            </w:r>
            <w:r>
              <w:rPr>
                <w:spacing w:val="12"/>
                <w:sz w:val="20"/>
                <w:szCs w:val="20"/>
              </w:rPr>
              <w:t>成，具备再制造条件的，可按照国</w:t>
            </w:r>
            <w:r>
              <w:rPr>
                <w:spacing w:val="13"/>
                <w:sz w:val="20"/>
                <w:szCs w:val="20"/>
              </w:rPr>
              <w:t xml:space="preserve"> </w:t>
            </w:r>
            <w:r>
              <w:rPr>
                <w:spacing w:val="12"/>
                <w:sz w:val="20"/>
                <w:szCs w:val="20"/>
              </w:rPr>
              <w:t>家规定交售给具有再制造能力的企</w:t>
            </w:r>
            <w:r>
              <w:rPr>
                <w:spacing w:val="13"/>
                <w:sz w:val="20"/>
                <w:szCs w:val="20"/>
              </w:rPr>
              <w:t xml:space="preserve"> </w:t>
            </w:r>
            <w:r>
              <w:rPr>
                <w:spacing w:val="12"/>
                <w:sz w:val="20"/>
                <w:szCs w:val="20"/>
              </w:rPr>
              <w:t>业进行再制造循环利用。不具备再</w:t>
            </w:r>
            <w:r>
              <w:rPr>
                <w:spacing w:val="13"/>
                <w:sz w:val="20"/>
                <w:szCs w:val="20"/>
              </w:rPr>
              <w:t xml:space="preserve"> 制造条件的，可将发动机、变速箱</w:t>
            </w:r>
            <w:r>
              <w:rPr>
                <w:sz w:val="20"/>
                <w:szCs w:val="20"/>
              </w:rPr>
              <w:t xml:space="preserve"> </w:t>
            </w:r>
            <w:r>
              <w:rPr>
                <w:spacing w:val="12"/>
                <w:sz w:val="20"/>
                <w:szCs w:val="20"/>
              </w:rPr>
              <w:t>总成交售给有资质的拆解企业进行</w:t>
            </w:r>
            <w:r>
              <w:rPr>
                <w:spacing w:val="13"/>
                <w:sz w:val="20"/>
                <w:szCs w:val="20"/>
              </w:rPr>
              <w:t xml:space="preserve"> </w:t>
            </w:r>
            <w:r>
              <w:rPr>
                <w:spacing w:val="3"/>
                <w:sz w:val="20"/>
                <w:szCs w:val="20"/>
              </w:rPr>
              <w:t>拆解和破碎；或销毁后作为废金属，</w:t>
            </w:r>
            <w:r>
              <w:rPr>
                <w:sz w:val="20"/>
                <w:szCs w:val="20"/>
              </w:rPr>
              <w:t xml:space="preserve"> </w:t>
            </w:r>
            <w:r>
              <w:rPr>
                <w:spacing w:val="12"/>
                <w:sz w:val="20"/>
                <w:szCs w:val="20"/>
              </w:rPr>
              <w:t>交给钢铁企业进行冶炼。不可再利</w:t>
            </w:r>
            <w:r>
              <w:rPr>
                <w:spacing w:val="13"/>
                <w:sz w:val="20"/>
                <w:szCs w:val="20"/>
              </w:rPr>
              <w:t xml:space="preserve"> </w:t>
            </w:r>
            <w:r>
              <w:rPr>
                <w:spacing w:val="8"/>
                <w:sz w:val="20"/>
                <w:szCs w:val="20"/>
              </w:rPr>
              <w:t>用的总成及配件按等效方式处理。</w:t>
            </w:r>
          </w:p>
          <w:p w14:paraId="52EE96F9">
            <w:pPr>
              <w:pStyle w:val="6"/>
              <w:spacing w:before="65" w:line="258" w:lineRule="auto"/>
              <w:ind w:left="116" w:right="109" w:firstLine="417"/>
              <w:rPr>
                <w:sz w:val="20"/>
                <w:szCs w:val="20"/>
              </w:rPr>
            </w:pPr>
            <w:r>
              <w:rPr>
                <w:rFonts w:ascii="Times New Roman" w:hAnsi="Times New Roman" w:eastAsia="Times New Roman" w:cs="Times New Roman"/>
                <w:spacing w:val="10"/>
                <w:sz w:val="20"/>
                <w:szCs w:val="20"/>
              </w:rPr>
              <w:t>6.5.2</w:t>
            </w:r>
            <w:r>
              <w:rPr>
                <w:spacing w:val="10"/>
                <w:sz w:val="20"/>
                <w:szCs w:val="20"/>
              </w:rPr>
              <w:t>发动机：可选择如下任何</w:t>
            </w:r>
            <w:r>
              <w:rPr>
                <w:spacing w:val="11"/>
                <w:sz w:val="20"/>
                <w:szCs w:val="20"/>
              </w:rPr>
              <w:t xml:space="preserve"> </w:t>
            </w:r>
            <w:r>
              <w:rPr>
                <w:spacing w:val="7"/>
                <w:sz w:val="20"/>
                <w:szCs w:val="20"/>
              </w:rPr>
              <w:t>一种处理方式进行：</w:t>
            </w:r>
          </w:p>
          <w:p w14:paraId="58CEF51F">
            <w:pPr>
              <w:pStyle w:val="6"/>
              <w:spacing w:before="66" w:line="284" w:lineRule="auto"/>
              <w:ind w:left="112" w:right="55" w:firstLine="420"/>
              <w:jc w:val="both"/>
              <w:rPr>
                <w:sz w:val="20"/>
                <w:szCs w:val="20"/>
              </w:rPr>
            </w:pPr>
            <w:r>
              <w:rPr>
                <w:rFonts w:ascii="Times New Roman" w:hAnsi="Times New Roman" w:eastAsia="Times New Roman" w:cs="Times New Roman"/>
                <w:spacing w:val="6"/>
                <w:sz w:val="20"/>
                <w:szCs w:val="20"/>
              </w:rPr>
              <w:t>a</w:t>
            </w:r>
            <w:r>
              <w:rPr>
                <w:spacing w:val="6"/>
                <w:sz w:val="20"/>
                <w:szCs w:val="20"/>
              </w:rPr>
              <w:t>）挤压机体、曲轴及齿轮为块</w:t>
            </w:r>
            <w:r>
              <w:rPr>
                <w:sz w:val="20"/>
                <w:szCs w:val="20"/>
              </w:rPr>
              <w:t xml:space="preserve"> </w:t>
            </w:r>
            <w:r>
              <w:rPr>
                <w:spacing w:val="5"/>
                <w:sz w:val="20"/>
                <w:szCs w:val="20"/>
              </w:rPr>
              <w:t>状金属；</w:t>
            </w:r>
            <w:r>
              <w:rPr>
                <w:rFonts w:ascii="Times New Roman" w:hAnsi="Times New Roman" w:eastAsia="Times New Roman" w:cs="Times New Roman"/>
                <w:spacing w:val="5"/>
                <w:sz w:val="20"/>
                <w:szCs w:val="20"/>
              </w:rPr>
              <w:t>b</w:t>
            </w:r>
            <w:r>
              <w:rPr>
                <w:spacing w:val="5"/>
                <w:sz w:val="20"/>
                <w:szCs w:val="20"/>
              </w:rPr>
              <w:t>）在机体钻通孔至每个缸</w:t>
            </w:r>
            <w:r>
              <w:rPr>
                <w:spacing w:val="13"/>
                <w:sz w:val="20"/>
                <w:szCs w:val="20"/>
              </w:rPr>
              <w:t xml:space="preserve"> </w:t>
            </w:r>
            <w:r>
              <w:rPr>
                <w:spacing w:val="8"/>
                <w:sz w:val="20"/>
                <w:szCs w:val="20"/>
              </w:rPr>
              <w:t>筒缸壁（直径大于</w:t>
            </w:r>
            <w:r>
              <w:rPr>
                <w:rFonts w:ascii="Times New Roman" w:hAnsi="Times New Roman" w:eastAsia="Times New Roman" w:cs="Times New Roman"/>
                <w:spacing w:val="8"/>
                <w:sz w:val="20"/>
                <w:szCs w:val="20"/>
              </w:rPr>
              <w:t xml:space="preserve">10 </w:t>
            </w:r>
            <w:r>
              <w:rPr>
                <w:rFonts w:ascii="Times New Roman" w:hAnsi="Times New Roman" w:eastAsia="Times New Roman" w:cs="Times New Roman"/>
                <w:sz w:val="20"/>
                <w:szCs w:val="20"/>
              </w:rPr>
              <w:t>mm</w:t>
            </w:r>
            <w:r>
              <w:rPr>
                <w:spacing w:val="-4"/>
                <w:sz w:val="20"/>
                <w:szCs w:val="20"/>
              </w:rPr>
              <w:t>）</w:t>
            </w:r>
            <w:r>
              <w:rPr>
                <w:spacing w:val="-59"/>
                <w:sz w:val="20"/>
                <w:szCs w:val="20"/>
              </w:rPr>
              <w:t xml:space="preserve"> </w:t>
            </w:r>
            <w:r>
              <w:rPr>
                <w:spacing w:val="-4"/>
                <w:sz w:val="20"/>
                <w:szCs w:val="20"/>
              </w:rPr>
              <w:t>；</w:t>
            </w:r>
            <w:r>
              <w:rPr>
                <w:rFonts w:ascii="Times New Roman" w:hAnsi="Times New Roman" w:eastAsia="Times New Roman" w:cs="Times New Roman"/>
                <w:spacing w:val="8"/>
                <w:sz w:val="20"/>
                <w:szCs w:val="20"/>
              </w:rPr>
              <w:t>c</w:t>
            </w:r>
            <w:r>
              <w:rPr>
                <w:spacing w:val="8"/>
                <w:sz w:val="20"/>
                <w:szCs w:val="20"/>
              </w:rPr>
              <w:t>）在</w:t>
            </w:r>
            <w:r>
              <w:rPr>
                <w:sz w:val="20"/>
                <w:szCs w:val="20"/>
              </w:rPr>
              <w:t xml:space="preserve"> </w:t>
            </w:r>
            <w:r>
              <w:rPr>
                <w:spacing w:val="12"/>
                <w:sz w:val="20"/>
                <w:szCs w:val="20"/>
              </w:rPr>
              <w:t>机体切通孔至每个缸筒缸壁（直径</w:t>
            </w:r>
            <w:r>
              <w:rPr>
                <w:spacing w:val="13"/>
                <w:sz w:val="20"/>
                <w:szCs w:val="20"/>
              </w:rPr>
              <w:t xml:space="preserve"> </w:t>
            </w:r>
            <w:r>
              <w:rPr>
                <w:spacing w:val="2"/>
                <w:sz w:val="20"/>
                <w:szCs w:val="20"/>
              </w:rPr>
              <w:t>大于</w:t>
            </w:r>
            <w:r>
              <w:rPr>
                <w:rFonts w:ascii="Times New Roman" w:hAnsi="Times New Roman" w:eastAsia="Times New Roman" w:cs="Times New Roman"/>
                <w:spacing w:val="2"/>
                <w:sz w:val="20"/>
                <w:szCs w:val="20"/>
              </w:rPr>
              <w:t xml:space="preserve">10 </w:t>
            </w:r>
            <w:r>
              <w:rPr>
                <w:rFonts w:ascii="Times New Roman" w:hAnsi="Times New Roman" w:eastAsia="Times New Roman" w:cs="Times New Roman"/>
                <w:sz w:val="20"/>
                <w:szCs w:val="20"/>
              </w:rPr>
              <w:t>mm</w:t>
            </w:r>
            <w:r>
              <w:rPr>
                <w:spacing w:val="-22"/>
                <w:sz w:val="20"/>
                <w:szCs w:val="20"/>
              </w:rPr>
              <w:t>）；</w:t>
            </w:r>
            <w:r>
              <w:rPr>
                <w:rFonts w:ascii="Times New Roman" w:hAnsi="Times New Roman" w:eastAsia="Times New Roman" w:cs="Times New Roman"/>
                <w:spacing w:val="2"/>
                <w:sz w:val="20"/>
                <w:szCs w:val="20"/>
              </w:rPr>
              <w:t>d</w:t>
            </w:r>
            <w:r>
              <w:rPr>
                <w:spacing w:val="2"/>
                <w:sz w:val="20"/>
                <w:szCs w:val="20"/>
              </w:rPr>
              <w:t>）冲击机体至变形，</w:t>
            </w:r>
            <w:r>
              <w:rPr>
                <w:sz w:val="20"/>
                <w:szCs w:val="20"/>
              </w:rPr>
              <w:t xml:space="preserve"> </w:t>
            </w:r>
            <w:r>
              <w:rPr>
                <w:spacing w:val="12"/>
                <w:sz w:val="20"/>
                <w:szCs w:val="20"/>
              </w:rPr>
              <w:t>变形的程度不低于原机体外形尺寸</w:t>
            </w:r>
            <w:r>
              <w:rPr>
                <w:spacing w:val="13"/>
                <w:sz w:val="20"/>
                <w:szCs w:val="20"/>
              </w:rPr>
              <w:t xml:space="preserve"> </w:t>
            </w:r>
            <w:r>
              <w:rPr>
                <w:spacing w:val="4"/>
                <w:sz w:val="20"/>
                <w:szCs w:val="20"/>
              </w:rPr>
              <w:t>的</w:t>
            </w:r>
            <w:r>
              <w:rPr>
                <w:rFonts w:ascii="Times New Roman" w:hAnsi="Times New Roman" w:eastAsia="Times New Roman" w:cs="Times New Roman"/>
                <w:spacing w:val="4"/>
                <w:sz w:val="20"/>
                <w:szCs w:val="20"/>
              </w:rPr>
              <w:t>20%</w:t>
            </w:r>
            <w:r>
              <w:rPr>
                <w:spacing w:val="4"/>
                <w:sz w:val="20"/>
                <w:szCs w:val="20"/>
              </w:rPr>
              <w:t>。</w:t>
            </w:r>
          </w:p>
          <w:p w14:paraId="31B0ABBD">
            <w:pPr>
              <w:pStyle w:val="6"/>
              <w:spacing w:before="31" w:line="283" w:lineRule="auto"/>
              <w:ind w:left="107" w:right="107" w:firstLine="426"/>
              <w:jc w:val="both"/>
              <w:rPr>
                <w:sz w:val="20"/>
                <w:szCs w:val="20"/>
              </w:rPr>
            </w:pPr>
            <w:r>
              <w:rPr>
                <w:spacing w:val="13"/>
                <w:sz w:val="20"/>
                <w:szCs w:val="20"/>
              </w:rPr>
              <w:t>变速箱：可选择如下任何一种</w:t>
            </w:r>
            <w:r>
              <w:rPr>
                <w:spacing w:val="3"/>
                <w:sz w:val="20"/>
                <w:szCs w:val="20"/>
              </w:rPr>
              <w:t xml:space="preserve"> </w:t>
            </w:r>
            <w:r>
              <w:rPr>
                <w:spacing w:val="6"/>
                <w:sz w:val="20"/>
                <w:szCs w:val="20"/>
              </w:rPr>
              <w:t>处理方式进行：</w:t>
            </w:r>
            <w:r>
              <w:rPr>
                <w:rFonts w:ascii="Times New Roman" w:hAnsi="Times New Roman" w:eastAsia="Times New Roman" w:cs="Times New Roman"/>
                <w:spacing w:val="6"/>
                <w:sz w:val="20"/>
                <w:szCs w:val="20"/>
              </w:rPr>
              <w:t>a</w:t>
            </w:r>
            <w:r>
              <w:rPr>
                <w:spacing w:val="6"/>
                <w:sz w:val="20"/>
                <w:szCs w:val="20"/>
              </w:rPr>
              <w:t>）挤压箱体和齿轮</w:t>
            </w:r>
            <w:r>
              <w:rPr>
                <w:spacing w:val="14"/>
                <w:sz w:val="20"/>
                <w:szCs w:val="20"/>
              </w:rPr>
              <w:t xml:space="preserve"> </w:t>
            </w:r>
            <w:r>
              <w:rPr>
                <w:spacing w:val="15"/>
                <w:sz w:val="20"/>
                <w:szCs w:val="20"/>
              </w:rPr>
              <w:t>轴为块状金属；</w:t>
            </w:r>
            <w:r>
              <w:rPr>
                <w:rFonts w:ascii="Times New Roman" w:hAnsi="Times New Roman" w:eastAsia="Times New Roman" w:cs="Times New Roman"/>
                <w:spacing w:val="15"/>
                <w:sz w:val="20"/>
                <w:szCs w:val="20"/>
              </w:rPr>
              <w:t>b</w:t>
            </w:r>
            <w:r>
              <w:rPr>
                <w:spacing w:val="15"/>
                <w:sz w:val="20"/>
                <w:szCs w:val="20"/>
              </w:rPr>
              <w:t>）在输入</w:t>
            </w:r>
            <w:r>
              <w:rPr>
                <w:rFonts w:ascii="Times New Roman" w:hAnsi="Times New Roman" w:eastAsia="Times New Roman" w:cs="Times New Roman"/>
                <w:spacing w:val="15"/>
                <w:sz w:val="20"/>
                <w:szCs w:val="20"/>
              </w:rPr>
              <w:t>/</w:t>
            </w:r>
            <w:r>
              <w:rPr>
                <w:spacing w:val="15"/>
                <w:sz w:val="20"/>
                <w:szCs w:val="20"/>
              </w:rPr>
              <w:t>输出轴</w:t>
            </w:r>
            <w:r>
              <w:rPr>
                <w:spacing w:val="5"/>
                <w:sz w:val="20"/>
                <w:szCs w:val="20"/>
              </w:rPr>
              <w:t xml:space="preserve"> </w:t>
            </w:r>
            <w:r>
              <w:rPr>
                <w:spacing w:val="13"/>
                <w:sz w:val="20"/>
                <w:szCs w:val="20"/>
              </w:rPr>
              <w:t>轴承与密封结合处钻通孔（直径大</w:t>
            </w:r>
            <w:r>
              <w:rPr>
                <w:spacing w:val="4"/>
                <w:sz w:val="20"/>
                <w:szCs w:val="20"/>
              </w:rPr>
              <w:t xml:space="preserve"> </w:t>
            </w:r>
            <w:r>
              <w:rPr>
                <w:spacing w:val="6"/>
                <w:sz w:val="20"/>
                <w:szCs w:val="20"/>
              </w:rPr>
              <w:t>于</w:t>
            </w:r>
            <w:r>
              <w:rPr>
                <w:rFonts w:ascii="Times New Roman" w:hAnsi="Times New Roman" w:eastAsia="Times New Roman" w:cs="Times New Roman"/>
                <w:spacing w:val="6"/>
                <w:sz w:val="20"/>
                <w:szCs w:val="20"/>
              </w:rPr>
              <w:t xml:space="preserve">10 </w:t>
            </w:r>
            <w:r>
              <w:rPr>
                <w:rFonts w:ascii="Times New Roman" w:hAnsi="Times New Roman" w:eastAsia="Times New Roman" w:cs="Times New Roman"/>
                <w:sz w:val="20"/>
                <w:szCs w:val="20"/>
              </w:rPr>
              <w:t>mm</w:t>
            </w:r>
            <w:r>
              <w:rPr>
                <w:spacing w:val="1"/>
                <w:sz w:val="20"/>
                <w:szCs w:val="20"/>
              </w:rPr>
              <w:t>）；</w:t>
            </w:r>
            <w:r>
              <w:rPr>
                <w:rFonts w:ascii="Times New Roman" w:hAnsi="Times New Roman" w:eastAsia="Times New Roman" w:cs="Times New Roman"/>
                <w:spacing w:val="6"/>
                <w:sz w:val="20"/>
                <w:szCs w:val="20"/>
              </w:rPr>
              <w:t>c</w:t>
            </w:r>
            <w:r>
              <w:rPr>
                <w:spacing w:val="6"/>
                <w:sz w:val="20"/>
                <w:szCs w:val="20"/>
              </w:rPr>
              <w:t>）在输入</w:t>
            </w:r>
            <w:r>
              <w:rPr>
                <w:rFonts w:ascii="Times New Roman" w:hAnsi="Times New Roman" w:eastAsia="Times New Roman" w:cs="Times New Roman"/>
                <w:spacing w:val="6"/>
                <w:sz w:val="20"/>
                <w:szCs w:val="20"/>
              </w:rPr>
              <w:t>/</w:t>
            </w:r>
            <w:r>
              <w:rPr>
                <w:spacing w:val="6"/>
                <w:sz w:val="20"/>
                <w:szCs w:val="20"/>
              </w:rPr>
              <w:t>输出轴轴承</w:t>
            </w:r>
            <w:r>
              <w:rPr>
                <w:spacing w:val="1"/>
                <w:sz w:val="20"/>
                <w:szCs w:val="20"/>
              </w:rPr>
              <w:t xml:space="preserve"> </w:t>
            </w:r>
            <w:r>
              <w:rPr>
                <w:spacing w:val="12"/>
                <w:sz w:val="20"/>
                <w:szCs w:val="20"/>
              </w:rPr>
              <w:t>与密封结合处切通孔（直径大于</w:t>
            </w:r>
            <w:r>
              <w:rPr>
                <w:rFonts w:ascii="Times New Roman" w:hAnsi="Times New Roman" w:eastAsia="Times New Roman" w:cs="Times New Roman"/>
                <w:spacing w:val="12"/>
                <w:sz w:val="20"/>
                <w:szCs w:val="20"/>
              </w:rPr>
              <w:t>10</w:t>
            </w:r>
            <w:r>
              <w:rPr>
                <w:rFonts w:ascii="Times New Roman" w:hAnsi="Times New Roman" w:eastAsia="Times New Roman" w:cs="Times New Roman"/>
                <w:spacing w:val="8"/>
                <w:sz w:val="20"/>
                <w:szCs w:val="20"/>
              </w:rPr>
              <w:t xml:space="preserve"> </w:t>
            </w:r>
            <w:r>
              <w:rPr>
                <w:rFonts w:ascii="Times New Roman" w:hAnsi="Times New Roman" w:eastAsia="Times New Roman" w:cs="Times New Roman"/>
                <w:sz w:val="20"/>
                <w:szCs w:val="20"/>
              </w:rPr>
              <w:t>mm</w:t>
            </w:r>
            <w:r>
              <w:rPr>
                <w:rFonts w:ascii="Times New Roman" w:hAnsi="Times New Roman" w:eastAsia="Times New Roman" w:cs="Times New Roman"/>
                <w:spacing w:val="-17"/>
                <w:sz w:val="20"/>
                <w:szCs w:val="20"/>
              </w:rPr>
              <w:t xml:space="preserve"> </w:t>
            </w:r>
            <w:r>
              <w:rPr>
                <w:spacing w:val="5"/>
                <w:sz w:val="20"/>
                <w:szCs w:val="20"/>
              </w:rPr>
              <w:t>）；</w:t>
            </w:r>
            <w:r>
              <w:rPr>
                <w:rFonts w:ascii="Times New Roman" w:hAnsi="Times New Roman" w:eastAsia="Times New Roman" w:cs="Times New Roman"/>
                <w:spacing w:val="12"/>
                <w:sz w:val="20"/>
                <w:szCs w:val="20"/>
              </w:rPr>
              <w:t>d</w:t>
            </w:r>
            <w:r>
              <w:rPr>
                <w:spacing w:val="12"/>
                <w:sz w:val="20"/>
                <w:szCs w:val="20"/>
              </w:rPr>
              <w:t>）冲击箱体至变形，变形</w:t>
            </w:r>
            <w:r>
              <w:rPr>
                <w:sz w:val="20"/>
                <w:szCs w:val="20"/>
              </w:rPr>
              <w:t xml:space="preserve"> </w:t>
            </w:r>
            <w:r>
              <w:rPr>
                <w:spacing w:val="28"/>
                <w:sz w:val="20"/>
                <w:szCs w:val="20"/>
              </w:rPr>
              <w:t>的程度不低于原箱体外形尺寸的</w:t>
            </w:r>
            <w:r>
              <w:rPr>
                <w:spacing w:val="7"/>
                <w:sz w:val="20"/>
                <w:szCs w:val="20"/>
              </w:rPr>
              <w:t xml:space="preserve"> </w:t>
            </w:r>
            <w:r>
              <w:rPr>
                <w:rFonts w:ascii="Times New Roman" w:hAnsi="Times New Roman" w:eastAsia="Times New Roman" w:cs="Times New Roman"/>
                <w:spacing w:val="4"/>
                <w:sz w:val="20"/>
                <w:szCs w:val="20"/>
              </w:rPr>
              <w:t>20%</w:t>
            </w:r>
            <w:r>
              <w:rPr>
                <w:spacing w:val="4"/>
                <w:sz w:val="20"/>
                <w:szCs w:val="20"/>
              </w:rPr>
              <w:t>。</w:t>
            </w:r>
          </w:p>
          <w:p w14:paraId="1220D3BC">
            <w:pPr>
              <w:pStyle w:val="6"/>
              <w:spacing w:before="50" w:line="274" w:lineRule="auto"/>
              <w:ind w:left="112" w:right="55" w:firstLine="485"/>
              <w:rPr>
                <w:sz w:val="20"/>
                <w:szCs w:val="20"/>
              </w:rPr>
            </w:pPr>
            <w:r>
              <w:rPr>
                <w:rFonts w:ascii="Calibri" w:hAnsi="Calibri" w:eastAsia="Calibri" w:cs="Calibri"/>
                <w:spacing w:val="4"/>
              </w:rPr>
              <w:t>6.5.3</w:t>
            </w:r>
            <w:r>
              <w:rPr>
                <w:spacing w:val="4"/>
                <w:sz w:val="20"/>
                <w:szCs w:val="20"/>
              </w:rPr>
              <w:t>拆解的转向器、前后桥、</w:t>
            </w:r>
            <w:r>
              <w:rPr>
                <w:spacing w:val="12"/>
                <w:sz w:val="20"/>
                <w:szCs w:val="20"/>
              </w:rPr>
              <w:t xml:space="preserve"> </w:t>
            </w:r>
            <w:r>
              <w:rPr>
                <w:spacing w:val="3"/>
                <w:sz w:val="20"/>
                <w:szCs w:val="20"/>
              </w:rPr>
              <w:t>机架、机身总成具备再制造条件的，</w:t>
            </w:r>
            <w:r>
              <w:rPr>
                <w:sz w:val="20"/>
                <w:szCs w:val="20"/>
              </w:rPr>
              <w:t xml:space="preserve"> </w:t>
            </w:r>
            <w:r>
              <w:rPr>
                <w:spacing w:val="12"/>
                <w:sz w:val="20"/>
                <w:szCs w:val="20"/>
              </w:rPr>
              <w:t>可按照国家规定出售给具有再制造</w:t>
            </w:r>
            <w:r>
              <w:rPr>
                <w:spacing w:val="13"/>
                <w:sz w:val="20"/>
                <w:szCs w:val="20"/>
              </w:rPr>
              <w:t xml:space="preserve"> </w:t>
            </w:r>
            <w:r>
              <w:rPr>
                <w:spacing w:val="12"/>
                <w:sz w:val="20"/>
                <w:szCs w:val="20"/>
              </w:rPr>
              <w:t>能力的企业经过再制造循环利用；</w:t>
            </w:r>
            <w:r>
              <w:rPr>
                <w:sz w:val="20"/>
                <w:szCs w:val="20"/>
              </w:rPr>
              <w:t xml:space="preserve"> </w:t>
            </w:r>
            <w:r>
              <w:rPr>
                <w:spacing w:val="12"/>
                <w:sz w:val="20"/>
                <w:szCs w:val="20"/>
              </w:rPr>
              <w:t>不具备再制造条件的，可按照以下</w:t>
            </w:r>
            <w:r>
              <w:rPr>
                <w:spacing w:val="13"/>
                <w:sz w:val="20"/>
                <w:szCs w:val="20"/>
              </w:rPr>
              <w:t xml:space="preserve"> </w:t>
            </w:r>
            <w:r>
              <w:rPr>
                <w:spacing w:val="12"/>
                <w:sz w:val="20"/>
                <w:szCs w:val="20"/>
              </w:rPr>
              <w:t>方式销毁后作为废金属交给钢铁企</w:t>
            </w:r>
            <w:r>
              <w:rPr>
                <w:spacing w:val="13"/>
                <w:sz w:val="20"/>
                <w:szCs w:val="20"/>
              </w:rPr>
              <w:t xml:space="preserve"> </w:t>
            </w:r>
            <w:r>
              <w:rPr>
                <w:spacing w:val="6"/>
                <w:sz w:val="20"/>
                <w:szCs w:val="20"/>
              </w:rPr>
              <w:t>业进行冶炼。</w:t>
            </w:r>
          </w:p>
          <w:p w14:paraId="16B1FFF8">
            <w:pPr>
              <w:pStyle w:val="6"/>
              <w:spacing w:before="71"/>
              <w:ind w:left="116" w:right="109" w:firstLine="480"/>
              <w:rPr>
                <w:sz w:val="20"/>
                <w:szCs w:val="20"/>
              </w:rPr>
            </w:pPr>
            <w:r>
              <w:fldChar w:fldCharType="begin"/>
            </w:r>
            <w:r>
              <w:instrText xml:space="preserve"> HYPERLINK "6.5.2.1" </w:instrText>
            </w:r>
            <w:r>
              <w:fldChar w:fldCharType="separate"/>
            </w:r>
            <w:r>
              <w:rPr>
                <w:rFonts w:ascii="Calibri" w:hAnsi="Calibri" w:eastAsia="Calibri" w:cs="Calibri"/>
                <w:spacing w:val="2"/>
              </w:rPr>
              <w:t>6.5.2.1</w:t>
            </w:r>
            <w:r>
              <w:rPr>
                <w:rFonts w:ascii="Calibri" w:hAnsi="Calibri" w:eastAsia="Calibri" w:cs="Calibri"/>
                <w:spacing w:val="2"/>
              </w:rPr>
              <w:fldChar w:fldCharType="end"/>
            </w:r>
            <w:r>
              <w:rPr>
                <w:spacing w:val="2"/>
                <w:sz w:val="20"/>
                <w:szCs w:val="20"/>
              </w:rPr>
              <w:t>转向器：可选择如下任</w:t>
            </w:r>
            <w:r>
              <w:rPr>
                <w:spacing w:val="5"/>
                <w:sz w:val="20"/>
                <w:szCs w:val="20"/>
              </w:rPr>
              <w:t xml:space="preserve"> </w:t>
            </w:r>
            <w:r>
              <w:rPr>
                <w:spacing w:val="7"/>
                <w:sz w:val="20"/>
                <w:szCs w:val="20"/>
              </w:rPr>
              <w:t>何一种处理方式进行：</w:t>
            </w:r>
          </w:p>
          <w:p w14:paraId="7CC17593">
            <w:pPr>
              <w:pStyle w:val="6"/>
              <w:spacing w:before="64" w:line="279" w:lineRule="auto"/>
              <w:ind w:left="109" w:right="107" w:firstLine="423"/>
              <w:jc w:val="both"/>
              <w:rPr>
                <w:sz w:val="20"/>
                <w:szCs w:val="20"/>
              </w:rPr>
            </w:pPr>
            <w:r>
              <w:rPr>
                <w:rFonts w:ascii="Times New Roman" w:hAnsi="Times New Roman" w:eastAsia="Times New Roman" w:cs="Times New Roman"/>
                <w:spacing w:val="6"/>
                <w:sz w:val="20"/>
                <w:szCs w:val="20"/>
              </w:rPr>
              <w:t>a</w:t>
            </w:r>
            <w:r>
              <w:rPr>
                <w:spacing w:val="6"/>
                <w:sz w:val="20"/>
                <w:szCs w:val="20"/>
              </w:rPr>
              <w:t>）挤压壳体和蜗轮蜗杆为块状</w:t>
            </w:r>
            <w:r>
              <w:rPr>
                <w:sz w:val="20"/>
                <w:szCs w:val="20"/>
              </w:rPr>
              <w:t xml:space="preserve"> </w:t>
            </w:r>
            <w:r>
              <w:rPr>
                <w:spacing w:val="6"/>
                <w:sz w:val="20"/>
                <w:szCs w:val="20"/>
              </w:rPr>
              <w:t>金属；</w:t>
            </w:r>
            <w:r>
              <w:rPr>
                <w:rFonts w:ascii="Times New Roman" w:hAnsi="Times New Roman" w:eastAsia="Times New Roman" w:cs="Times New Roman"/>
                <w:spacing w:val="6"/>
                <w:sz w:val="20"/>
                <w:szCs w:val="20"/>
              </w:rPr>
              <w:t>b</w:t>
            </w:r>
            <w:r>
              <w:rPr>
                <w:spacing w:val="6"/>
                <w:sz w:val="20"/>
                <w:szCs w:val="20"/>
              </w:rPr>
              <w:t>）冲击壳体和蜗轮蜗杆至变</w:t>
            </w:r>
            <w:r>
              <w:rPr>
                <w:sz w:val="20"/>
                <w:szCs w:val="20"/>
              </w:rPr>
              <w:t xml:space="preserve"> </w:t>
            </w:r>
            <w:r>
              <w:rPr>
                <w:spacing w:val="25"/>
                <w:sz w:val="20"/>
                <w:szCs w:val="20"/>
              </w:rPr>
              <w:t>形</w:t>
            </w:r>
            <w:r>
              <w:rPr>
                <w:spacing w:val="-52"/>
                <w:sz w:val="20"/>
                <w:szCs w:val="20"/>
              </w:rPr>
              <w:t xml:space="preserve"> </w:t>
            </w:r>
            <w:r>
              <w:rPr>
                <w:spacing w:val="25"/>
                <w:sz w:val="20"/>
                <w:szCs w:val="20"/>
              </w:rPr>
              <w:t>，变形的程度不低于原尺寸的</w:t>
            </w:r>
            <w:r>
              <w:rPr>
                <w:sz w:val="20"/>
                <w:szCs w:val="20"/>
              </w:rPr>
              <w:t xml:space="preserve"> </w:t>
            </w:r>
            <w:r>
              <w:rPr>
                <w:rFonts w:ascii="Times New Roman" w:hAnsi="Times New Roman" w:eastAsia="Times New Roman" w:cs="Times New Roman"/>
                <w:spacing w:val="3"/>
                <w:sz w:val="20"/>
                <w:szCs w:val="20"/>
              </w:rPr>
              <w:t>20%</w:t>
            </w:r>
            <w:r>
              <w:rPr>
                <w:spacing w:val="3"/>
                <w:sz w:val="20"/>
                <w:szCs w:val="20"/>
              </w:rPr>
              <w:t>。</w:t>
            </w:r>
          </w:p>
          <w:p w14:paraId="245426A4">
            <w:pPr>
              <w:pStyle w:val="6"/>
              <w:spacing w:before="46" w:line="207" w:lineRule="auto"/>
              <w:ind w:left="597"/>
              <w:rPr>
                <w:sz w:val="20"/>
                <w:szCs w:val="20"/>
              </w:rPr>
            </w:pPr>
            <w:r>
              <w:fldChar w:fldCharType="begin"/>
            </w:r>
            <w:r>
              <w:instrText xml:space="preserve"> HYPERLINK "6.5.2.2" </w:instrText>
            </w:r>
            <w:r>
              <w:fldChar w:fldCharType="separate"/>
            </w:r>
            <w:r>
              <w:rPr>
                <w:rFonts w:ascii="Calibri" w:hAnsi="Calibri" w:eastAsia="Calibri" w:cs="Calibri"/>
                <w:spacing w:val="2"/>
              </w:rPr>
              <w:t>6.5.2.2</w:t>
            </w:r>
            <w:r>
              <w:rPr>
                <w:rFonts w:ascii="Calibri" w:hAnsi="Calibri" w:eastAsia="Calibri" w:cs="Calibri"/>
                <w:spacing w:val="2"/>
              </w:rPr>
              <w:fldChar w:fldCharType="end"/>
            </w:r>
            <w:r>
              <w:rPr>
                <w:spacing w:val="2"/>
                <w:sz w:val="20"/>
                <w:szCs w:val="20"/>
              </w:rPr>
              <w:t>前后桥：前后桥应彻底</w:t>
            </w:r>
          </w:p>
        </w:tc>
        <w:tc>
          <w:tcPr>
            <w:tcW w:w="2318" w:type="dxa"/>
            <w:tcBorders>
              <w:bottom w:val="single" w:color="000000" w:sz="10" w:space="0"/>
            </w:tcBorders>
            <w:vAlign w:val="top"/>
          </w:tcPr>
          <w:p w14:paraId="47031129">
            <w:pPr>
              <w:spacing w:line="266" w:lineRule="auto"/>
              <w:rPr>
                <w:rFonts w:ascii="Arial"/>
                <w:sz w:val="21"/>
              </w:rPr>
            </w:pPr>
          </w:p>
          <w:p w14:paraId="4E86A280">
            <w:pPr>
              <w:spacing w:line="266" w:lineRule="auto"/>
              <w:rPr>
                <w:rFonts w:ascii="Arial"/>
                <w:sz w:val="21"/>
              </w:rPr>
            </w:pPr>
          </w:p>
          <w:p w14:paraId="512C1A91">
            <w:pPr>
              <w:spacing w:line="266" w:lineRule="auto"/>
              <w:rPr>
                <w:rFonts w:ascii="Arial"/>
                <w:sz w:val="21"/>
              </w:rPr>
            </w:pPr>
          </w:p>
          <w:p w14:paraId="5A00C6C1">
            <w:pPr>
              <w:spacing w:line="266" w:lineRule="auto"/>
              <w:rPr>
                <w:rFonts w:ascii="Arial"/>
                <w:sz w:val="21"/>
              </w:rPr>
            </w:pPr>
          </w:p>
          <w:p w14:paraId="5CA47D07">
            <w:pPr>
              <w:spacing w:line="266" w:lineRule="auto"/>
              <w:rPr>
                <w:rFonts w:ascii="Arial"/>
                <w:sz w:val="21"/>
              </w:rPr>
            </w:pPr>
          </w:p>
          <w:p w14:paraId="54717B69">
            <w:pPr>
              <w:spacing w:line="266" w:lineRule="auto"/>
              <w:rPr>
                <w:rFonts w:ascii="Arial"/>
                <w:sz w:val="21"/>
              </w:rPr>
            </w:pPr>
          </w:p>
          <w:p w14:paraId="2B28B9CB">
            <w:pPr>
              <w:spacing w:line="266" w:lineRule="auto"/>
              <w:rPr>
                <w:rFonts w:ascii="Arial"/>
                <w:sz w:val="21"/>
              </w:rPr>
            </w:pPr>
          </w:p>
          <w:p w14:paraId="5BAD7385">
            <w:pPr>
              <w:spacing w:line="266" w:lineRule="auto"/>
              <w:rPr>
                <w:rFonts w:ascii="Arial"/>
                <w:sz w:val="21"/>
              </w:rPr>
            </w:pPr>
          </w:p>
          <w:p w14:paraId="32A3051F">
            <w:pPr>
              <w:spacing w:line="267" w:lineRule="auto"/>
              <w:rPr>
                <w:rFonts w:ascii="Arial"/>
                <w:sz w:val="21"/>
              </w:rPr>
            </w:pPr>
          </w:p>
          <w:p w14:paraId="2D3B0D6F">
            <w:pPr>
              <w:pStyle w:val="6"/>
              <w:spacing w:before="65" w:line="290" w:lineRule="auto"/>
              <w:ind w:left="115" w:right="26" w:firstLine="420"/>
              <w:rPr>
                <w:sz w:val="20"/>
                <w:szCs w:val="20"/>
              </w:rPr>
            </w:pPr>
            <w:r>
              <w:rPr>
                <w:spacing w:val="9"/>
                <w:sz w:val="20"/>
                <w:szCs w:val="20"/>
              </w:rPr>
              <w:t>拆解的发动机、变</w:t>
            </w:r>
            <w:r>
              <w:rPr>
                <w:spacing w:val="6"/>
                <w:sz w:val="20"/>
                <w:szCs w:val="20"/>
              </w:rPr>
              <w:t xml:space="preserve"> </w:t>
            </w:r>
            <w:r>
              <w:rPr>
                <w:spacing w:val="9"/>
                <w:sz w:val="20"/>
                <w:szCs w:val="20"/>
              </w:rPr>
              <w:t>速箱总成、转向器、前</w:t>
            </w:r>
            <w:r>
              <w:rPr>
                <w:spacing w:val="8"/>
                <w:sz w:val="20"/>
                <w:szCs w:val="20"/>
              </w:rPr>
              <w:t xml:space="preserve"> </w:t>
            </w:r>
            <w:r>
              <w:rPr>
                <w:spacing w:val="-3"/>
                <w:sz w:val="20"/>
                <w:szCs w:val="20"/>
              </w:rPr>
              <w:t>后桥、机架、机身总成、</w:t>
            </w:r>
            <w:r>
              <w:rPr>
                <w:spacing w:val="2"/>
                <w:sz w:val="20"/>
                <w:szCs w:val="20"/>
              </w:rPr>
              <w:t xml:space="preserve"> </w:t>
            </w:r>
            <w:r>
              <w:rPr>
                <w:spacing w:val="11"/>
                <w:sz w:val="20"/>
                <w:szCs w:val="20"/>
              </w:rPr>
              <w:t>机架、机身和前后桥，</w:t>
            </w:r>
            <w:r>
              <w:rPr>
                <w:spacing w:val="5"/>
                <w:sz w:val="20"/>
                <w:szCs w:val="20"/>
              </w:rPr>
              <w:t xml:space="preserve"> </w:t>
            </w:r>
            <w:r>
              <w:rPr>
                <w:spacing w:val="7"/>
                <w:sz w:val="20"/>
                <w:szCs w:val="20"/>
              </w:rPr>
              <w:t>拆解后统一外售。</w:t>
            </w:r>
          </w:p>
          <w:p w14:paraId="03481A6C">
            <w:pPr>
              <w:pStyle w:val="6"/>
              <w:spacing w:before="31" w:line="291" w:lineRule="auto"/>
              <w:ind w:left="115" w:right="81" w:firstLine="420"/>
              <w:rPr>
                <w:sz w:val="20"/>
                <w:szCs w:val="20"/>
              </w:rPr>
            </w:pPr>
            <w:r>
              <w:rPr>
                <w:spacing w:val="9"/>
                <w:sz w:val="20"/>
                <w:szCs w:val="20"/>
              </w:rPr>
              <w:t>拆解后物料储存区</w:t>
            </w:r>
            <w:r>
              <w:rPr>
                <w:spacing w:val="6"/>
                <w:sz w:val="20"/>
                <w:szCs w:val="20"/>
              </w:rPr>
              <w:t xml:space="preserve"> </w:t>
            </w:r>
            <w:r>
              <w:rPr>
                <w:spacing w:val="9"/>
                <w:sz w:val="20"/>
                <w:szCs w:val="20"/>
              </w:rPr>
              <w:t>用于拆解后的物料分类</w:t>
            </w:r>
            <w:r>
              <w:rPr>
                <w:spacing w:val="8"/>
                <w:sz w:val="20"/>
                <w:szCs w:val="20"/>
              </w:rPr>
              <w:t xml:space="preserve"> </w:t>
            </w:r>
            <w:r>
              <w:rPr>
                <w:spacing w:val="10"/>
                <w:sz w:val="20"/>
                <w:szCs w:val="20"/>
              </w:rPr>
              <w:t>储存</w:t>
            </w:r>
            <w:r>
              <w:rPr>
                <w:color w:val="0000FF"/>
                <w:spacing w:val="10"/>
                <w:sz w:val="20"/>
                <w:szCs w:val="20"/>
              </w:rPr>
              <w:t>，</w:t>
            </w:r>
            <w:r>
              <w:rPr>
                <w:spacing w:val="10"/>
                <w:sz w:val="20"/>
                <w:szCs w:val="20"/>
              </w:rPr>
              <w:t>暂存拆解后的一</w:t>
            </w:r>
            <w:r>
              <w:rPr>
                <w:sz w:val="20"/>
                <w:szCs w:val="20"/>
              </w:rPr>
              <w:t xml:space="preserve"> </w:t>
            </w:r>
            <w:r>
              <w:rPr>
                <w:spacing w:val="9"/>
                <w:sz w:val="20"/>
                <w:szCs w:val="20"/>
              </w:rPr>
              <w:t>般固废废物，如电子电</w:t>
            </w:r>
            <w:r>
              <w:rPr>
                <w:spacing w:val="8"/>
                <w:sz w:val="20"/>
                <w:szCs w:val="20"/>
              </w:rPr>
              <w:t xml:space="preserve"> </w:t>
            </w:r>
            <w:r>
              <w:rPr>
                <w:spacing w:val="5"/>
                <w:sz w:val="20"/>
                <w:szCs w:val="20"/>
              </w:rPr>
              <w:t>器产品</w:t>
            </w:r>
            <w:r>
              <w:rPr>
                <w:rFonts w:ascii="Times New Roman" w:hAnsi="Times New Roman" w:eastAsia="Times New Roman" w:cs="Times New Roman"/>
                <w:spacing w:val="5"/>
                <w:sz w:val="20"/>
                <w:szCs w:val="20"/>
              </w:rPr>
              <w:t>/</w:t>
            </w:r>
            <w:r>
              <w:rPr>
                <w:spacing w:val="5"/>
                <w:sz w:val="20"/>
                <w:szCs w:val="20"/>
              </w:rPr>
              <w:t>元器件、玻璃、</w:t>
            </w:r>
            <w:r>
              <w:rPr>
                <w:spacing w:val="4"/>
                <w:sz w:val="20"/>
                <w:szCs w:val="20"/>
              </w:rPr>
              <w:t xml:space="preserve"> </w:t>
            </w:r>
            <w:r>
              <w:rPr>
                <w:spacing w:val="9"/>
                <w:sz w:val="20"/>
                <w:szCs w:val="20"/>
              </w:rPr>
              <w:t>废旧轮胎、塑料、密封</w:t>
            </w:r>
            <w:r>
              <w:rPr>
                <w:spacing w:val="8"/>
                <w:sz w:val="20"/>
                <w:szCs w:val="20"/>
              </w:rPr>
              <w:t xml:space="preserve"> 胶条、金属类拆解物。</w:t>
            </w:r>
          </w:p>
          <w:p w14:paraId="42DEDD71">
            <w:pPr>
              <w:pStyle w:val="6"/>
              <w:spacing w:before="32" w:line="293" w:lineRule="auto"/>
              <w:ind w:left="112" w:right="26" w:firstLine="422"/>
              <w:rPr>
                <w:sz w:val="20"/>
                <w:szCs w:val="20"/>
              </w:rPr>
            </w:pPr>
            <w:r>
              <w:rPr>
                <w:spacing w:val="10"/>
                <w:sz w:val="20"/>
                <w:szCs w:val="20"/>
              </w:rPr>
              <w:t>在拆解车间南侧设</w:t>
            </w:r>
            <w:r>
              <w:rPr>
                <w:sz w:val="20"/>
                <w:szCs w:val="20"/>
              </w:rPr>
              <w:t xml:space="preserve"> </w:t>
            </w:r>
            <w:r>
              <w:rPr>
                <w:spacing w:val="9"/>
                <w:sz w:val="20"/>
                <w:szCs w:val="20"/>
              </w:rPr>
              <w:t>置</w:t>
            </w:r>
            <w:r>
              <w:rPr>
                <w:rFonts w:ascii="Times New Roman" w:hAnsi="Times New Roman" w:eastAsia="Times New Roman" w:cs="Times New Roman"/>
                <w:spacing w:val="9"/>
                <w:sz w:val="20"/>
                <w:szCs w:val="20"/>
              </w:rPr>
              <w:t>60</w:t>
            </w:r>
            <w:r>
              <w:rPr>
                <w:spacing w:val="9"/>
                <w:sz w:val="20"/>
                <w:szCs w:val="20"/>
              </w:rPr>
              <w:t>㎡的危险废物贮存</w:t>
            </w:r>
            <w:r>
              <w:rPr>
                <w:spacing w:val="2"/>
                <w:sz w:val="20"/>
                <w:szCs w:val="20"/>
              </w:rPr>
              <w:t xml:space="preserve"> </w:t>
            </w:r>
            <w:r>
              <w:rPr>
                <w:spacing w:val="-3"/>
                <w:sz w:val="20"/>
                <w:szCs w:val="20"/>
              </w:rPr>
              <w:t>库，用于暂存废蓄电池、</w:t>
            </w:r>
            <w:r>
              <w:rPr>
                <w:spacing w:val="5"/>
                <w:sz w:val="20"/>
                <w:szCs w:val="20"/>
              </w:rPr>
              <w:t xml:space="preserve"> </w:t>
            </w:r>
            <w:r>
              <w:rPr>
                <w:spacing w:val="10"/>
                <w:sz w:val="20"/>
                <w:szCs w:val="20"/>
              </w:rPr>
              <w:t>废矿物油等危险品。分</w:t>
            </w:r>
            <w:r>
              <w:rPr>
                <w:spacing w:val="1"/>
                <w:sz w:val="20"/>
                <w:szCs w:val="20"/>
              </w:rPr>
              <w:t xml:space="preserve"> </w:t>
            </w:r>
            <w:r>
              <w:rPr>
                <w:sz w:val="20"/>
                <w:szCs w:val="20"/>
              </w:rPr>
              <w:t>为</w:t>
            </w:r>
            <w:r>
              <w:rPr>
                <w:rFonts w:ascii="Times New Roman" w:hAnsi="Times New Roman" w:eastAsia="Times New Roman" w:cs="Times New Roman"/>
                <w:sz w:val="20"/>
                <w:szCs w:val="20"/>
              </w:rPr>
              <w:t>3</w:t>
            </w:r>
            <w:r>
              <w:rPr>
                <w:sz w:val="20"/>
                <w:szCs w:val="20"/>
              </w:rPr>
              <w:t>个区，</w:t>
            </w:r>
            <w:r>
              <w:rPr>
                <w:rFonts w:ascii="Times New Roman" w:hAnsi="Times New Roman" w:eastAsia="Times New Roman" w:cs="Times New Roman"/>
                <w:sz w:val="20"/>
                <w:szCs w:val="20"/>
              </w:rPr>
              <w:t>1#</w:t>
            </w:r>
            <w:r>
              <w:rPr>
                <w:sz w:val="20"/>
                <w:szCs w:val="20"/>
              </w:rPr>
              <w:t>其他危险废</w:t>
            </w:r>
            <w:r>
              <w:rPr>
                <w:spacing w:val="1"/>
                <w:sz w:val="20"/>
                <w:szCs w:val="20"/>
              </w:rPr>
              <w:t xml:space="preserve"> </w:t>
            </w:r>
            <w:r>
              <w:rPr>
                <w:spacing w:val="5"/>
                <w:sz w:val="20"/>
                <w:szCs w:val="20"/>
              </w:rPr>
              <w:t>物暂存区</w:t>
            </w:r>
            <w:r>
              <w:rPr>
                <w:rFonts w:ascii="Times New Roman" w:hAnsi="Times New Roman" w:eastAsia="Times New Roman" w:cs="Times New Roman"/>
                <w:spacing w:val="5"/>
                <w:sz w:val="20"/>
                <w:szCs w:val="20"/>
              </w:rPr>
              <w:t>20</w:t>
            </w:r>
            <w:r>
              <w:rPr>
                <w:spacing w:val="5"/>
                <w:sz w:val="20"/>
                <w:szCs w:val="20"/>
              </w:rPr>
              <w:t>㎡</w:t>
            </w:r>
            <w:r>
              <w:rPr>
                <w:spacing w:val="-54"/>
                <w:sz w:val="20"/>
                <w:szCs w:val="20"/>
              </w:rPr>
              <w:t xml:space="preserve"> </w:t>
            </w:r>
            <w:r>
              <w:rPr>
                <w:spacing w:val="5"/>
                <w:sz w:val="20"/>
                <w:szCs w:val="20"/>
              </w:rPr>
              <w:t>，用于储</w:t>
            </w:r>
            <w:r>
              <w:rPr>
                <w:sz w:val="20"/>
                <w:szCs w:val="20"/>
              </w:rPr>
              <w:t xml:space="preserve"> </w:t>
            </w:r>
            <w:r>
              <w:rPr>
                <w:spacing w:val="11"/>
                <w:sz w:val="20"/>
                <w:szCs w:val="20"/>
              </w:rPr>
              <w:t>存燃料箱、液压油管、</w:t>
            </w:r>
            <w:r>
              <w:rPr>
                <w:spacing w:val="5"/>
                <w:sz w:val="20"/>
                <w:szCs w:val="20"/>
              </w:rPr>
              <w:t xml:space="preserve"> </w:t>
            </w:r>
            <w:r>
              <w:rPr>
                <w:spacing w:val="10"/>
                <w:sz w:val="20"/>
                <w:szCs w:val="20"/>
              </w:rPr>
              <w:t>催化器、废活性碳、含</w:t>
            </w:r>
            <w:r>
              <w:rPr>
                <w:spacing w:val="1"/>
                <w:sz w:val="20"/>
                <w:szCs w:val="20"/>
              </w:rPr>
              <w:t xml:space="preserve"> </w:t>
            </w:r>
            <w:r>
              <w:rPr>
                <w:spacing w:val="-3"/>
                <w:sz w:val="20"/>
                <w:szCs w:val="20"/>
              </w:rPr>
              <w:t>油抹布、拖布和手套等；</w:t>
            </w:r>
            <w:r>
              <w:rPr>
                <w:spacing w:val="5"/>
                <w:sz w:val="20"/>
                <w:szCs w:val="20"/>
              </w:rPr>
              <w:t xml:space="preserve"> </w:t>
            </w:r>
            <w:r>
              <w:rPr>
                <w:rFonts w:ascii="Times New Roman" w:hAnsi="Times New Roman" w:eastAsia="Times New Roman" w:cs="Times New Roman"/>
                <w:spacing w:val="11"/>
                <w:sz w:val="20"/>
                <w:szCs w:val="20"/>
              </w:rPr>
              <w:t>2#</w:t>
            </w:r>
            <w:r>
              <w:rPr>
                <w:rFonts w:ascii="Times New Roman" w:hAnsi="Times New Roman" w:eastAsia="Times New Roman" w:cs="Times New Roman"/>
                <w:spacing w:val="-7"/>
                <w:sz w:val="20"/>
                <w:szCs w:val="20"/>
              </w:rPr>
              <w:t xml:space="preserve"> </w:t>
            </w:r>
            <w:r>
              <w:rPr>
                <w:spacing w:val="11"/>
                <w:sz w:val="20"/>
                <w:szCs w:val="20"/>
              </w:rPr>
              <w:t>废</w:t>
            </w:r>
            <w:r>
              <w:rPr>
                <w:spacing w:val="-54"/>
                <w:sz w:val="20"/>
                <w:szCs w:val="20"/>
              </w:rPr>
              <w:t xml:space="preserve"> </w:t>
            </w:r>
            <w:r>
              <w:rPr>
                <w:spacing w:val="11"/>
                <w:sz w:val="20"/>
                <w:szCs w:val="20"/>
              </w:rPr>
              <w:t>蓄电池</w:t>
            </w:r>
            <w:r>
              <w:rPr>
                <w:spacing w:val="-60"/>
                <w:sz w:val="20"/>
                <w:szCs w:val="20"/>
              </w:rPr>
              <w:t xml:space="preserve"> </w:t>
            </w:r>
            <w:r>
              <w:rPr>
                <w:spacing w:val="11"/>
                <w:sz w:val="20"/>
                <w:szCs w:val="20"/>
              </w:rPr>
              <w:t>暂存</w:t>
            </w:r>
            <w:r>
              <w:rPr>
                <w:spacing w:val="-47"/>
                <w:sz w:val="20"/>
                <w:szCs w:val="20"/>
              </w:rPr>
              <w:t xml:space="preserve"> </w:t>
            </w:r>
            <w:r>
              <w:rPr>
                <w:spacing w:val="11"/>
                <w:sz w:val="20"/>
                <w:szCs w:val="20"/>
              </w:rPr>
              <w:t>区</w:t>
            </w:r>
            <w:r>
              <w:rPr>
                <w:rFonts w:ascii="Times New Roman" w:hAnsi="Times New Roman" w:eastAsia="Times New Roman" w:cs="Times New Roman"/>
                <w:spacing w:val="11"/>
                <w:sz w:val="20"/>
                <w:szCs w:val="20"/>
              </w:rPr>
              <w:t>20</w:t>
            </w:r>
            <w:r>
              <w:rPr>
                <w:rFonts w:ascii="Times New Roman" w:hAnsi="Times New Roman" w:eastAsia="Times New Roman" w:cs="Times New Roman"/>
                <w:sz w:val="20"/>
                <w:szCs w:val="20"/>
              </w:rPr>
              <w:t xml:space="preserve">  </w:t>
            </w:r>
            <w:r>
              <w:rPr>
                <w:spacing w:val="-3"/>
                <w:sz w:val="20"/>
                <w:szCs w:val="20"/>
              </w:rPr>
              <w:t>㎡，用于储存废蓄电池；</w:t>
            </w:r>
            <w:r>
              <w:rPr>
                <w:spacing w:val="5"/>
                <w:sz w:val="20"/>
                <w:szCs w:val="20"/>
              </w:rPr>
              <w:t xml:space="preserve"> </w:t>
            </w:r>
            <w:r>
              <w:rPr>
                <w:rFonts w:ascii="Times New Roman" w:hAnsi="Times New Roman" w:eastAsia="Times New Roman" w:cs="Times New Roman"/>
                <w:spacing w:val="12"/>
                <w:sz w:val="20"/>
                <w:szCs w:val="20"/>
              </w:rPr>
              <w:t>3#</w:t>
            </w:r>
            <w:r>
              <w:rPr>
                <w:rFonts w:ascii="Times New Roman" w:hAnsi="Times New Roman" w:eastAsia="Times New Roman" w:cs="Times New Roman"/>
                <w:spacing w:val="-13"/>
                <w:sz w:val="20"/>
                <w:szCs w:val="20"/>
              </w:rPr>
              <w:t xml:space="preserve"> </w:t>
            </w:r>
            <w:r>
              <w:rPr>
                <w:spacing w:val="12"/>
                <w:sz w:val="20"/>
                <w:szCs w:val="20"/>
              </w:rPr>
              <w:t>废矿物</w:t>
            </w:r>
            <w:r>
              <w:rPr>
                <w:spacing w:val="-59"/>
                <w:sz w:val="20"/>
                <w:szCs w:val="20"/>
              </w:rPr>
              <w:t xml:space="preserve"> </w:t>
            </w:r>
            <w:r>
              <w:rPr>
                <w:spacing w:val="12"/>
                <w:sz w:val="20"/>
                <w:szCs w:val="20"/>
              </w:rPr>
              <w:t>油</w:t>
            </w:r>
            <w:r>
              <w:rPr>
                <w:spacing w:val="-60"/>
                <w:sz w:val="20"/>
                <w:szCs w:val="20"/>
              </w:rPr>
              <w:t xml:space="preserve"> </w:t>
            </w:r>
            <w:r>
              <w:rPr>
                <w:spacing w:val="12"/>
                <w:sz w:val="20"/>
                <w:szCs w:val="20"/>
              </w:rPr>
              <w:t>暂存</w:t>
            </w:r>
            <w:r>
              <w:rPr>
                <w:spacing w:val="-47"/>
                <w:sz w:val="20"/>
                <w:szCs w:val="20"/>
              </w:rPr>
              <w:t xml:space="preserve"> </w:t>
            </w:r>
            <w:r>
              <w:rPr>
                <w:spacing w:val="12"/>
                <w:sz w:val="20"/>
                <w:szCs w:val="20"/>
              </w:rPr>
              <w:t>区</w:t>
            </w:r>
            <w:r>
              <w:rPr>
                <w:rFonts w:ascii="Times New Roman" w:hAnsi="Times New Roman" w:eastAsia="Times New Roman" w:cs="Times New Roman"/>
                <w:spacing w:val="12"/>
                <w:sz w:val="20"/>
                <w:szCs w:val="20"/>
              </w:rPr>
              <w:t>20</w:t>
            </w:r>
            <w:r>
              <w:rPr>
                <w:rFonts w:ascii="Times New Roman" w:hAnsi="Times New Roman" w:eastAsia="Times New Roman" w:cs="Times New Roman"/>
                <w:sz w:val="20"/>
                <w:szCs w:val="20"/>
              </w:rPr>
              <w:t xml:space="preserve">  </w:t>
            </w:r>
            <w:r>
              <w:rPr>
                <w:spacing w:val="-3"/>
                <w:sz w:val="20"/>
                <w:szCs w:val="20"/>
              </w:rPr>
              <w:t>㎡，用于储存废矿物油。</w:t>
            </w:r>
          </w:p>
        </w:tc>
        <w:tc>
          <w:tcPr>
            <w:tcW w:w="1145" w:type="dxa"/>
            <w:vMerge w:val="continue"/>
            <w:tcBorders>
              <w:top w:val="nil"/>
              <w:bottom w:val="single" w:color="000000" w:sz="10" w:space="0"/>
              <w:right w:val="single" w:color="000000" w:sz="10" w:space="0"/>
            </w:tcBorders>
            <w:vAlign w:val="top"/>
          </w:tcPr>
          <w:p w14:paraId="2FD15FA6">
            <w:pPr>
              <w:rPr>
                <w:rFonts w:ascii="Arial"/>
                <w:sz w:val="21"/>
              </w:rPr>
            </w:pPr>
          </w:p>
        </w:tc>
      </w:tr>
    </w:tbl>
    <w:p w14:paraId="665A3611">
      <w:pPr>
        <w:pStyle w:val="2"/>
        <w:spacing w:line="169" w:lineRule="exact"/>
        <w:rPr>
          <w:sz w:val="14"/>
        </w:rPr>
      </w:pPr>
    </w:p>
    <w:p w14:paraId="73710AD5">
      <w:pPr>
        <w:spacing w:line="169" w:lineRule="exact"/>
        <w:rPr>
          <w:sz w:val="14"/>
          <w:szCs w:val="14"/>
        </w:rPr>
        <w:sectPr>
          <w:footerReference r:id="rId21" w:type="default"/>
          <w:pgSz w:w="11906" w:h="16839"/>
          <w:pgMar w:top="1270" w:right="1479" w:bottom="1261"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1FFEFD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1" w:hRule="atLeast"/>
        </w:trPr>
        <w:tc>
          <w:tcPr>
            <w:tcW w:w="494" w:type="dxa"/>
            <w:vMerge w:val="restart"/>
            <w:tcBorders>
              <w:top w:val="single" w:color="000000" w:sz="10" w:space="0"/>
              <w:left w:val="single" w:color="000000" w:sz="10" w:space="0"/>
              <w:bottom w:val="nil"/>
            </w:tcBorders>
            <w:vAlign w:val="top"/>
          </w:tcPr>
          <w:p w14:paraId="74EEB7BE">
            <w:pPr>
              <w:rPr>
                <w:rFonts w:ascii="Arial"/>
                <w:sz w:val="21"/>
              </w:rPr>
            </w:pPr>
          </w:p>
        </w:tc>
        <w:tc>
          <w:tcPr>
            <w:tcW w:w="547" w:type="dxa"/>
            <w:vMerge w:val="restart"/>
            <w:tcBorders>
              <w:top w:val="single" w:color="000000" w:sz="10" w:space="0"/>
              <w:bottom w:val="nil"/>
            </w:tcBorders>
            <w:vAlign w:val="top"/>
          </w:tcPr>
          <w:p w14:paraId="37D1CE2D">
            <w:pPr>
              <w:spacing w:line="244" w:lineRule="auto"/>
              <w:rPr>
                <w:rFonts w:ascii="Arial"/>
                <w:sz w:val="21"/>
              </w:rPr>
            </w:pPr>
          </w:p>
          <w:p w14:paraId="3F30BE6A">
            <w:pPr>
              <w:spacing w:line="244" w:lineRule="auto"/>
              <w:rPr>
                <w:rFonts w:ascii="Arial"/>
                <w:sz w:val="21"/>
              </w:rPr>
            </w:pPr>
          </w:p>
          <w:p w14:paraId="0E839046">
            <w:pPr>
              <w:spacing w:line="244" w:lineRule="auto"/>
              <w:rPr>
                <w:rFonts w:ascii="Arial"/>
                <w:sz w:val="21"/>
              </w:rPr>
            </w:pPr>
          </w:p>
          <w:p w14:paraId="06741D50">
            <w:pPr>
              <w:spacing w:line="244" w:lineRule="auto"/>
              <w:rPr>
                <w:rFonts w:ascii="Arial"/>
                <w:sz w:val="21"/>
              </w:rPr>
            </w:pPr>
          </w:p>
          <w:p w14:paraId="7E8444C4">
            <w:pPr>
              <w:spacing w:line="244" w:lineRule="auto"/>
              <w:rPr>
                <w:rFonts w:ascii="Arial"/>
                <w:sz w:val="21"/>
              </w:rPr>
            </w:pPr>
          </w:p>
          <w:p w14:paraId="3F7EA4B8">
            <w:pPr>
              <w:spacing w:line="244" w:lineRule="auto"/>
              <w:rPr>
                <w:rFonts w:ascii="Arial"/>
                <w:sz w:val="21"/>
              </w:rPr>
            </w:pPr>
          </w:p>
          <w:p w14:paraId="43A28DD0">
            <w:pPr>
              <w:spacing w:line="244" w:lineRule="auto"/>
              <w:rPr>
                <w:rFonts w:ascii="Arial"/>
                <w:sz w:val="21"/>
              </w:rPr>
            </w:pPr>
          </w:p>
          <w:p w14:paraId="3817C408">
            <w:pPr>
              <w:spacing w:line="244" w:lineRule="auto"/>
              <w:rPr>
                <w:rFonts w:ascii="Arial"/>
                <w:sz w:val="21"/>
              </w:rPr>
            </w:pPr>
          </w:p>
          <w:p w14:paraId="563B0ADC">
            <w:pPr>
              <w:spacing w:line="244" w:lineRule="auto"/>
              <w:rPr>
                <w:rFonts w:ascii="Arial"/>
                <w:sz w:val="21"/>
              </w:rPr>
            </w:pPr>
          </w:p>
          <w:p w14:paraId="5BB82B49">
            <w:pPr>
              <w:spacing w:line="244" w:lineRule="auto"/>
              <w:rPr>
                <w:rFonts w:ascii="Arial"/>
                <w:sz w:val="21"/>
              </w:rPr>
            </w:pPr>
          </w:p>
          <w:p w14:paraId="01510615">
            <w:pPr>
              <w:spacing w:line="244" w:lineRule="auto"/>
              <w:rPr>
                <w:rFonts w:ascii="Arial"/>
                <w:sz w:val="21"/>
              </w:rPr>
            </w:pPr>
          </w:p>
          <w:p w14:paraId="660CE0BF">
            <w:pPr>
              <w:spacing w:line="244" w:lineRule="auto"/>
              <w:rPr>
                <w:rFonts w:ascii="Arial"/>
                <w:sz w:val="21"/>
              </w:rPr>
            </w:pPr>
          </w:p>
          <w:p w14:paraId="0C573954">
            <w:pPr>
              <w:spacing w:line="244" w:lineRule="auto"/>
              <w:rPr>
                <w:rFonts w:ascii="Arial"/>
                <w:sz w:val="21"/>
              </w:rPr>
            </w:pPr>
          </w:p>
          <w:p w14:paraId="72FC32D1">
            <w:pPr>
              <w:spacing w:line="244" w:lineRule="auto"/>
              <w:rPr>
                <w:rFonts w:ascii="Arial"/>
                <w:sz w:val="21"/>
              </w:rPr>
            </w:pPr>
          </w:p>
          <w:p w14:paraId="3B18C4E1">
            <w:pPr>
              <w:spacing w:line="244" w:lineRule="auto"/>
              <w:rPr>
                <w:rFonts w:ascii="Arial"/>
                <w:sz w:val="21"/>
              </w:rPr>
            </w:pPr>
          </w:p>
          <w:p w14:paraId="34344E07">
            <w:pPr>
              <w:spacing w:line="244" w:lineRule="auto"/>
              <w:rPr>
                <w:rFonts w:ascii="Arial"/>
                <w:sz w:val="21"/>
              </w:rPr>
            </w:pPr>
          </w:p>
          <w:p w14:paraId="162A6D74">
            <w:pPr>
              <w:spacing w:line="244" w:lineRule="auto"/>
              <w:rPr>
                <w:rFonts w:ascii="Arial"/>
                <w:sz w:val="21"/>
              </w:rPr>
            </w:pPr>
          </w:p>
          <w:p w14:paraId="364C0973">
            <w:pPr>
              <w:spacing w:line="244" w:lineRule="auto"/>
              <w:rPr>
                <w:rFonts w:ascii="Arial"/>
                <w:sz w:val="21"/>
              </w:rPr>
            </w:pPr>
          </w:p>
          <w:p w14:paraId="26E76E25">
            <w:pPr>
              <w:spacing w:line="244" w:lineRule="auto"/>
              <w:rPr>
                <w:rFonts w:ascii="Arial"/>
                <w:sz w:val="21"/>
              </w:rPr>
            </w:pPr>
          </w:p>
          <w:p w14:paraId="5C1B995A">
            <w:pPr>
              <w:spacing w:line="244" w:lineRule="auto"/>
              <w:rPr>
                <w:rFonts w:ascii="Arial"/>
                <w:sz w:val="21"/>
              </w:rPr>
            </w:pPr>
          </w:p>
          <w:p w14:paraId="06E478B9">
            <w:pPr>
              <w:spacing w:line="244" w:lineRule="auto"/>
              <w:rPr>
                <w:rFonts w:ascii="Arial"/>
                <w:sz w:val="21"/>
              </w:rPr>
            </w:pPr>
          </w:p>
          <w:p w14:paraId="3D4BD360">
            <w:pPr>
              <w:spacing w:line="244" w:lineRule="auto"/>
              <w:rPr>
                <w:rFonts w:ascii="Arial"/>
                <w:sz w:val="21"/>
              </w:rPr>
            </w:pPr>
          </w:p>
          <w:p w14:paraId="71E28A8E">
            <w:pPr>
              <w:spacing w:line="244" w:lineRule="auto"/>
              <w:rPr>
                <w:rFonts w:ascii="Arial"/>
                <w:sz w:val="21"/>
              </w:rPr>
            </w:pPr>
          </w:p>
          <w:p w14:paraId="4051AE66">
            <w:pPr>
              <w:spacing w:line="245" w:lineRule="auto"/>
              <w:rPr>
                <w:rFonts w:ascii="Arial"/>
                <w:sz w:val="21"/>
              </w:rPr>
            </w:pPr>
          </w:p>
          <w:p w14:paraId="5719D3A0">
            <w:pPr>
              <w:spacing w:line="245" w:lineRule="auto"/>
              <w:rPr>
                <w:rFonts w:ascii="Arial"/>
                <w:sz w:val="21"/>
              </w:rPr>
            </w:pPr>
          </w:p>
          <w:p w14:paraId="647D3D56">
            <w:pPr>
              <w:spacing w:line="245" w:lineRule="auto"/>
              <w:rPr>
                <w:rFonts w:ascii="Arial"/>
                <w:sz w:val="21"/>
              </w:rPr>
            </w:pPr>
          </w:p>
          <w:p w14:paraId="0397676D">
            <w:pPr>
              <w:spacing w:line="245" w:lineRule="auto"/>
              <w:rPr>
                <w:rFonts w:ascii="Arial"/>
                <w:sz w:val="21"/>
              </w:rPr>
            </w:pPr>
          </w:p>
          <w:p w14:paraId="0A95B7B2">
            <w:pPr>
              <w:spacing w:line="245" w:lineRule="auto"/>
              <w:rPr>
                <w:rFonts w:ascii="Arial"/>
                <w:sz w:val="21"/>
              </w:rPr>
            </w:pPr>
          </w:p>
          <w:p w14:paraId="0F30617A">
            <w:pPr>
              <w:spacing w:line="245" w:lineRule="auto"/>
              <w:rPr>
                <w:rFonts w:ascii="Arial"/>
                <w:sz w:val="21"/>
              </w:rPr>
            </w:pPr>
          </w:p>
          <w:p w14:paraId="4E27EEC2">
            <w:pPr>
              <w:spacing w:line="245" w:lineRule="auto"/>
              <w:rPr>
                <w:rFonts w:ascii="Arial"/>
                <w:sz w:val="21"/>
              </w:rPr>
            </w:pPr>
          </w:p>
          <w:p w14:paraId="357723A3">
            <w:pPr>
              <w:spacing w:line="245" w:lineRule="auto"/>
              <w:rPr>
                <w:rFonts w:ascii="Arial"/>
                <w:sz w:val="21"/>
              </w:rPr>
            </w:pPr>
          </w:p>
          <w:p w14:paraId="4C9CDBF3">
            <w:pPr>
              <w:spacing w:line="245" w:lineRule="auto"/>
              <w:rPr>
                <w:rFonts w:ascii="Arial"/>
                <w:sz w:val="21"/>
              </w:rPr>
            </w:pPr>
          </w:p>
          <w:p w14:paraId="09CE2BCB">
            <w:pPr>
              <w:spacing w:line="245" w:lineRule="auto"/>
              <w:rPr>
                <w:rFonts w:ascii="Arial"/>
                <w:sz w:val="21"/>
              </w:rPr>
            </w:pPr>
          </w:p>
          <w:p w14:paraId="53A1B522">
            <w:pPr>
              <w:spacing w:line="245" w:lineRule="auto"/>
              <w:rPr>
                <w:rFonts w:ascii="Arial"/>
                <w:sz w:val="21"/>
              </w:rPr>
            </w:pPr>
          </w:p>
          <w:p w14:paraId="2F0A679F">
            <w:pPr>
              <w:spacing w:line="245" w:lineRule="auto"/>
              <w:rPr>
                <w:rFonts w:ascii="Arial"/>
                <w:sz w:val="21"/>
              </w:rPr>
            </w:pPr>
          </w:p>
          <w:p w14:paraId="56392053">
            <w:pPr>
              <w:spacing w:line="245" w:lineRule="auto"/>
              <w:rPr>
                <w:rFonts w:ascii="Arial"/>
                <w:sz w:val="21"/>
              </w:rPr>
            </w:pPr>
          </w:p>
          <w:p w14:paraId="33DF4B76">
            <w:pPr>
              <w:spacing w:line="245" w:lineRule="auto"/>
              <w:rPr>
                <w:rFonts w:ascii="Arial"/>
                <w:sz w:val="21"/>
              </w:rPr>
            </w:pPr>
          </w:p>
          <w:p w14:paraId="3B5380AF">
            <w:pPr>
              <w:spacing w:line="245" w:lineRule="auto"/>
              <w:rPr>
                <w:rFonts w:ascii="Arial"/>
                <w:sz w:val="21"/>
              </w:rPr>
            </w:pPr>
          </w:p>
          <w:p w14:paraId="1BF0AFC1">
            <w:pPr>
              <w:spacing w:line="245" w:lineRule="auto"/>
              <w:rPr>
                <w:rFonts w:ascii="Arial"/>
                <w:sz w:val="21"/>
              </w:rPr>
            </w:pPr>
          </w:p>
          <w:p w14:paraId="6ABC91AC">
            <w:pPr>
              <w:spacing w:line="245" w:lineRule="auto"/>
              <w:rPr>
                <w:rFonts w:ascii="Arial"/>
                <w:sz w:val="21"/>
              </w:rPr>
            </w:pPr>
          </w:p>
          <w:p w14:paraId="1E6B2DD6">
            <w:pPr>
              <w:spacing w:line="245" w:lineRule="auto"/>
              <w:rPr>
                <w:rFonts w:ascii="Arial"/>
                <w:sz w:val="21"/>
              </w:rPr>
            </w:pPr>
          </w:p>
          <w:p w14:paraId="63F12624">
            <w:pPr>
              <w:spacing w:line="245" w:lineRule="auto"/>
              <w:rPr>
                <w:rFonts w:ascii="Arial"/>
                <w:sz w:val="21"/>
              </w:rPr>
            </w:pPr>
          </w:p>
          <w:p w14:paraId="04101CEF">
            <w:pPr>
              <w:spacing w:line="245" w:lineRule="auto"/>
              <w:rPr>
                <w:rFonts w:ascii="Arial"/>
                <w:sz w:val="21"/>
              </w:rPr>
            </w:pPr>
          </w:p>
          <w:p w14:paraId="0ACAAF08">
            <w:pPr>
              <w:spacing w:before="57" w:line="195" w:lineRule="auto"/>
              <w:ind w:left="26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436" w:type="dxa"/>
            <w:vMerge w:val="restart"/>
            <w:tcBorders>
              <w:top w:val="single" w:color="000000" w:sz="10" w:space="0"/>
              <w:bottom w:val="nil"/>
            </w:tcBorders>
            <w:vAlign w:val="top"/>
          </w:tcPr>
          <w:p w14:paraId="382BE8A8">
            <w:pPr>
              <w:rPr>
                <w:rFonts w:ascii="Arial"/>
                <w:sz w:val="21"/>
              </w:rPr>
            </w:pPr>
          </w:p>
        </w:tc>
        <w:tc>
          <w:tcPr>
            <w:tcW w:w="560" w:type="dxa"/>
            <w:tcBorders>
              <w:top w:val="single" w:color="000000" w:sz="10" w:space="0"/>
            </w:tcBorders>
            <w:vAlign w:val="top"/>
          </w:tcPr>
          <w:p w14:paraId="06582047">
            <w:pPr>
              <w:rPr>
                <w:rFonts w:ascii="Arial"/>
                <w:sz w:val="21"/>
              </w:rPr>
            </w:pPr>
          </w:p>
        </w:tc>
        <w:tc>
          <w:tcPr>
            <w:tcW w:w="3422" w:type="dxa"/>
            <w:tcBorders>
              <w:top w:val="single" w:color="000000" w:sz="10" w:space="0"/>
            </w:tcBorders>
            <w:vAlign w:val="top"/>
          </w:tcPr>
          <w:p w14:paraId="3BDCACB8">
            <w:pPr>
              <w:pStyle w:val="6"/>
              <w:spacing w:before="45" w:line="228" w:lineRule="auto"/>
              <w:ind w:left="112"/>
              <w:rPr>
                <w:sz w:val="20"/>
                <w:szCs w:val="20"/>
              </w:rPr>
            </w:pPr>
            <w:r>
              <w:rPr>
                <w:spacing w:val="3"/>
                <w:sz w:val="20"/>
                <w:szCs w:val="20"/>
              </w:rPr>
              <w:t>切断。</w:t>
            </w:r>
          </w:p>
          <w:p w14:paraId="194B3F82">
            <w:pPr>
              <w:pStyle w:val="6"/>
              <w:spacing w:before="72" w:line="251" w:lineRule="auto"/>
              <w:ind w:left="120" w:right="109" w:firstLine="477"/>
              <w:rPr>
                <w:sz w:val="20"/>
                <w:szCs w:val="20"/>
              </w:rPr>
            </w:pPr>
            <w:r>
              <w:fldChar w:fldCharType="begin"/>
            </w:r>
            <w:r>
              <w:instrText xml:space="preserve"> HYPERLINK "6.5.2.3" </w:instrText>
            </w:r>
            <w:r>
              <w:fldChar w:fldCharType="separate"/>
            </w:r>
            <w:r>
              <w:rPr>
                <w:rFonts w:ascii="Calibri" w:hAnsi="Calibri" w:eastAsia="Calibri" w:cs="Calibri"/>
                <w:spacing w:val="2"/>
              </w:rPr>
              <w:t>6.5.2.3</w:t>
            </w:r>
            <w:r>
              <w:rPr>
                <w:rFonts w:ascii="Calibri" w:hAnsi="Calibri" w:eastAsia="Calibri" w:cs="Calibri"/>
                <w:spacing w:val="2"/>
              </w:rPr>
              <w:fldChar w:fldCharType="end"/>
            </w:r>
            <w:r>
              <w:rPr>
                <w:spacing w:val="2"/>
                <w:sz w:val="20"/>
                <w:szCs w:val="20"/>
              </w:rPr>
              <w:t>机架、机身：可选择如</w:t>
            </w:r>
            <w:r>
              <w:rPr>
                <w:spacing w:val="5"/>
                <w:sz w:val="20"/>
                <w:szCs w:val="20"/>
              </w:rPr>
              <w:t xml:space="preserve"> </w:t>
            </w:r>
            <w:r>
              <w:rPr>
                <w:spacing w:val="7"/>
                <w:sz w:val="20"/>
                <w:szCs w:val="20"/>
              </w:rPr>
              <w:t>下任何一种处理方式进行：</w:t>
            </w:r>
          </w:p>
          <w:p w14:paraId="4204FA96">
            <w:pPr>
              <w:pStyle w:val="6"/>
              <w:spacing w:before="37" w:line="277" w:lineRule="auto"/>
              <w:ind w:left="112" w:right="109" w:firstLine="420"/>
              <w:rPr>
                <w:sz w:val="20"/>
                <w:szCs w:val="20"/>
              </w:rPr>
            </w:pPr>
            <w:r>
              <w:rPr>
                <w:rFonts w:ascii="Times New Roman" w:hAnsi="Times New Roman" w:eastAsia="Times New Roman" w:cs="Times New Roman"/>
                <w:spacing w:val="6"/>
                <w:sz w:val="20"/>
                <w:szCs w:val="20"/>
              </w:rPr>
              <w:t>a</w:t>
            </w:r>
            <w:r>
              <w:rPr>
                <w:spacing w:val="6"/>
                <w:sz w:val="20"/>
                <w:szCs w:val="20"/>
              </w:rPr>
              <w:t>）有机架的报废农业机械，在</w:t>
            </w:r>
            <w:r>
              <w:rPr>
                <w:sz w:val="20"/>
                <w:szCs w:val="20"/>
              </w:rPr>
              <w:t xml:space="preserve"> </w:t>
            </w:r>
            <w:r>
              <w:rPr>
                <w:spacing w:val="8"/>
                <w:sz w:val="20"/>
                <w:szCs w:val="20"/>
              </w:rPr>
              <w:t>机架的右前、左后的纵梁</w:t>
            </w:r>
            <w:r>
              <w:rPr>
                <w:rFonts w:ascii="Times New Roman" w:hAnsi="Times New Roman" w:eastAsia="Times New Roman" w:cs="Times New Roman"/>
                <w:spacing w:val="8"/>
                <w:sz w:val="20"/>
                <w:szCs w:val="20"/>
              </w:rPr>
              <w:t>1/3</w:t>
            </w:r>
            <w:r>
              <w:rPr>
                <w:spacing w:val="8"/>
                <w:sz w:val="20"/>
                <w:szCs w:val="20"/>
              </w:rPr>
              <w:t>处切割</w:t>
            </w:r>
            <w:r>
              <w:rPr>
                <w:spacing w:val="1"/>
                <w:sz w:val="20"/>
                <w:szCs w:val="20"/>
              </w:rPr>
              <w:t xml:space="preserve"> </w:t>
            </w:r>
            <w:r>
              <w:rPr>
                <w:spacing w:val="5"/>
                <w:sz w:val="20"/>
                <w:szCs w:val="20"/>
              </w:rPr>
              <w:t>下</w:t>
            </w:r>
            <w:r>
              <w:rPr>
                <w:rFonts w:ascii="Times New Roman" w:hAnsi="Times New Roman" w:eastAsia="Times New Roman" w:cs="Times New Roman"/>
                <w:spacing w:val="5"/>
                <w:sz w:val="20"/>
                <w:szCs w:val="20"/>
              </w:rPr>
              <w:t>200</w:t>
            </w:r>
            <w:r>
              <w:rPr>
                <w:rFonts w:ascii="Times New Roman" w:hAnsi="Times New Roman" w:eastAsia="Times New Roman" w:cs="Times New Roman"/>
                <w:sz w:val="20"/>
                <w:szCs w:val="20"/>
              </w:rPr>
              <w:t>mm</w:t>
            </w:r>
            <w:r>
              <w:rPr>
                <w:spacing w:val="5"/>
                <w:sz w:val="20"/>
                <w:szCs w:val="20"/>
              </w:rPr>
              <w:t>；</w:t>
            </w:r>
            <w:r>
              <w:rPr>
                <w:rFonts w:ascii="Times New Roman" w:hAnsi="Times New Roman" w:eastAsia="Times New Roman" w:cs="Times New Roman"/>
                <w:spacing w:val="5"/>
                <w:sz w:val="20"/>
                <w:szCs w:val="20"/>
              </w:rPr>
              <w:t>b</w:t>
            </w:r>
            <w:r>
              <w:rPr>
                <w:spacing w:val="5"/>
                <w:sz w:val="20"/>
                <w:szCs w:val="20"/>
              </w:rPr>
              <w:t>）无机架的报废农业机</w:t>
            </w:r>
            <w:r>
              <w:rPr>
                <w:spacing w:val="2"/>
                <w:sz w:val="20"/>
                <w:szCs w:val="20"/>
              </w:rPr>
              <w:t xml:space="preserve"> </w:t>
            </w:r>
            <w:r>
              <w:rPr>
                <w:spacing w:val="12"/>
                <w:sz w:val="20"/>
                <w:szCs w:val="20"/>
              </w:rPr>
              <w:t>械，应将骨架部分挤压或冲击至变</w:t>
            </w:r>
            <w:r>
              <w:rPr>
                <w:spacing w:val="13"/>
                <w:sz w:val="20"/>
                <w:szCs w:val="20"/>
              </w:rPr>
              <w:t xml:space="preserve"> </w:t>
            </w:r>
            <w:r>
              <w:rPr>
                <w:sz w:val="20"/>
                <w:szCs w:val="20"/>
              </w:rPr>
              <w:t>形。</w:t>
            </w:r>
          </w:p>
        </w:tc>
        <w:tc>
          <w:tcPr>
            <w:tcW w:w="2318" w:type="dxa"/>
            <w:tcBorders>
              <w:top w:val="single" w:color="000000" w:sz="10" w:space="0"/>
            </w:tcBorders>
            <w:vAlign w:val="top"/>
          </w:tcPr>
          <w:p w14:paraId="12AB8133">
            <w:pPr>
              <w:rPr>
                <w:rFonts w:ascii="Arial"/>
                <w:sz w:val="21"/>
              </w:rPr>
            </w:pPr>
          </w:p>
        </w:tc>
        <w:tc>
          <w:tcPr>
            <w:tcW w:w="1145" w:type="dxa"/>
            <w:vMerge w:val="restart"/>
            <w:tcBorders>
              <w:top w:val="single" w:color="000000" w:sz="10" w:space="0"/>
              <w:bottom w:val="nil"/>
              <w:right w:val="single" w:color="000000" w:sz="10" w:space="0"/>
            </w:tcBorders>
            <w:vAlign w:val="top"/>
          </w:tcPr>
          <w:p w14:paraId="22B99213">
            <w:pPr>
              <w:spacing w:line="252" w:lineRule="auto"/>
              <w:rPr>
                <w:rFonts w:ascii="Arial"/>
                <w:sz w:val="21"/>
              </w:rPr>
            </w:pPr>
          </w:p>
          <w:p w14:paraId="7287B32D">
            <w:pPr>
              <w:spacing w:line="252" w:lineRule="auto"/>
              <w:rPr>
                <w:rFonts w:ascii="Arial"/>
                <w:sz w:val="21"/>
              </w:rPr>
            </w:pPr>
          </w:p>
          <w:p w14:paraId="1E7D7497">
            <w:pPr>
              <w:spacing w:line="252" w:lineRule="auto"/>
              <w:rPr>
                <w:rFonts w:ascii="Arial"/>
                <w:sz w:val="21"/>
              </w:rPr>
            </w:pPr>
          </w:p>
          <w:p w14:paraId="0334BB81">
            <w:pPr>
              <w:spacing w:line="252" w:lineRule="auto"/>
              <w:rPr>
                <w:rFonts w:ascii="Arial"/>
                <w:sz w:val="21"/>
              </w:rPr>
            </w:pPr>
          </w:p>
          <w:p w14:paraId="32ACD1BF">
            <w:pPr>
              <w:spacing w:line="252" w:lineRule="auto"/>
              <w:rPr>
                <w:rFonts w:ascii="Arial"/>
                <w:sz w:val="21"/>
              </w:rPr>
            </w:pPr>
          </w:p>
          <w:p w14:paraId="7D0FBAA1">
            <w:pPr>
              <w:spacing w:line="252" w:lineRule="auto"/>
              <w:rPr>
                <w:rFonts w:ascii="Arial"/>
                <w:sz w:val="21"/>
              </w:rPr>
            </w:pPr>
          </w:p>
          <w:p w14:paraId="55444308">
            <w:pPr>
              <w:spacing w:line="252" w:lineRule="auto"/>
              <w:rPr>
                <w:rFonts w:ascii="Arial"/>
                <w:sz w:val="21"/>
              </w:rPr>
            </w:pPr>
          </w:p>
          <w:p w14:paraId="7A1EEA9D">
            <w:pPr>
              <w:spacing w:line="252" w:lineRule="auto"/>
              <w:rPr>
                <w:rFonts w:ascii="Arial"/>
                <w:sz w:val="21"/>
              </w:rPr>
            </w:pPr>
          </w:p>
          <w:p w14:paraId="1AC67159">
            <w:pPr>
              <w:spacing w:line="252" w:lineRule="auto"/>
              <w:rPr>
                <w:rFonts w:ascii="Arial"/>
                <w:sz w:val="21"/>
              </w:rPr>
            </w:pPr>
          </w:p>
          <w:p w14:paraId="675DAC28">
            <w:pPr>
              <w:spacing w:line="252" w:lineRule="auto"/>
              <w:rPr>
                <w:rFonts w:ascii="Arial"/>
                <w:sz w:val="21"/>
              </w:rPr>
            </w:pPr>
          </w:p>
          <w:p w14:paraId="7F576917">
            <w:pPr>
              <w:spacing w:line="252" w:lineRule="auto"/>
              <w:rPr>
                <w:rFonts w:ascii="Arial"/>
                <w:sz w:val="21"/>
              </w:rPr>
            </w:pPr>
          </w:p>
          <w:p w14:paraId="1AFB0336">
            <w:pPr>
              <w:spacing w:line="253" w:lineRule="auto"/>
              <w:rPr>
                <w:rFonts w:ascii="Arial"/>
                <w:sz w:val="21"/>
              </w:rPr>
            </w:pPr>
          </w:p>
          <w:p w14:paraId="1A38478F">
            <w:pPr>
              <w:spacing w:line="253" w:lineRule="auto"/>
              <w:rPr>
                <w:rFonts w:ascii="Arial"/>
                <w:sz w:val="21"/>
              </w:rPr>
            </w:pPr>
          </w:p>
          <w:p w14:paraId="03C38B84">
            <w:pPr>
              <w:spacing w:line="253" w:lineRule="auto"/>
              <w:rPr>
                <w:rFonts w:ascii="Arial"/>
                <w:sz w:val="21"/>
              </w:rPr>
            </w:pPr>
          </w:p>
          <w:p w14:paraId="36F6E27F">
            <w:pPr>
              <w:spacing w:line="253" w:lineRule="auto"/>
              <w:rPr>
                <w:rFonts w:ascii="Arial"/>
                <w:sz w:val="21"/>
              </w:rPr>
            </w:pPr>
          </w:p>
          <w:p w14:paraId="29272D3F">
            <w:pPr>
              <w:spacing w:line="253" w:lineRule="auto"/>
              <w:rPr>
                <w:rFonts w:ascii="Arial"/>
                <w:sz w:val="21"/>
              </w:rPr>
            </w:pPr>
          </w:p>
          <w:p w14:paraId="7C59913D">
            <w:pPr>
              <w:spacing w:line="253" w:lineRule="auto"/>
              <w:rPr>
                <w:rFonts w:ascii="Arial"/>
                <w:sz w:val="21"/>
              </w:rPr>
            </w:pPr>
          </w:p>
          <w:p w14:paraId="1C9DCA0C">
            <w:pPr>
              <w:spacing w:line="253" w:lineRule="auto"/>
              <w:rPr>
                <w:rFonts w:ascii="Arial"/>
                <w:sz w:val="21"/>
              </w:rPr>
            </w:pPr>
          </w:p>
          <w:p w14:paraId="0DA74C3A">
            <w:pPr>
              <w:spacing w:line="253" w:lineRule="auto"/>
              <w:rPr>
                <w:rFonts w:ascii="Arial"/>
                <w:sz w:val="21"/>
              </w:rPr>
            </w:pPr>
          </w:p>
          <w:p w14:paraId="32A90892">
            <w:pPr>
              <w:pStyle w:val="6"/>
              <w:spacing w:before="65" w:line="228" w:lineRule="auto"/>
              <w:ind w:left="320"/>
              <w:rPr>
                <w:sz w:val="20"/>
                <w:szCs w:val="20"/>
              </w:rPr>
            </w:pPr>
            <w:r>
              <w:rPr>
                <w:spacing w:val="3"/>
                <w:sz w:val="20"/>
                <w:szCs w:val="20"/>
              </w:rPr>
              <w:t>符合</w:t>
            </w:r>
          </w:p>
          <w:p w14:paraId="52DC9200">
            <w:pPr>
              <w:spacing w:line="243" w:lineRule="auto"/>
              <w:rPr>
                <w:rFonts w:ascii="Arial"/>
                <w:sz w:val="21"/>
              </w:rPr>
            </w:pPr>
          </w:p>
          <w:p w14:paraId="5E1EA164">
            <w:pPr>
              <w:spacing w:line="243" w:lineRule="auto"/>
              <w:rPr>
                <w:rFonts w:ascii="Arial"/>
                <w:sz w:val="21"/>
              </w:rPr>
            </w:pPr>
          </w:p>
          <w:p w14:paraId="3314C10A">
            <w:pPr>
              <w:spacing w:line="243" w:lineRule="auto"/>
              <w:rPr>
                <w:rFonts w:ascii="Arial"/>
                <w:sz w:val="21"/>
              </w:rPr>
            </w:pPr>
          </w:p>
          <w:p w14:paraId="1A03276E">
            <w:pPr>
              <w:spacing w:line="243" w:lineRule="auto"/>
              <w:rPr>
                <w:rFonts w:ascii="Arial"/>
                <w:sz w:val="21"/>
              </w:rPr>
            </w:pPr>
          </w:p>
          <w:p w14:paraId="055BB037">
            <w:pPr>
              <w:spacing w:line="243" w:lineRule="auto"/>
              <w:rPr>
                <w:rFonts w:ascii="Arial"/>
                <w:sz w:val="21"/>
              </w:rPr>
            </w:pPr>
          </w:p>
          <w:p w14:paraId="65AC0F54">
            <w:pPr>
              <w:spacing w:line="243" w:lineRule="auto"/>
              <w:rPr>
                <w:rFonts w:ascii="Arial"/>
                <w:sz w:val="21"/>
              </w:rPr>
            </w:pPr>
          </w:p>
          <w:p w14:paraId="5739F720">
            <w:pPr>
              <w:spacing w:line="244" w:lineRule="auto"/>
              <w:rPr>
                <w:rFonts w:ascii="Arial"/>
                <w:sz w:val="21"/>
              </w:rPr>
            </w:pPr>
          </w:p>
          <w:p w14:paraId="26418510">
            <w:pPr>
              <w:spacing w:line="244" w:lineRule="auto"/>
              <w:rPr>
                <w:rFonts w:ascii="Arial"/>
                <w:sz w:val="21"/>
              </w:rPr>
            </w:pPr>
          </w:p>
          <w:p w14:paraId="0E92B71A">
            <w:pPr>
              <w:spacing w:line="244" w:lineRule="auto"/>
              <w:rPr>
                <w:rFonts w:ascii="Arial"/>
                <w:sz w:val="21"/>
              </w:rPr>
            </w:pPr>
          </w:p>
          <w:p w14:paraId="74BA0DA3">
            <w:pPr>
              <w:spacing w:line="244" w:lineRule="auto"/>
              <w:rPr>
                <w:rFonts w:ascii="Arial"/>
                <w:sz w:val="21"/>
              </w:rPr>
            </w:pPr>
          </w:p>
          <w:p w14:paraId="1B4F4A05">
            <w:pPr>
              <w:spacing w:line="244" w:lineRule="auto"/>
              <w:rPr>
                <w:rFonts w:ascii="Arial"/>
                <w:sz w:val="21"/>
              </w:rPr>
            </w:pPr>
          </w:p>
          <w:p w14:paraId="5DE85CD3">
            <w:pPr>
              <w:spacing w:line="244" w:lineRule="auto"/>
              <w:rPr>
                <w:rFonts w:ascii="Arial"/>
                <w:sz w:val="21"/>
              </w:rPr>
            </w:pPr>
          </w:p>
          <w:p w14:paraId="2E276F83">
            <w:pPr>
              <w:spacing w:line="244" w:lineRule="auto"/>
              <w:rPr>
                <w:rFonts w:ascii="Arial"/>
                <w:sz w:val="21"/>
              </w:rPr>
            </w:pPr>
          </w:p>
          <w:p w14:paraId="00F05B09">
            <w:pPr>
              <w:spacing w:line="244" w:lineRule="auto"/>
              <w:rPr>
                <w:rFonts w:ascii="Arial"/>
                <w:sz w:val="21"/>
              </w:rPr>
            </w:pPr>
          </w:p>
          <w:p w14:paraId="6BFC6487">
            <w:pPr>
              <w:spacing w:line="244" w:lineRule="auto"/>
              <w:rPr>
                <w:rFonts w:ascii="Arial"/>
                <w:sz w:val="21"/>
              </w:rPr>
            </w:pPr>
          </w:p>
          <w:p w14:paraId="3CCE6F4C">
            <w:pPr>
              <w:spacing w:line="244" w:lineRule="auto"/>
              <w:rPr>
                <w:rFonts w:ascii="Arial"/>
                <w:sz w:val="21"/>
              </w:rPr>
            </w:pPr>
          </w:p>
          <w:p w14:paraId="4C1A0C24">
            <w:pPr>
              <w:spacing w:line="244" w:lineRule="auto"/>
              <w:rPr>
                <w:rFonts w:ascii="Arial"/>
                <w:sz w:val="21"/>
              </w:rPr>
            </w:pPr>
          </w:p>
          <w:p w14:paraId="176D9C23">
            <w:pPr>
              <w:spacing w:line="244" w:lineRule="auto"/>
              <w:rPr>
                <w:rFonts w:ascii="Arial"/>
                <w:sz w:val="21"/>
              </w:rPr>
            </w:pPr>
          </w:p>
          <w:p w14:paraId="10D0412E">
            <w:pPr>
              <w:spacing w:line="244" w:lineRule="auto"/>
              <w:rPr>
                <w:rFonts w:ascii="Arial"/>
                <w:sz w:val="21"/>
              </w:rPr>
            </w:pPr>
          </w:p>
          <w:p w14:paraId="6A09E786">
            <w:pPr>
              <w:spacing w:line="244" w:lineRule="auto"/>
              <w:rPr>
                <w:rFonts w:ascii="Arial"/>
                <w:sz w:val="21"/>
              </w:rPr>
            </w:pPr>
          </w:p>
          <w:p w14:paraId="5860719D">
            <w:pPr>
              <w:spacing w:line="244" w:lineRule="auto"/>
              <w:rPr>
                <w:rFonts w:ascii="Arial"/>
                <w:sz w:val="21"/>
              </w:rPr>
            </w:pPr>
          </w:p>
          <w:p w14:paraId="4CFE8CFD">
            <w:pPr>
              <w:spacing w:line="244" w:lineRule="auto"/>
              <w:rPr>
                <w:rFonts w:ascii="Arial"/>
                <w:sz w:val="21"/>
              </w:rPr>
            </w:pPr>
          </w:p>
          <w:p w14:paraId="407C560D">
            <w:pPr>
              <w:pStyle w:val="6"/>
              <w:spacing w:before="65" w:line="228" w:lineRule="auto"/>
              <w:ind w:left="320"/>
              <w:rPr>
                <w:sz w:val="20"/>
                <w:szCs w:val="20"/>
              </w:rPr>
            </w:pPr>
            <w:r>
              <w:rPr>
                <w:spacing w:val="3"/>
                <w:sz w:val="20"/>
                <w:szCs w:val="20"/>
              </w:rPr>
              <w:t>符合</w:t>
            </w:r>
          </w:p>
        </w:tc>
      </w:tr>
      <w:tr w14:paraId="6D75A0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88" w:hRule="atLeast"/>
        </w:trPr>
        <w:tc>
          <w:tcPr>
            <w:tcW w:w="494" w:type="dxa"/>
            <w:vMerge w:val="continue"/>
            <w:tcBorders>
              <w:top w:val="nil"/>
              <w:left w:val="single" w:color="000000" w:sz="10" w:space="0"/>
              <w:bottom w:val="nil"/>
            </w:tcBorders>
            <w:vAlign w:val="top"/>
          </w:tcPr>
          <w:p w14:paraId="2FEACF16">
            <w:pPr>
              <w:rPr>
                <w:rFonts w:ascii="Arial"/>
                <w:sz w:val="21"/>
              </w:rPr>
            </w:pPr>
          </w:p>
        </w:tc>
        <w:tc>
          <w:tcPr>
            <w:tcW w:w="547" w:type="dxa"/>
            <w:vMerge w:val="continue"/>
            <w:tcBorders>
              <w:top w:val="nil"/>
              <w:bottom w:val="nil"/>
            </w:tcBorders>
            <w:vAlign w:val="top"/>
          </w:tcPr>
          <w:p w14:paraId="13B9FDFE">
            <w:pPr>
              <w:rPr>
                <w:rFonts w:ascii="Arial"/>
                <w:sz w:val="21"/>
              </w:rPr>
            </w:pPr>
          </w:p>
        </w:tc>
        <w:tc>
          <w:tcPr>
            <w:tcW w:w="436" w:type="dxa"/>
            <w:vMerge w:val="continue"/>
            <w:tcBorders>
              <w:top w:val="nil"/>
            </w:tcBorders>
            <w:vAlign w:val="top"/>
          </w:tcPr>
          <w:p w14:paraId="558E5E5C">
            <w:pPr>
              <w:rPr>
                <w:rFonts w:ascii="Arial"/>
                <w:sz w:val="21"/>
              </w:rPr>
            </w:pPr>
          </w:p>
        </w:tc>
        <w:tc>
          <w:tcPr>
            <w:tcW w:w="560" w:type="dxa"/>
            <w:vAlign w:val="top"/>
          </w:tcPr>
          <w:p w14:paraId="322DE16F">
            <w:pPr>
              <w:spacing w:line="251" w:lineRule="auto"/>
              <w:rPr>
                <w:rFonts w:ascii="Arial"/>
                <w:sz w:val="21"/>
              </w:rPr>
            </w:pPr>
          </w:p>
          <w:p w14:paraId="580EDE8C">
            <w:pPr>
              <w:spacing w:line="251" w:lineRule="auto"/>
              <w:rPr>
                <w:rFonts w:ascii="Arial"/>
                <w:sz w:val="21"/>
              </w:rPr>
            </w:pPr>
          </w:p>
          <w:p w14:paraId="2CD71331">
            <w:pPr>
              <w:spacing w:line="251" w:lineRule="auto"/>
              <w:rPr>
                <w:rFonts w:ascii="Arial"/>
                <w:sz w:val="21"/>
              </w:rPr>
            </w:pPr>
          </w:p>
          <w:p w14:paraId="06E01EB4">
            <w:pPr>
              <w:spacing w:line="251" w:lineRule="auto"/>
              <w:rPr>
                <w:rFonts w:ascii="Arial"/>
                <w:sz w:val="21"/>
              </w:rPr>
            </w:pPr>
          </w:p>
          <w:p w14:paraId="7D75F401">
            <w:pPr>
              <w:spacing w:line="251" w:lineRule="auto"/>
              <w:rPr>
                <w:rFonts w:ascii="Arial"/>
                <w:sz w:val="21"/>
              </w:rPr>
            </w:pPr>
          </w:p>
          <w:p w14:paraId="0BBCEDEB">
            <w:pPr>
              <w:pStyle w:val="6"/>
              <w:spacing w:before="73" w:line="277" w:lineRule="auto"/>
              <w:ind w:left="172" w:right="132" w:hanging="42"/>
              <w:jc w:val="both"/>
              <w:rPr>
                <w:sz w:val="20"/>
                <w:szCs w:val="20"/>
              </w:rPr>
            </w:pPr>
            <w:r>
              <w:rPr>
                <w:rFonts w:ascii="Calibri" w:hAnsi="Calibri" w:eastAsia="Calibri" w:cs="Calibri"/>
                <w:spacing w:val="-5"/>
              </w:rPr>
              <w:t>6.6</w:t>
            </w:r>
            <w:r>
              <w:rPr>
                <w:rFonts w:ascii="Calibri" w:hAnsi="Calibri" w:eastAsia="Calibri" w:cs="Calibri"/>
                <w:spacing w:val="1"/>
              </w:rPr>
              <w:t xml:space="preserve"> </w:t>
            </w:r>
            <w:r>
              <w:rPr>
                <w:spacing w:val="1"/>
                <w:sz w:val="20"/>
                <w:szCs w:val="20"/>
              </w:rPr>
              <w:t>动</w:t>
            </w:r>
            <w:r>
              <w:rPr>
                <w:sz w:val="20"/>
                <w:szCs w:val="20"/>
              </w:rPr>
              <w:t xml:space="preserve"> </w:t>
            </w:r>
            <w:r>
              <w:rPr>
                <w:spacing w:val="1"/>
                <w:sz w:val="20"/>
                <w:szCs w:val="20"/>
              </w:rPr>
              <w:t>力</w:t>
            </w:r>
            <w:r>
              <w:rPr>
                <w:sz w:val="20"/>
                <w:szCs w:val="20"/>
              </w:rPr>
              <w:t xml:space="preserve"> </w:t>
            </w:r>
            <w:r>
              <w:rPr>
                <w:spacing w:val="1"/>
                <w:sz w:val="20"/>
                <w:szCs w:val="20"/>
              </w:rPr>
              <w:t>蓄</w:t>
            </w:r>
            <w:r>
              <w:rPr>
                <w:sz w:val="20"/>
                <w:szCs w:val="20"/>
              </w:rPr>
              <w:t xml:space="preserve"> </w:t>
            </w:r>
            <w:r>
              <w:rPr>
                <w:spacing w:val="1"/>
                <w:sz w:val="20"/>
                <w:szCs w:val="20"/>
              </w:rPr>
              <w:t>电</w:t>
            </w:r>
            <w:r>
              <w:rPr>
                <w:sz w:val="20"/>
                <w:szCs w:val="20"/>
              </w:rPr>
              <w:t xml:space="preserve"> </w:t>
            </w:r>
            <w:r>
              <w:rPr>
                <w:spacing w:val="1"/>
                <w:sz w:val="20"/>
                <w:szCs w:val="20"/>
              </w:rPr>
              <w:t>池</w:t>
            </w:r>
            <w:r>
              <w:rPr>
                <w:sz w:val="20"/>
                <w:szCs w:val="20"/>
              </w:rPr>
              <w:t xml:space="preserve"> </w:t>
            </w:r>
            <w:r>
              <w:rPr>
                <w:spacing w:val="1"/>
                <w:sz w:val="20"/>
                <w:szCs w:val="20"/>
              </w:rPr>
              <w:t>拆</w:t>
            </w:r>
            <w:r>
              <w:rPr>
                <w:sz w:val="20"/>
                <w:szCs w:val="20"/>
              </w:rPr>
              <w:t xml:space="preserve"> </w:t>
            </w:r>
            <w:r>
              <w:rPr>
                <w:spacing w:val="1"/>
                <w:sz w:val="20"/>
                <w:szCs w:val="20"/>
              </w:rPr>
              <w:t>解</w:t>
            </w:r>
          </w:p>
        </w:tc>
        <w:tc>
          <w:tcPr>
            <w:tcW w:w="3422" w:type="dxa"/>
            <w:vAlign w:val="top"/>
          </w:tcPr>
          <w:p w14:paraId="41797A6F">
            <w:pPr>
              <w:pStyle w:val="6"/>
              <w:spacing w:before="63" w:line="271" w:lineRule="auto"/>
              <w:ind w:left="113" w:right="109" w:firstLine="484"/>
              <w:rPr>
                <w:sz w:val="20"/>
                <w:szCs w:val="20"/>
              </w:rPr>
            </w:pPr>
            <w:r>
              <w:rPr>
                <w:rFonts w:ascii="Calibri" w:hAnsi="Calibri" w:eastAsia="Calibri" w:cs="Calibri"/>
                <w:spacing w:val="14"/>
              </w:rPr>
              <w:t>6.6.1</w:t>
            </w:r>
            <w:r>
              <w:rPr>
                <w:spacing w:val="14"/>
                <w:sz w:val="20"/>
                <w:szCs w:val="20"/>
              </w:rPr>
              <w:t>电动农业机械拆卸前应</w:t>
            </w:r>
            <w:r>
              <w:rPr>
                <w:spacing w:val="12"/>
                <w:sz w:val="20"/>
                <w:szCs w:val="20"/>
              </w:rPr>
              <w:t xml:space="preserve"> 检查动力蓄电池布局和安装位置， 确认诊断接口是否完好，对动力蓄 电池电压、温度等参数进行检测和 安全状态评估，断开动力蓄电池高 </w:t>
            </w:r>
            <w:r>
              <w:rPr>
                <w:spacing w:val="5"/>
                <w:sz w:val="20"/>
                <w:szCs w:val="20"/>
              </w:rPr>
              <w:t>压回路等。</w:t>
            </w:r>
          </w:p>
          <w:p w14:paraId="65FA06BE">
            <w:pPr>
              <w:pStyle w:val="6"/>
              <w:spacing w:before="77" w:line="277" w:lineRule="auto"/>
              <w:ind w:left="114" w:right="109" w:firstLine="483"/>
              <w:rPr>
                <w:sz w:val="20"/>
                <w:szCs w:val="20"/>
              </w:rPr>
            </w:pPr>
            <w:r>
              <w:rPr>
                <w:rFonts w:ascii="Calibri" w:hAnsi="Calibri" w:eastAsia="Calibri" w:cs="Calibri"/>
                <w:spacing w:val="14"/>
              </w:rPr>
              <w:t>6.6.2</w:t>
            </w:r>
            <w:r>
              <w:rPr>
                <w:spacing w:val="14"/>
                <w:sz w:val="20"/>
                <w:szCs w:val="20"/>
              </w:rPr>
              <w:t>电动农业机械拆卸时应</w:t>
            </w:r>
            <w:r>
              <w:rPr>
                <w:spacing w:val="12"/>
                <w:sz w:val="20"/>
                <w:szCs w:val="20"/>
              </w:rPr>
              <w:t xml:space="preserve"> </w:t>
            </w:r>
            <w:r>
              <w:rPr>
                <w:spacing w:val="11"/>
                <w:sz w:val="20"/>
                <w:szCs w:val="20"/>
              </w:rPr>
              <w:t>断开电压线束（电缆</w:t>
            </w:r>
            <w:r>
              <w:rPr>
                <w:spacing w:val="2"/>
                <w:sz w:val="20"/>
                <w:szCs w:val="20"/>
              </w:rPr>
              <w:t>）</w:t>
            </w:r>
            <w:r>
              <w:rPr>
                <w:spacing w:val="-56"/>
                <w:sz w:val="20"/>
                <w:szCs w:val="20"/>
              </w:rPr>
              <w:t xml:space="preserve"> </w:t>
            </w:r>
            <w:r>
              <w:rPr>
                <w:spacing w:val="2"/>
                <w:sz w:val="20"/>
                <w:szCs w:val="20"/>
              </w:rPr>
              <w:t>，</w:t>
            </w:r>
            <w:r>
              <w:rPr>
                <w:spacing w:val="11"/>
                <w:sz w:val="20"/>
                <w:szCs w:val="20"/>
              </w:rPr>
              <w:t>拆卸不同</w:t>
            </w:r>
            <w:r>
              <w:rPr>
                <w:sz w:val="20"/>
                <w:szCs w:val="20"/>
              </w:rPr>
              <w:t xml:space="preserve"> </w:t>
            </w:r>
            <w:r>
              <w:rPr>
                <w:spacing w:val="12"/>
                <w:sz w:val="20"/>
                <w:szCs w:val="20"/>
              </w:rPr>
              <w:t>安装位置的动力蓄电池，应对拆卸</w:t>
            </w:r>
            <w:r>
              <w:rPr>
                <w:spacing w:val="11"/>
                <w:sz w:val="20"/>
                <w:szCs w:val="20"/>
              </w:rPr>
              <w:t xml:space="preserve"> </w:t>
            </w:r>
            <w:r>
              <w:rPr>
                <w:spacing w:val="12"/>
                <w:sz w:val="20"/>
                <w:szCs w:val="20"/>
              </w:rPr>
              <w:t>下的动力蓄电池线束接头、正负极</w:t>
            </w:r>
            <w:r>
              <w:rPr>
                <w:spacing w:val="11"/>
                <w:sz w:val="20"/>
                <w:szCs w:val="20"/>
              </w:rPr>
              <w:t xml:space="preserve"> </w:t>
            </w:r>
            <w:r>
              <w:rPr>
                <w:spacing w:val="12"/>
                <w:sz w:val="20"/>
                <w:szCs w:val="20"/>
              </w:rPr>
              <w:t>片等外露线束和金属物进行绝缘处</w:t>
            </w:r>
            <w:r>
              <w:rPr>
                <w:spacing w:val="11"/>
                <w:sz w:val="20"/>
                <w:szCs w:val="20"/>
              </w:rPr>
              <w:t xml:space="preserve"> </w:t>
            </w:r>
            <w:r>
              <w:rPr>
                <w:spacing w:val="12"/>
                <w:sz w:val="20"/>
                <w:szCs w:val="20"/>
              </w:rPr>
              <w:t>理，并在其明显位置处贴上标签，</w:t>
            </w:r>
            <w:r>
              <w:rPr>
                <w:spacing w:val="11"/>
                <w:sz w:val="20"/>
                <w:szCs w:val="20"/>
              </w:rPr>
              <w:t xml:space="preserve"> </w:t>
            </w:r>
            <w:r>
              <w:rPr>
                <w:spacing w:val="12"/>
                <w:sz w:val="20"/>
                <w:szCs w:val="20"/>
              </w:rPr>
              <w:t>标明绝缘状况。收集采用液冷结构</w:t>
            </w:r>
            <w:r>
              <w:rPr>
                <w:spacing w:val="11"/>
                <w:sz w:val="20"/>
                <w:szCs w:val="20"/>
              </w:rPr>
              <w:t xml:space="preserve"> </w:t>
            </w:r>
            <w:r>
              <w:rPr>
                <w:spacing w:val="9"/>
                <w:sz w:val="20"/>
                <w:szCs w:val="20"/>
              </w:rPr>
              <w:t>方式散热的动力蓄电池包（组）</w:t>
            </w:r>
            <w:r>
              <w:rPr>
                <w:spacing w:val="-44"/>
                <w:sz w:val="20"/>
                <w:szCs w:val="20"/>
              </w:rPr>
              <w:t xml:space="preserve"> </w:t>
            </w:r>
            <w:r>
              <w:rPr>
                <w:spacing w:val="9"/>
                <w:sz w:val="20"/>
                <w:szCs w:val="20"/>
              </w:rPr>
              <w:t>内</w:t>
            </w:r>
            <w:r>
              <w:rPr>
                <w:sz w:val="20"/>
                <w:szCs w:val="20"/>
              </w:rPr>
              <w:t xml:space="preserve"> </w:t>
            </w:r>
            <w:r>
              <w:rPr>
                <w:spacing w:val="12"/>
                <w:sz w:val="20"/>
                <w:szCs w:val="20"/>
              </w:rPr>
              <w:t>的冷却液和驱动电机总成内残余冷</w:t>
            </w:r>
            <w:r>
              <w:rPr>
                <w:spacing w:val="11"/>
                <w:sz w:val="20"/>
                <w:szCs w:val="20"/>
              </w:rPr>
              <w:t xml:space="preserve"> </w:t>
            </w:r>
            <w:r>
              <w:rPr>
                <w:spacing w:val="8"/>
                <w:sz w:val="20"/>
                <w:szCs w:val="20"/>
              </w:rPr>
              <w:t>却液后，拆除驱动电机。</w:t>
            </w:r>
          </w:p>
        </w:tc>
        <w:tc>
          <w:tcPr>
            <w:tcW w:w="2318" w:type="dxa"/>
            <w:vAlign w:val="top"/>
          </w:tcPr>
          <w:p w14:paraId="4541C4B3">
            <w:pPr>
              <w:spacing w:line="249" w:lineRule="auto"/>
              <w:rPr>
                <w:rFonts w:ascii="Arial"/>
                <w:sz w:val="21"/>
              </w:rPr>
            </w:pPr>
          </w:p>
          <w:p w14:paraId="3F4943E3">
            <w:pPr>
              <w:spacing w:line="249" w:lineRule="auto"/>
              <w:rPr>
                <w:rFonts w:ascii="Arial"/>
                <w:sz w:val="21"/>
              </w:rPr>
            </w:pPr>
          </w:p>
          <w:p w14:paraId="6F7818C4">
            <w:pPr>
              <w:spacing w:line="250" w:lineRule="auto"/>
              <w:rPr>
                <w:rFonts w:ascii="Arial"/>
                <w:sz w:val="21"/>
              </w:rPr>
            </w:pPr>
          </w:p>
          <w:p w14:paraId="390DA59F">
            <w:pPr>
              <w:pStyle w:val="6"/>
              <w:spacing w:before="65" w:line="292" w:lineRule="auto"/>
              <w:ind w:left="114" w:right="97" w:firstLine="420"/>
              <w:jc w:val="both"/>
              <w:rPr>
                <w:sz w:val="20"/>
                <w:szCs w:val="20"/>
              </w:rPr>
            </w:pPr>
            <w:r>
              <w:rPr>
                <w:spacing w:val="10"/>
                <w:sz w:val="20"/>
                <w:szCs w:val="20"/>
              </w:rPr>
              <w:t>报废农业机械与其</w:t>
            </w:r>
            <w:r>
              <w:rPr>
                <w:sz w:val="20"/>
                <w:szCs w:val="20"/>
              </w:rPr>
              <w:t xml:space="preserve"> </w:t>
            </w:r>
            <w:r>
              <w:rPr>
                <w:spacing w:val="10"/>
                <w:sz w:val="20"/>
                <w:szCs w:val="20"/>
              </w:rPr>
              <w:t>他废弃物分开储存，不</w:t>
            </w:r>
            <w:r>
              <w:rPr>
                <w:sz w:val="20"/>
                <w:szCs w:val="20"/>
              </w:rPr>
              <w:t xml:space="preserve"> </w:t>
            </w:r>
            <w:r>
              <w:rPr>
                <w:spacing w:val="10"/>
                <w:sz w:val="20"/>
                <w:szCs w:val="20"/>
              </w:rPr>
              <w:t>进行蓄电池的拆卸。动</w:t>
            </w:r>
            <w:r>
              <w:rPr>
                <w:sz w:val="20"/>
                <w:szCs w:val="20"/>
              </w:rPr>
              <w:t xml:space="preserve"> </w:t>
            </w:r>
            <w:r>
              <w:rPr>
                <w:spacing w:val="10"/>
                <w:sz w:val="20"/>
                <w:szCs w:val="20"/>
              </w:rPr>
              <w:t>力蓄电池在农机上拆解</w:t>
            </w:r>
            <w:r>
              <w:rPr>
                <w:sz w:val="20"/>
                <w:szCs w:val="20"/>
              </w:rPr>
              <w:t xml:space="preserve"> </w:t>
            </w:r>
            <w:r>
              <w:rPr>
                <w:spacing w:val="10"/>
                <w:sz w:val="20"/>
                <w:szCs w:val="20"/>
              </w:rPr>
              <w:t>后，直接暂存在危险废</w:t>
            </w:r>
            <w:r>
              <w:rPr>
                <w:sz w:val="20"/>
                <w:szCs w:val="20"/>
              </w:rPr>
              <w:t xml:space="preserve"> </w:t>
            </w:r>
            <w:r>
              <w:rPr>
                <w:spacing w:val="9"/>
                <w:sz w:val="20"/>
                <w:szCs w:val="20"/>
              </w:rPr>
              <w:t>物贮存库</w:t>
            </w:r>
            <w:r>
              <w:rPr>
                <w:rFonts w:ascii="Times New Roman" w:hAnsi="Times New Roman" w:eastAsia="Times New Roman" w:cs="Times New Roman"/>
                <w:spacing w:val="9"/>
                <w:sz w:val="20"/>
                <w:szCs w:val="20"/>
              </w:rPr>
              <w:t>2#</w:t>
            </w:r>
            <w:r>
              <w:rPr>
                <w:spacing w:val="9"/>
                <w:sz w:val="20"/>
                <w:szCs w:val="20"/>
              </w:rPr>
              <w:t>废蓄电池暂</w:t>
            </w:r>
            <w:r>
              <w:rPr>
                <w:sz w:val="20"/>
                <w:szCs w:val="20"/>
              </w:rPr>
              <w:t xml:space="preserve"> </w:t>
            </w:r>
            <w:r>
              <w:rPr>
                <w:spacing w:val="10"/>
                <w:sz w:val="20"/>
                <w:szCs w:val="20"/>
              </w:rPr>
              <w:t>存区，定期由有资质单</w:t>
            </w:r>
            <w:r>
              <w:rPr>
                <w:sz w:val="20"/>
                <w:szCs w:val="20"/>
              </w:rPr>
              <w:t xml:space="preserve"> </w:t>
            </w:r>
            <w:r>
              <w:rPr>
                <w:spacing w:val="10"/>
                <w:sz w:val="20"/>
                <w:szCs w:val="20"/>
              </w:rPr>
              <w:t>位进行处置，不做进一</w:t>
            </w:r>
            <w:r>
              <w:rPr>
                <w:sz w:val="20"/>
                <w:szCs w:val="20"/>
              </w:rPr>
              <w:t xml:space="preserve"> </w:t>
            </w:r>
            <w:r>
              <w:rPr>
                <w:spacing w:val="5"/>
                <w:sz w:val="20"/>
                <w:szCs w:val="20"/>
              </w:rPr>
              <w:t>步拆解。</w:t>
            </w:r>
          </w:p>
          <w:p w14:paraId="124E105C">
            <w:pPr>
              <w:pStyle w:val="6"/>
              <w:spacing w:before="32" w:line="280" w:lineRule="auto"/>
              <w:ind w:left="120" w:right="97" w:firstLine="416"/>
              <w:jc w:val="both"/>
              <w:rPr>
                <w:sz w:val="20"/>
                <w:szCs w:val="20"/>
              </w:rPr>
            </w:pPr>
            <w:r>
              <w:rPr>
                <w:spacing w:val="9"/>
                <w:sz w:val="20"/>
                <w:szCs w:val="20"/>
              </w:rPr>
              <w:t>本项目不拆解自走</w:t>
            </w:r>
            <w:r>
              <w:rPr>
                <w:spacing w:val="5"/>
                <w:sz w:val="20"/>
                <w:szCs w:val="20"/>
              </w:rPr>
              <w:t xml:space="preserve"> </w:t>
            </w:r>
            <w:r>
              <w:rPr>
                <w:spacing w:val="6"/>
                <w:sz w:val="20"/>
                <w:szCs w:val="20"/>
              </w:rPr>
              <w:t>式农业机械。</w:t>
            </w:r>
          </w:p>
        </w:tc>
        <w:tc>
          <w:tcPr>
            <w:tcW w:w="1145" w:type="dxa"/>
            <w:vMerge w:val="continue"/>
            <w:tcBorders>
              <w:top w:val="nil"/>
              <w:bottom w:val="nil"/>
              <w:right w:val="single" w:color="000000" w:sz="10" w:space="0"/>
            </w:tcBorders>
            <w:vAlign w:val="top"/>
          </w:tcPr>
          <w:p w14:paraId="7F6D1761">
            <w:pPr>
              <w:rPr>
                <w:rFonts w:ascii="Arial"/>
                <w:sz w:val="21"/>
              </w:rPr>
            </w:pPr>
          </w:p>
        </w:tc>
      </w:tr>
      <w:tr w14:paraId="6EA86C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5" w:hRule="atLeast"/>
        </w:trPr>
        <w:tc>
          <w:tcPr>
            <w:tcW w:w="494" w:type="dxa"/>
            <w:vMerge w:val="continue"/>
            <w:tcBorders>
              <w:top w:val="nil"/>
              <w:left w:val="single" w:color="000000" w:sz="10" w:space="0"/>
              <w:bottom w:val="single" w:color="000000" w:sz="10" w:space="0"/>
            </w:tcBorders>
            <w:vAlign w:val="top"/>
          </w:tcPr>
          <w:p w14:paraId="458C7A77">
            <w:pPr>
              <w:rPr>
                <w:rFonts w:ascii="Arial"/>
                <w:sz w:val="21"/>
              </w:rPr>
            </w:pPr>
          </w:p>
        </w:tc>
        <w:tc>
          <w:tcPr>
            <w:tcW w:w="547" w:type="dxa"/>
            <w:vMerge w:val="continue"/>
            <w:tcBorders>
              <w:top w:val="nil"/>
              <w:bottom w:val="single" w:color="000000" w:sz="10" w:space="0"/>
            </w:tcBorders>
            <w:vAlign w:val="top"/>
          </w:tcPr>
          <w:p w14:paraId="324F2763">
            <w:pPr>
              <w:rPr>
                <w:rFonts w:ascii="Arial"/>
                <w:sz w:val="21"/>
              </w:rPr>
            </w:pPr>
          </w:p>
        </w:tc>
        <w:tc>
          <w:tcPr>
            <w:tcW w:w="436" w:type="dxa"/>
            <w:tcBorders>
              <w:bottom w:val="single" w:color="000000" w:sz="10" w:space="0"/>
            </w:tcBorders>
            <w:vAlign w:val="top"/>
          </w:tcPr>
          <w:p w14:paraId="2B0FD842">
            <w:pPr>
              <w:spacing w:line="252" w:lineRule="auto"/>
              <w:rPr>
                <w:rFonts w:ascii="Arial"/>
                <w:sz w:val="21"/>
              </w:rPr>
            </w:pPr>
          </w:p>
          <w:p w14:paraId="36231E0A">
            <w:pPr>
              <w:spacing w:line="252" w:lineRule="auto"/>
              <w:rPr>
                <w:rFonts w:ascii="Arial"/>
                <w:sz w:val="21"/>
              </w:rPr>
            </w:pPr>
          </w:p>
          <w:p w14:paraId="7FF4E16B">
            <w:pPr>
              <w:spacing w:line="252" w:lineRule="auto"/>
              <w:rPr>
                <w:rFonts w:ascii="Arial"/>
                <w:sz w:val="21"/>
              </w:rPr>
            </w:pPr>
          </w:p>
          <w:p w14:paraId="44A6396A">
            <w:pPr>
              <w:spacing w:line="253" w:lineRule="auto"/>
              <w:rPr>
                <w:rFonts w:ascii="Arial"/>
                <w:sz w:val="21"/>
              </w:rPr>
            </w:pPr>
          </w:p>
          <w:p w14:paraId="434F1DA1">
            <w:pPr>
              <w:spacing w:line="253" w:lineRule="auto"/>
              <w:rPr>
                <w:rFonts w:ascii="Arial"/>
                <w:sz w:val="21"/>
              </w:rPr>
            </w:pPr>
          </w:p>
          <w:p w14:paraId="6A2A65B9">
            <w:pPr>
              <w:spacing w:line="253" w:lineRule="auto"/>
              <w:rPr>
                <w:rFonts w:ascii="Arial"/>
                <w:sz w:val="21"/>
              </w:rPr>
            </w:pPr>
          </w:p>
          <w:p w14:paraId="6B1A1FB4">
            <w:pPr>
              <w:spacing w:line="253" w:lineRule="auto"/>
              <w:rPr>
                <w:rFonts w:ascii="Arial"/>
                <w:sz w:val="21"/>
              </w:rPr>
            </w:pPr>
          </w:p>
          <w:p w14:paraId="5662247D">
            <w:pPr>
              <w:spacing w:line="253" w:lineRule="auto"/>
              <w:rPr>
                <w:rFonts w:ascii="Arial"/>
                <w:sz w:val="21"/>
              </w:rPr>
            </w:pPr>
          </w:p>
          <w:p w14:paraId="3B8D680E">
            <w:pPr>
              <w:spacing w:line="253" w:lineRule="auto"/>
              <w:rPr>
                <w:rFonts w:ascii="Arial"/>
                <w:sz w:val="21"/>
              </w:rPr>
            </w:pPr>
          </w:p>
          <w:p w14:paraId="19316D09">
            <w:pPr>
              <w:pStyle w:val="6"/>
              <w:spacing w:before="73" w:line="274" w:lineRule="auto"/>
              <w:ind w:left="110" w:right="118" w:firstLine="47"/>
              <w:jc w:val="both"/>
              <w:rPr>
                <w:sz w:val="20"/>
                <w:szCs w:val="20"/>
              </w:rPr>
            </w:pPr>
            <w:r>
              <w:rPr>
                <w:rFonts w:ascii="Calibri" w:hAnsi="Calibri" w:eastAsia="Calibri" w:cs="Calibri"/>
                <w:spacing w:val="-12"/>
              </w:rPr>
              <w:t>7</w:t>
            </w:r>
            <w:r>
              <w:rPr>
                <w:rFonts w:ascii="Calibri" w:hAnsi="Calibri" w:eastAsia="Calibri" w:cs="Calibri"/>
              </w:rPr>
              <w:t xml:space="preserve">  </w:t>
            </w:r>
            <w:r>
              <w:rPr>
                <w:spacing w:val="1"/>
                <w:sz w:val="20"/>
                <w:szCs w:val="20"/>
              </w:rPr>
              <w:t>拆</w:t>
            </w:r>
            <w:r>
              <w:rPr>
                <w:sz w:val="20"/>
                <w:szCs w:val="20"/>
              </w:rPr>
              <w:t xml:space="preserve"> </w:t>
            </w:r>
            <w:r>
              <w:rPr>
                <w:spacing w:val="1"/>
                <w:sz w:val="20"/>
                <w:szCs w:val="20"/>
              </w:rPr>
              <w:t>解</w:t>
            </w:r>
            <w:r>
              <w:rPr>
                <w:sz w:val="20"/>
                <w:szCs w:val="20"/>
              </w:rPr>
              <w:t xml:space="preserve"> </w:t>
            </w:r>
            <w:r>
              <w:rPr>
                <w:spacing w:val="1"/>
                <w:sz w:val="20"/>
                <w:szCs w:val="20"/>
              </w:rPr>
              <w:t>后</w:t>
            </w:r>
            <w:r>
              <w:rPr>
                <w:sz w:val="20"/>
                <w:szCs w:val="20"/>
              </w:rPr>
              <w:t xml:space="preserve"> </w:t>
            </w:r>
            <w:r>
              <w:rPr>
                <w:spacing w:val="1"/>
                <w:sz w:val="20"/>
                <w:szCs w:val="20"/>
              </w:rPr>
              <w:t>储</w:t>
            </w:r>
            <w:r>
              <w:rPr>
                <w:sz w:val="20"/>
                <w:szCs w:val="20"/>
              </w:rPr>
              <w:t xml:space="preserve"> </w:t>
            </w:r>
            <w:r>
              <w:rPr>
                <w:spacing w:val="1"/>
                <w:sz w:val="20"/>
                <w:szCs w:val="20"/>
              </w:rPr>
              <w:t>存</w:t>
            </w:r>
          </w:p>
        </w:tc>
        <w:tc>
          <w:tcPr>
            <w:tcW w:w="560" w:type="dxa"/>
            <w:tcBorders>
              <w:bottom w:val="single" w:color="000000" w:sz="10" w:space="0"/>
            </w:tcBorders>
            <w:vAlign w:val="top"/>
          </w:tcPr>
          <w:p w14:paraId="76F453F7">
            <w:pPr>
              <w:spacing w:line="264" w:lineRule="auto"/>
              <w:rPr>
                <w:rFonts w:ascii="Arial"/>
                <w:sz w:val="21"/>
              </w:rPr>
            </w:pPr>
          </w:p>
          <w:p w14:paraId="090F10E2">
            <w:pPr>
              <w:spacing w:line="264" w:lineRule="auto"/>
              <w:rPr>
                <w:rFonts w:ascii="Arial"/>
                <w:sz w:val="21"/>
              </w:rPr>
            </w:pPr>
          </w:p>
          <w:p w14:paraId="05351411">
            <w:pPr>
              <w:spacing w:line="264" w:lineRule="auto"/>
              <w:rPr>
                <w:rFonts w:ascii="Arial"/>
                <w:sz w:val="21"/>
              </w:rPr>
            </w:pPr>
          </w:p>
          <w:p w14:paraId="255B41AA">
            <w:pPr>
              <w:spacing w:line="265" w:lineRule="auto"/>
              <w:rPr>
                <w:rFonts w:ascii="Arial"/>
                <w:sz w:val="21"/>
              </w:rPr>
            </w:pPr>
          </w:p>
          <w:p w14:paraId="61C0500E">
            <w:pPr>
              <w:spacing w:line="265" w:lineRule="auto"/>
              <w:rPr>
                <w:rFonts w:ascii="Arial"/>
                <w:sz w:val="21"/>
              </w:rPr>
            </w:pPr>
          </w:p>
          <w:p w14:paraId="0ACA5DD0">
            <w:pPr>
              <w:spacing w:line="265" w:lineRule="auto"/>
              <w:rPr>
                <w:rFonts w:ascii="Arial"/>
                <w:sz w:val="21"/>
              </w:rPr>
            </w:pPr>
          </w:p>
          <w:p w14:paraId="7DFD4215">
            <w:pPr>
              <w:spacing w:line="265" w:lineRule="auto"/>
              <w:rPr>
                <w:rFonts w:ascii="Arial"/>
                <w:sz w:val="21"/>
              </w:rPr>
            </w:pPr>
          </w:p>
          <w:p w14:paraId="309E781E">
            <w:pPr>
              <w:spacing w:line="265" w:lineRule="auto"/>
              <w:rPr>
                <w:rFonts w:ascii="Arial"/>
                <w:sz w:val="21"/>
              </w:rPr>
            </w:pPr>
          </w:p>
          <w:p w14:paraId="6F8A1DB8">
            <w:pPr>
              <w:pStyle w:val="6"/>
              <w:spacing w:before="73" w:line="276" w:lineRule="auto"/>
              <w:ind w:left="172" w:right="132" w:hanging="43"/>
              <w:jc w:val="both"/>
              <w:rPr>
                <w:sz w:val="20"/>
                <w:szCs w:val="20"/>
              </w:rPr>
            </w:pPr>
            <w:r>
              <w:rPr>
                <w:rFonts w:ascii="Calibri" w:hAnsi="Calibri" w:eastAsia="Calibri" w:cs="Calibri"/>
                <w:spacing w:val="-4"/>
              </w:rPr>
              <w:t>7.1</w:t>
            </w:r>
            <w:r>
              <w:rPr>
                <w:rFonts w:ascii="Calibri" w:hAnsi="Calibri" w:eastAsia="Calibri" w:cs="Calibri"/>
              </w:rPr>
              <w:t xml:space="preserve"> </w:t>
            </w:r>
            <w:r>
              <w:rPr>
                <w:spacing w:val="1"/>
                <w:sz w:val="20"/>
                <w:szCs w:val="20"/>
              </w:rPr>
              <w:t>固</w:t>
            </w:r>
            <w:r>
              <w:rPr>
                <w:sz w:val="20"/>
                <w:szCs w:val="20"/>
              </w:rPr>
              <w:t xml:space="preserve"> </w:t>
            </w:r>
            <w:r>
              <w:rPr>
                <w:spacing w:val="1"/>
                <w:sz w:val="20"/>
                <w:szCs w:val="20"/>
              </w:rPr>
              <w:t>体</w:t>
            </w:r>
            <w:r>
              <w:rPr>
                <w:sz w:val="20"/>
                <w:szCs w:val="20"/>
              </w:rPr>
              <w:t xml:space="preserve"> </w:t>
            </w:r>
            <w:r>
              <w:rPr>
                <w:spacing w:val="1"/>
                <w:sz w:val="20"/>
                <w:szCs w:val="20"/>
              </w:rPr>
              <w:t>废</w:t>
            </w:r>
            <w:r>
              <w:rPr>
                <w:sz w:val="20"/>
                <w:szCs w:val="20"/>
              </w:rPr>
              <w:t xml:space="preserve"> </w:t>
            </w:r>
            <w:r>
              <w:rPr>
                <w:spacing w:val="1"/>
                <w:sz w:val="20"/>
                <w:szCs w:val="20"/>
              </w:rPr>
              <w:t>物</w:t>
            </w:r>
            <w:r>
              <w:rPr>
                <w:sz w:val="20"/>
                <w:szCs w:val="20"/>
              </w:rPr>
              <w:t xml:space="preserve"> </w:t>
            </w:r>
            <w:r>
              <w:rPr>
                <w:spacing w:val="1"/>
                <w:sz w:val="20"/>
                <w:szCs w:val="20"/>
              </w:rPr>
              <w:t>储</w:t>
            </w:r>
            <w:r>
              <w:rPr>
                <w:sz w:val="20"/>
                <w:szCs w:val="20"/>
              </w:rPr>
              <w:t xml:space="preserve"> </w:t>
            </w:r>
            <w:r>
              <w:rPr>
                <w:spacing w:val="1"/>
                <w:sz w:val="20"/>
                <w:szCs w:val="20"/>
              </w:rPr>
              <w:t>存</w:t>
            </w:r>
          </w:p>
        </w:tc>
        <w:tc>
          <w:tcPr>
            <w:tcW w:w="3422" w:type="dxa"/>
            <w:tcBorders>
              <w:bottom w:val="single" w:color="000000" w:sz="10" w:space="0"/>
            </w:tcBorders>
            <w:vAlign w:val="top"/>
          </w:tcPr>
          <w:p w14:paraId="4004A3E4">
            <w:pPr>
              <w:pStyle w:val="6"/>
              <w:spacing w:before="153" w:line="255" w:lineRule="auto"/>
              <w:ind w:left="112" w:right="109" w:firstLine="484"/>
              <w:rPr>
                <w:sz w:val="20"/>
                <w:szCs w:val="20"/>
              </w:rPr>
            </w:pPr>
            <w:r>
              <w:rPr>
                <w:rFonts w:ascii="Calibri" w:hAnsi="Calibri" w:eastAsia="Calibri" w:cs="Calibri"/>
                <w:spacing w:val="14"/>
              </w:rPr>
              <w:t>7.1.1</w:t>
            </w:r>
            <w:r>
              <w:rPr>
                <w:spacing w:val="14"/>
                <w:sz w:val="20"/>
                <w:szCs w:val="20"/>
              </w:rPr>
              <w:t>固体废物的储存应符合</w:t>
            </w:r>
            <w:r>
              <w:rPr>
                <w:spacing w:val="13"/>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35"/>
                <w:w w:val="101"/>
                <w:sz w:val="20"/>
                <w:szCs w:val="20"/>
              </w:rPr>
              <w:t xml:space="preserve"> </w:t>
            </w:r>
            <w:r>
              <w:rPr>
                <w:rFonts w:ascii="Times New Roman" w:hAnsi="Times New Roman" w:eastAsia="Times New Roman" w:cs="Times New Roman"/>
                <w:sz w:val="20"/>
                <w:szCs w:val="20"/>
              </w:rPr>
              <w:t>18599</w:t>
            </w:r>
            <w:r>
              <w:rPr>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30"/>
                <w:sz w:val="20"/>
                <w:szCs w:val="20"/>
              </w:rPr>
              <w:t xml:space="preserve"> </w:t>
            </w:r>
            <w:r>
              <w:rPr>
                <w:rFonts w:ascii="Times New Roman" w:hAnsi="Times New Roman" w:eastAsia="Times New Roman" w:cs="Times New Roman"/>
                <w:sz w:val="20"/>
                <w:szCs w:val="20"/>
              </w:rPr>
              <w:t>18597</w:t>
            </w:r>
            <w:r>
              <w:rPr>
                <w:sz w:val="20"/>
                <w:szCs w:val="20"/>
              </w:rPr>
              <w:t>和</w:t>
            </w:r>
            <w:r>
              <w:rPr>
                <w:rFonts w:ascii="Times New Roman" w:hAnsi="Times New Roman" w:eastAsia="Times New Roman" w:cs="Times New Roman"/>
                <w:sz w:val="20"/>
                <w:szCs w:val="20"/>
              </w:rPr>
              <w:t>HJ 2025</w:t>
            </w:r>
            <w:r>
              <w:rPr>
                <w:sz w:val="20"/>
                <w:szCs w:val="20"/>
              </w:rPr>
              <w:t>的规 定。</w:t>
            </w:r>
          </w:p>
          <w:p w14:paraId="12F5E6E1">
            <w:pPr>
              <w:pStyle w:val="6"/>
              <w:spacing w:before="74" w:line="271" w:lineRule="auto"/>
              <w:ind w:left="108" w:right="109" w:firstLine="487"/>
              <w:rPr>
                <w:sz w:val="20"/>
                <w:szCs w:val="20"/>
              </w:rPr>
            </w:pPr>
            <w:r>
              <w:rPr>
                <w:rFonts w:ascii="Calibri" w:hAnsi="Calibri" w:eastAsia="Calibri" w:cs="Calibri"/>
                <w:spacing w:val="14"/>
              </w:rPr>
              <w:t>7.1.2</w:t>
            </w:r>
            <w:r>
              <w:rPr>
                <w:spacing w:val="14"/>
                <w:sz w:val="20"/>
                <w:szCs w:val="20"/>
              </w:rPr>
              <w:t>一般工业固体废物储存</w:t>
            </w:r>
            <w:r>
              <w:rPr>
                <w:spacing w:val="13"/>
                <w:sz w:val="20"/>
                <w:szCs w:val="20"/>
              </w:rPr>
              <w:t xml:space="preserve"> </w:t>
            </w:r>
            <w:r>
              <w:rPr>
                <w:spacing w:val="15"/>
                <w:sz w:val="20"/>
                <w:szCs w:val="20"/>
              </w:rPr>
              <w:t>设施及包装物应按照</w:t>
            </w:r>
            <w:r>
              <w:rPr>
                <w:rFonts w:ascii="Times New Roman" w:hAnsi="Times New Roman" w:eastAsia="Times New Roman" w:cs="Times New Roman"/>
                <w:sz w:val="20"/>
                <w:szCs w:val="20"/>
              </w:rPr>
              <w:t>GB</w:t>
            </w:r>
            <w:r>
              <w:rPr>
                <w:rFonts w:ascii="Times New Roman" w:hAnsi="Times New Roman" w:eastAsia="Times New Roman" w:cs="Times New Roman"/>
                <w:spacing w:val="15"/>
                <w:sz w:val="20"/>
                <w:szCs w:val="20"/>
              </w:rPr>
              <w:t>15562.2</w:t>
            </w:r>
            <w:r>
              <w:rPr>
                <w:spacing w:val="15"/>
                <w:sz w:val="20"/>
                <w:szCs w:val="20"/>
              </w:rPr>
              <w:t>的</w:t>
            </w:r>
            <w:r>
              <w:rPr>
                <w:spacing w:val="14"/>
                <w:sz w:val="20"/>
                <w:szCs w:val="20"/>
              </w:rPr>
              <w:t xml:space="preserve"> </w:t>
            </w:r>
            <w:r>
              <w:rPr>
                <w:spacing w:val="13"/>
                <w:sz w:val="20"/>
                <w:szCs w:val="20"/>
              </w:rPr>
              <w:t>规定进行标识，危险废物储存设施</w:t>
            </w:r>
            <w:r>
              <w:rPr>
                <w:spacing w:val="2"/>
                <w:sz w:val="20"/>
                <w:szCs w:val="20"/>
              </w:rPr>
              <w:t xml:space="preserve"> </w:t>
            </w:r>
            <w:r>
              <w:rPr>
                <w:spacing w:val="8"/>
                <w:sz w:val="20"/>
                <w:szCs w:val="20"/>
              </w:rPr>
              <w:t>及包装物的标志应符合</w:t>
            </w:r>
            <w:r>
              <w:rPr>
                <w:rFonts w:ascii="Times New Roman" w:hAnsi="Times New Roman" w:eastAsia="Times New Roman" w:cs="Times New Roman"/>
                <w:sz w:val="20"/>
                <w:szCs w:val="20"/>
              </w:rPr>
              <w:t>GB</w:t>
            </w:r>
            <w:r>
              <w:rPr>
                <w:rFonts w:ascii="Times New Roman" w:hAnsi="Times New Roman" w:eastAsia="Times New Roman" w:cs="Times New Roman"/>
                <w:spacing w:val="41"/>
                <w:sz w:val="20"/>
                <w:szCs w:val="20"/>
              </w:rPr>
              <w:t xml:space="preserve"> </w:t>
            </w:r>
            <w:r>
              <w:rPr>
                <w:rFonts w:ascii="Times New Roman" w:hAnsi="Times New Roman" w:eastAsia="Times New Roman" w:cs="Times New Roman"/>
                <w:spacing w:val="8"/>
                <w:sz w:val="20"/>
                <w:szCs w:val="20"/>
              </w:rPr>
              <w:t>18597</w:t>
            </w:r>
            <w:r>
              <w:rPr>
                <w:spacing w:val="8"/>
                <w:sz w:val="20"/>
                <w:szCs w:val="20"/>
              </w:rPr>
              <w:t>和</w:t>
            </w:r>
            <w:r>
              <w:rPr>
                <w:sz w:val="20"/>
                <w:szCs w:val="20"/>
              </w:rPr>
              <w:t xml:space="preserve"> </w:t>
            </w:r>
            <w:r>
              <w:rPr>
                <w:rFonts w:ascii="Times New Roman" w:hAnsi="Times New Roman" w:eastAsia="Times New Roman" w:cs="Times New Roman"/>
                <w:sz w:val="20"/>
                <w:szCs w:val="20"/>
              </w:rPr>
              <w:t>HJ</w:t>
            </w:r>
            <w:r>
              <w:rPr>
                <w:rFonts w:ascii="Times New Roman" w:hAnsi="Times New Roman" w:eastAsia="Times New Roman" w:cs="Times New Roman"/>
                <w:spacing w:val="7"/>
                <w:sz w:val="20"/>
                <w:szCs w:val="20"/>
              </w:rPr>
              <w:t xml:space="preserve"> 2025</w:t>
            </w:r>
            <w:r>
              <w:rPr>
                <w:spacing w:val="7"/>
                <w:sz w:val="20"/>
                <w:szCs w:val="20"/>
              </w:rPr>
              <w:t>的规定。所有固体废物避免</w:t>
            </w:r>
            <w:r>
              <w:rPr>
                <w:spacing w:val="5"/>
                <w:sz w:val="20"/>
                <w:szCs w:val="20"/>
              </w:rPr>
              <w:t xml:space="preserve"> </w:t>
            </w:r>
            <w:r>
              <w:rPr>
                <w:spacing w:val="7"/>
                <w:sz w:val="20"/>
                <w:szCs w:val="20"/>
              </w:rPr>
              <w:t>混合、混放。</w:t>
            </w:r>
          </w:p>
          <w:p w14:paraId="06662CED">
            <w:pPr>
              <w:pStyle w:val="6"/>
              <w:spacing w:before="71" w:line="239" w:lineRule="auto"/>
              <w:ind w:left="116" w:right="109" w:firstLine="480"/>
              <w:rPr>
                <w:sz w:val="20"/>
                <w:szCs w:val="20"/>
              </w:rPr>
            </w:pPr>
            <w:r>
              <w:rPr>
                <w:rFonts w:ascii="Calibri" w:hAnsi="Calibri" w:eastAsia="Calibri" w:cs="Calibri"/>
                <w:spacing w:val="1"/>
              </w:rPr>
              <w:t>7.1.3</w:t>
            </w:r>
            <w:r>
              <w:rPr>
                <w:spacing w:val="1"/>
                <w:sz w:val="20"/>
                <w:szCs w:val="20"/>
              </w:rPr>
              <w:t>妥善处置固体废物，不应</w:t>
            </w:r>
            <w:r>
              <w:rPr>
                <w:spacing w:val="7"/>
                <w:sz w:val="20"/>
                <w:szCs w:val="20"/>
              </w:rPr>
              <w:t xml:space="preserve"> </w:t>
            </w:r>
            <w:r>
              <w:rPr>
                <w:spacing w:val="8"/>
                <w:sz w:val="20"/>
                <w:szCs w:val="20"/>
              </w:rPr>
              <w:t>非法转移、倾倒、利用和处置。</w:t>
            </w:r>
          </w:p>
          <w:p w14:paraId="0740C77E">
            <w:pPr>
              <w:pStyle w:val="6"/>
              <w:spacing w:before="72" w:line="255" w:lineRule="auto"/>
              <w:ind w:left="111" w:right="109" w:firstLine="485"/>
              <w:rPr>
                <w:sz w:val="20"/>
                <w:szCs w:val="20"/>
              </w:rPr>
            </w:pPr>
            <w:r>
              <w:rPr>
                <w:rFonts w:ascii="Calibri" w:hAnsi="Calibri" w:eastAsia="Calibri" w:cs="Calibri"/>
                <w:spacing w:val="14"/>
              </w:rPr>
              <w:t>7.1.4</w:t>
            </w:r>
            <w:r>
              <w:rPr>
                <w:spacing w:val="14"/>
                <w:sz w:val="20"/>
                <w:szCs w:val="20"/>
              </w:rPr>
              <w:t>制冷剂应使用专用设备</w:t>
            </w:r>
            <w:r>
              <w:rPr>
                <w:spacing w:val="13"/>
                <w:sz w:val="20"/>
                <w:szCs w:val="20"/>
              </w:rPr>
              <w:t xml:space="preserve"> 进行回收，有条件的可分类收集，</w:t>
            </w:r>
            <w:r>
              <w:rPr>
                <w:sz w:val="20"/>
                <w:szCs w:val="20"/>
              </w:rPr>
              <w:t xml:space="preserve"> </w:t>
            </w:r>
            <w:r>
              <w:rPr>
                <w:spacing w:val="8"/>
                <w:sz w:val="20"/>
                <w:szCs w:val="20"/>
              </w:rPr>
              <w:t>并使用专门容器单独储存。</w:t>
            </w:r>
          </w:p>
          <w:p w14:paraId="3758DD27">
            <w:pPr>
              <w:pStyle w:val="6"/>
              <w:spacing w:before="73" w:line="239" w:lineRule="auto"/>
              <w:ind w:left="112" w:right="109" w:firstLine="484"/>
              <w:rPr>
                <w:sz w:val="20"/>
                <w:szCs w:val="20"/>
              </w:rPr>
            </w:pPr>
            <w:r>
              <w:rPr>
                <w:rFonts w:ascii="Calibri" w:hAnsi="Calibri" w:eastAsia="Calibri" w:cs="Calibri"/>
                <w:spacing w:val="1"/>
              </w:rPr>
              <w:t>7.1.5</w:t>
            </w:r>
            <w:r>
              <w:rPr>
                <w:spacing w:val="1"/>
                <w:sz w:val="20"/>
                <w:szCs w:val="20"/>
              </w:rPr>
              <w:t>废弃电器、铅酸蓄电池储</w:t>
            </w:r>
            <w:r>
              <w:rPr>
                <w:spacing w:val="7"/>
                <w:sz w:val="20"/>
                <w:szCs w:val="20"/>
              </w:rPr>
              <w:t xml:space="preserve"> 存场地不得有明火。</w:t>
            </w:r>
          </w:p>
          <w:p w14:paraId="7CF2EEA9">
            <w:pPr>
              <w:pStyle w:val="6"/>
              <w:spacing w:before="71" w:line="239" w:lineRule="auto"/>
              <w:ind w:left="114" w:right="109" w:firstLine="482"/>
              <w:rPr>
                <w:sz w:val="20"/>
                <w:szCs w:val="20"/>
              </w:rPr>
            </w:pPr>
            <w:r>
              <w:rPr>
                <w:rFonts w:ascii="Calibri" w:hAnsi="Calibri" w:eastAsia="Calibri" w:cs="Calibri"/>
                <w:spacing w:val="14"/>
              </w:rPr>
              <w:t>7.1.6</w:t>
            </w:r>
            <w:r>
              <w:rPr>
                <w:spacing w:val="14"/>
                <w:sz w:val="20"/>
                <w:szCs w:val="20"/>
              </w:rPr>
              <w:t>容器和装置要防漏和防</w:t>
            </w:r>
            <w:r>
              <w:rPr>
                <w:spacing w:val="13"/>
                <w:sz w:val="20"/>
                <w:szCs w:val="20"/>
              </w:rPr>
              <w:t xml:space="preserve"> </w:t>
            </w:r>
            <w:r>
              <w:rPr>
                <w:spacing w:val="8"/>
                <w:sz w:val="20"/>
                <w:szCs w:val="20"/>
              </w:rPr>
              <w:t>止洒溅，并对其进行日常性检查。</w:t>
            </w:r>
          </w:p>
          <w:p w14:paraId="4F92C193">
            <w:pPr>
              <w:pStyle w:val="6"/>
              <w:spacing w:before="75" w:line="239" w:lineRule="auto"/>
              <w:ind w:left="113" w:right="109" w:firstLine="483"/>
              <w:rPr>
                <w:sz w:val="20"/>
                <w:szCs w:val="20"/>
              </w:rPr>
            </w:pPr>
            <w:r>
              <w:rPr>
                <w:rFonts w:ascii="Calibri" w:hAnsi="Calibri" w:eastAsia="Calibri" w:cs="Calibri"/>
                <w:spacing w:val="14"/>
              </w:rPr>
              <w:t>7.1.7</w:t>
            </w:r>
            <w:r>
              <w:rPr>
                <w:spacing w:val="14"/>
                <w:sz w:val="20"/>
                <w:szCs w:val="20"/>
              </w:rPr>
              <w:t>对拆解后的所有固体废</w:t>
            </w:r>
            <w:r>
              <w:rPr>
                <w:spacing w:val="13"/>
                <w:sz w:val="20"/>
                <w:szCs w:val="20"/>
              </w:rPr>
              <w:t xml:space="preserve"> </w:t>
            </w:r>
            <w:r>
              <w:rPr>
                <w:spacing w:val="7"/>
                <w:sz w:val="20"/>
                <w:szCs w:val="20"/>
              </w:rPr>
              <w:t>物分类储存和标识。</w:t>
            </w:r>
          </w:p>
        </w:tc>
        <w:tc>
          <w:tcPr>
            <w:tcW w:w="2318" w:type="dxa"/>
            <w:tcBorders>
              <w:bottom w:val="single" w:color="000000" w:sz="10" w:space="0"/>
            </w:tcBorders>
            <w:vAlign w:val="top"/>
          </w:tcPr>
          <w:p w14:paraId="6771C829">
            <w:pPr>
              <w:pStyle w:val="6"/>
              <w:spacing w:before="90" w:line="286" w:lineRule="auto"/>
              <w:ind w:left="117" w:right="96" w:firstLine="437"/>
              <w:rPr>
                <w:sz w:val="20"/>
                <w:szCs w:val="20"/>
              </w:rPr>
            </w:pPr>
            <w:r>
              <w:rPr>
                <w:spacing w:val="7"/>
                <w:sz w:val="20"/>
                <w:szCs w:val="20"/>
              </w:rPr>
              <w:t>固体废物的储存符</w:t>
            </w:r>
            <w:r>
              <w:rPr>
                <w:spacing w:val="4"/>
                <w:sz w:val="20"/>
                <w:szCs w:val="20"/>
              </w:rPr>
              <w:t xml:space="preserve"> </w:t>
            </w:r>
            <w:r>
              <w:rPr>
                <w:spacing w:val="-1"/>
                <w:sz w:val="20"/>
                <w:szCs w:val="20"/>
              </w:rPr>
              <w:t>合</w:t>
            </w:r>
            <w:r>
              <w:rPr>
                <w:rFonts w:ascii="Times New Roman" w:hAnsi="Times New Roman" w:eastAsia="Times New Roman" w:cs="Times New Roman"/>
                <w:spacing w:val="-1"/>
                <w:sz w:val="20"/>
                <w:szCs w:val="20"/>
              </w:rPr>
              <w:t>GB</w:t>
            </w:r>
            <w:r>
              <w:rPr>
                <w:rFonts w:ascii="Times New Roman" w:hAnsi="Times New Roman" w:eastAsia="Times New Roman" w:cs="Times New Roman"/>
                <w:spacing w:val="29"/>
                <w:sz w:val="20"/>
                <w:szCs w:val="20"/>
              </w:rPr>
              <w:t xml:space="preserve"> </w:t>
            </w:r>
            <w:r>
              <w:rPr>
                <w:rFonts w:ascii="Times New Roman" w:hAnsi="Times New Roman" w:eastAsia="Times New Roman" w:cs="Times New Roman"/>
                <w:spacing w:val="-1"/>
                <w:sz w:val="20"/>
                <w:szCs w:val="20"/>
              </w:rPr>
              <w:t>18599</w:t>
            </w:r>
            <w:r>
              <w:rPr>
                <w:spacing w:val="-1"/>
                <w:sz w:val="20"/>
                <w:szCs w:val="20"/>
              </w:rPr>
              <w:t>、</w:t>
            </w:r>
            <w:r>
              <w:rPr>
                <w:rFonts w:ascii="Times New Roman" w:hAnsi="Times New Roman" w:eastAsia="Times New Roman" w:cs="Times New Roman"/>
                <w:spacing w:val="-1"/>
                <w:sz w:val="20"/>
                <w:szCs w:val="20"/>
              </w:rPr>
              <w:t>GB</w:t>
            </w:r>
            <w:r>
              <w:rPr>
                <w:rFonts w:ascii="Times New Roman" w:hAnsi="Times New Roman" w:eastAsia="Times New Roman" w:cs="Times New Roman"/>
                <w:spacing w:val="29"/>
                <w:w w:val="101"/>
                <w:sz w:val="20"/>
                <w:szCs w:val="20"/>
              </w:rPr>
              <w:t xml:space="preserve"> </w:t>
            </w:r>
            <w:r>
              <w:rPr>
                <w:rFonts w:ascii="Times New Roman" w:hAnsi="Times New Roman" w:eastAsia="Times New Roman" w:cs="Times New Roman"/>
                <w:spacing w:val="-1"/>
                <w:sz w:val="20"/>
                <w:szCs w:val="20"/>
              </w:rPr>
              <w:t>18597</w:t>
            </w:r>
            <w:r>
              <w:rPr>
                <w:rFonts w:ascii="Times New Roman" w:hAnsi="Times New Roman" w:eastAsia="Times New Roman" w:cs="Times New Roman"/>
                <w:sz w:val="20"/>
                <w:szCs w:val="20"/>
              </w:rPr>
              <w:t xml:space="preserve"> </w:t>
            </w:r>
            <w:r>
              <w:rPr>
                <w:spacing w:val="6"/>
                <w:sz w:val="20"/>
                <w:szCs w:val="20"/>
              </w:rPr>
              <w:t>和</w:t>
            </w:r>
            <w:r>
              <w:rPr>
                <w:rFonts w:ascii="Times New Roman" w:hAnsi="Times New Roman" w:eastAsia="Times New Roman" w:cs="Times New Roman"/>
                <w:sz w:val="20"/>
                <w:szCs w:val="20"/>
              </w:rPr>
              <w:t>HJ</w:t>
            </w:r>
            <w:r>
              <w:rPr>
                <w:rFonts w:ascii="Times New Roman" w:hAnsi="Times New Roman" w:eastAsia="Times New Roman" w:cs="Times New Roman"/>
                <w:spacing w:val="6"/>
                <w:sz w:val="20"/>
                <w:szCs w:val="20"/>
              </w:rPr>
              <w:t xml:space="preserve"> 2025</w:t>
            </w:r>
            <w:r>
              <w:rPr>
                <w:spacing w:val="6"/>
                <w:sz w:val="20"/>
                <w:szCs w:val="20"/>
              </w:rPr>
              <w:t>的规定。</w:t>
            </w:r>
          </w:p>
          <w:p w14:paraId="6F8F1663">
            <w:pPr>
              <w:pStyle w:val="6"/>
              <w:spacing w:before="25" w:line="293" w:lineRule="auto"/>
              <w:ind w:left="115" w:right="97" w:firstLine="424"/>
              <w:rPr>
                <w:sz w:val="20"/>
                <w:szCs w:val="20"/>
              </w:rPr>
            </w:pPr>
            <w:r>
              <w:rPr>
                <w:spacing w:val="9"/>
                <w:sz w:val="20"/>
                <w:szCs w:val="20"/>
              </w:rPr>
              <w:t>一般工业固体废物</w:t>
            </w:r>
            <w:r>
              <w:rPr>
                <w:spacing w:val="2"/>
                <w:sz w:val="20"/>
                <w:szCs w:val="20"/>
              </w:rPr>
              <w:t xml:space="preserve"> </w:t>
            </w:r>
            <w:r>
              <w:rPr>
                <w:spacing w:val="9"/>
                <w:sz w:val="20"/>
                <w:szCs w:val="20"/>
              </w:rPr>
              <w:t>储存设施及包装物按照</w:t>
            </w:r>
            <w:r>
              <w:rPr>
                <w:spacing w:val="8"/>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14"/>
                <w:sz w:val="20"/>
                <w:szCs w:val="20"/>
              </w:rPr>
              <w:t>15562.2</w:t>
            </w:r>
            <w:r>
              <w:rPr>
                <w:spacing w:val="14"/>
                <w:sz w:val="20"/>
                <w:szCs w:val="20"/>
              </w:rPr>
              <w:t>的规定进行</w:t>
            </w:r>
            <w:r>
              <w:rPr>
                <w:spacing w:val="3"/>
                <w:sz w:val="20"/>
                <w:szCs w:val="20"/>
              </w:rPr>
              <w:t xml:space="preserve"> </w:t>
            </w:r>
            <w:r>
              <w:rPr>
                <w:spacing w:val="10"/>
                <w:sz w:val="20"/>
                <w:szCs w:val="20"/>
              </w:rPr>
              <w:t>标识，危险废物储存设</w:t>
            </w:r>
            <w:r>
              <w:rPr>
                <w:sz w:val="20"/>
                <w:szCs w:val="20"/>
              </w:rPr>
              <w:t xml:space="preserve"> </w:t>
            </w:r>
            <w:r>
              <w:rPr>
                <w:spacing w:val="9"/>
                <w:sz w:val="20"/>
                <w:szCs w:val="20"/>
              </w:rPr>
              <w:t>施及包装物的标志符合</w:t>
            </w:r>
            <w:r>
              <w:rPr>
                <w:spacing w:val="8"/>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 xml:space="preserve">  </w:t>
            </w:r>
            <w:r>
              <w:rPr>
                <w:rFonts w:ascii="Times New Roman" w:hAnsi="Times New Roman" w:eastAsia="Times New Roman" w:cs="Times New Roman"/>
                <w:spacing w:val="2"/>
                <w:sz w:val="20"/>
                <w:szCs w:val="20"/>
              </w:rPr>
              <w:t>18597</w:t>
            </w:r>
            <w:r>
              <w:rPr>
                <w:rFonts w:ascii="Times New Roman" w:hAnsi="Times New Roman" w:eastAsia="Times New Roman" w:cs="Times New Roman"/>
                <w:spacing w:val="-17"/>
                <w:sz w:val="20"/>
                <w:szCs w:val="20"/>
              </w:rPr>
              <w:t xml:space="preserve"> </w:t>
            </w:r>
            <w:r>
              <w:rPr>
                <w:spacing w:val="2"/>
                <w:sz w:val="20"/>
                <w:szCs w:val="20"/>
              </w:rPr>
              <w:t>和</w:t>
            </w:r>
            <w:r>
              <w:rPr>
                <w:rFonts w:ascii="Times New Roman" w:hAnsi="Times New Roman" w:eastAsia="Times New Roman" w:cs="Times New Roman"/>
                <w:sz w:val="20"/>
                <w:szCs w:val="20"/>
              </w:rPr>
              <w:t>HJ</w:t>
            </w:r>
            <w:r>
              <w:rPr>
                <w:rFonts w:ascii="Times New Roman" w:hAnsi="Times New Roman" w:eastAsia="Times New Roman" w:cs="Times New Roman"/>
                <w:spacing w:val="31"/>
                <w:w w:val="101"/>
                <w:sz w:val="20"/>
                <w:szCs w:val="20"/>
              </w:rPr>
              <w:t xml:space="preserve"> </w:t>
            </w:r>
            <w:r>
              <w:rPr>
                <w:rFonts w:ascii="Times New Roman" w:hAnsi="Times New Roman" w:eastAsia="Times New Roman" w:cs="Times New Roman"/>
                <w:spacing w:val="2"/>
                <w:sz w:val="20"/>
                <w:szCs w:val="20"/>
              </w:rPr>
              <w:t xml:space="preserve">2025 </w:t>
            </w:r>
            <w:r>
              <w:rPr>
                <w:spacing w:val="2"/>
                <w:sz w:val="20"/>
                <w:szCs w:val="20"/>
              </w:rPr>
              <w:t>的</w:t>
            </w:r>
            <w:r>
              <w:rPr>
                <w:sz w:val="20"/>
                <w:szCs w:val="20"/>
              </w:rPr>
              <w:t xml:space="preserve"> </w:t>
            </w:r>
            <w:r>
              <w:rPr>
                <w:spacing w:val="10"/>
                <w:sz w:val="20"/>
                <w:szCs w:val="20"/>
              </w:rPr>
              <w:t>规定。报废农业机械与</w:t>
            </w:r>
            <w:r>
              <w:rPr>
                <w:sz w:val="20"/>
                <w:szCs w:val="20"/>
              </w:rPr>
              <w:t xml:space="preserve"> </w:t>
            </w:r>
            <w:r>
              <w:rPr>
                <w:spacing w:val="10"/>
                <w:sz w:val="20"/>
                <w:szCs w:val="20"/>
              </w:rPr>
              <w:t>其他废弃物分开储存，</w:t>
            </w:r>
            <w:r>
              <w:rPr>
                <w:sz w:val="20"/>
                <w:szCs w:val="20"/>
              </w:rPr>
              <w:t xml:space="preserve"> </w:t>
            </w:r>
            <w:r>
              <w:rPr>
                <w:spacing w:val="33"/>
                <w:sz w:val="20"/>
                <w:szCs w:val="20"/>
              </w:rPr>
              <w:t>所有固体废物避免混</w:t>
            </w:r>
            <w:r>
              <w:rPr>
                <w:spacing w:val="2"/>
                <w:sz w:val="20"/>
                <w:szCs w:val="20"/>
              </w:rPr>
              <w:t xml:space="preserve"> </w:t>
            </w:r>
            <w:r>
              <w:rPr>
                <w:spacing w:val="6"/>
                <w:sz w:val="20"/>
                <w:szCs w:val="20"/>
              </w:rPr>
              <w:t>合、混放。</w:t>
            </w:r>
          </w:p>
          <w:p w14:paraId="68FBED34">
            <w:pPr>
              <w:pStyle w:val="6"/>
              <w:spacing w:before="30" w:line="288" w:lineRule="auto"/>
              <w:ind w:left="115" w:right="26" w:firstLine="422"/>
              <w:rPr>
                <w:sz w:val="20"/>
                <w:szCs w:val="20"/>
              </w:rPr>
            </w:pPr>
            <w:r>
              <w:rPr>
                <w:spacing w:val="39"/>
                <w:sz w:val="20"/>
                <w:szCs w:val="20"/>
              </w:rPr>
              <w:t>妥善处置固体废</w:t>
            </w:r>
            <w:r>
              <w:rPr>
                <w:spacing w:val="3"/>
                <w:sz w:val="20"/>
                <w:szCs w:val="20"/>
              </w:rPr>
              <w:t xml:space="preserve"> </w:t>
            </w:r>
            <w:r>
              <w:rPr>
                <w:spacing w:val="-3"/>
                <w:sz w:val="20"/>
                <w:szCs w:val="20"/>
              </w:rPr>
              <w:t>物，不非法转移、倾倒、</w:t>
            </w:r>
            <w:r>
              <w:rPr>
                <w:spacing w:val="2"/>
                <w:sz w:val="20"/>
                <w:szCs w:val="20"/>
              </w:rPr>
              <w:t xml:space="preserve"> </w:t>
            </w:r>
            <w:r>
              <w:rPr>
                <w:spacing w:val="10"/>
                <w:sz w:val="20"/>
                <w:szCs w:val="20"/>
              </w:rPr>
              <w:t>利用和处置。玻璃、废</w:t>
            </w:r>
            <w:r>
              <w:rPr>
                <w:spacing w:val="1"/>
                <w:sz w:val="20"/>
                <w:szCs w:val="20"/>
              </w:rPr>
              <w:t xml:space="preserve"> </w:t>
            </w:r>
            <w:r>
              <w:rPr>
                <w:spacing w:val="9"/>
                <w:sz w:val="20"/>
                <w:szCs w:val="20"/>
              </w:rPr>
              <w:t>旧轮胎、塑料、密封胶</w:t>
            </w:r>
            <w:r>
              <w:rPr>
                <w:spacing w:val="8"/>
                <w:sz w:val="20"/>
                <w:szCs w:val="20"/>
              </w:rPr>
              <w:t xml:space="preserve"> </w:t>
            </w:r>
            <w:r>
              <w:rPr>
                <w:spacing w:val="10"/>
                <w:sz w:val="20"/>
                <w:szCs w:val="20"/>
              </w:rPr>
              <w:t>条、金属类等收集在拆</w:t>
            </w:r>
            <w:r>
              <w:rPr>
                <w:sz w:val="20"/>
                <w:szCs w:val="20"/>
              </w:rPr>
              <w:t xml:space="preserve"> </w:t>
            </w:r>
            <w:r>
              <w:rPr>
                <w:spacing w:val="9"/>
                <w:sz w:val="20"/>
                <w:szCs w:val="20"/>
              </w:rPr>
              <w:t>解后物料存储区，定期</w:t>
            </w:r>
            <w:r>
              <w:rPr>
                <w:spacing w:val="8"/>
                <w:sz w:val="20"/>
                <w:szCs w:val="20"/>
              </w:rPr>
              <w:t xml:space="preserve"> </w:t>
            </w:r>
            <w:r>
              <w:rPr>
                <w:spacing w:val="33"/>
                <w:sz w:val="20"/>
                <w:szCs w:val="20"/>
              </w:rPr>
              <w:t>外售废旧资源回收公</w:t>
            </w:r>
          </w:p>
        </w:tc>
        <w:tc>
          <w:tcPr>
            <w:tcW w:w="1145" w:type="dxa"/>
            <w:vMerge w:val="continue"/>
            <w:tcBorders>
              <w:top w:val="nil"/>
              <w:bottom w:val="single" w:color="000000" w:sz="10" w:space="0"/>
              <w:right w:val="single" w:color="000000" w:sz="10" w:space="0"/>
            </w:tcBorders>
            <w:vAlign w:val="top"/>
          </w:tcPr>
          <w:p w14:paraId="21301708">
            <w:pPr>
              <w:rPr>
                <w:rFonts w:ascii="Arial"/>
                <w:sz w:val="21"/>
              </w:rPr>
            </w:pPr>
          </w:p>
        </w:tc>
      </w:tr>
    </w:tbl>
    <w:p w14:paraId="33B3FCF9">
      <w:pPr>
        <w:pStyle w:val="2"/>
      </w:pPr>
    </w:p>
    <w:p w14:paraId="0A556E27">
      <w:pPr>
        <w:sectPr>
          <w:footerReference r:id="rId22"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464FE6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83" w:hRule="atLeast"/>
        </w:trPr>
        <w:tc>
          <w:tcPr>
            <w:tcW w:w="494" w:type="dxa"/>
            <w:vMerge w:val="restart"/>
            <w:tcBorders>
              <w:top w:val="single" w:color="000000" w:sz="10" w:space="0"/>
              <w:left w:val="single" w:color="000000" w:sz="10" w:space="0"/>
              <w:bottom w:val="nil"/>
            </w:tcBorders>
            <w:vAlign w:val="top"/>
          </w:tcPr>
          <w:p w14:paraId="6CAD2ED2">
            <w:pPr>
              <w:rPr>
                <w:rFonts w:ascii="Arial"/>
                <w:sz w:val="21"/>
              </w:rPr>
            </w:pPr>
          </w:p>
        </w:tc>
        <w:tc>
          <w:tcPr>
            <w:tcW w:w="547" w:type="dxa"/>
            <w:vMerge w:val="restart"/>
            <w:tcBorders>
              <w:top w:val="single" w:color="000000" w:sz="10" w:space="0"/>
              <w:bottom w:val="nil"/>
            </w:tcBorders>
            <w:vAlign w:val="top"/>
          </w:tcPr>
          <w:p w14:paraId="6BC643DA">
            <w:pPr>
              <w:rPr>
                <w:rFonts w:ascii="Arial"/>
                <w:sz w:val="21"/>
              </w:rPr>
            </w:pPr>
          </w:p>
        </w:tc>
        <w:tc>
          <w:tcPr>
            <w:tcW w:w="436" w:type="dxa"/>
            <w:vMerge w:val="restart"/>
            <w:tcBorders>
              <w:top w:val="single" w:color="000000" w:sz="10" w:space="0"/>
              <w:bottom w:val="nil"/>
            </w:tcBorders>
            <w:vAlign w:val="top"/>
          </w:tcPr>
          <w:p w14:paraId="2A617146">
            <w:pPr>
              <w:rPr>
                <w:rFonts w:ascii="Arial"/>
                <w:sz w:val="21"/>
              </w:rPr>
            </w:pPr>
          </w:p>
        </w:tc>
        <w:tc>
          <w:tcPr>
            <w:tcW w:w="560" w:type="dxa"/>
            <w:tcBorders>
              <w:top w:val="single" w:color="000000" w:sz="10" w:space="0"/>
            </w:tcBorders>
            <w:vAlign w:val="top"/>
          </w:tcPr>
          <w:p w14:paraId="1B691AF7">
            <w:pPr>
              <w:rPr>
                <w:rFonts w:ascii="Arial"/>
                <w:sz w:val="21"/>
              </w:rPr>
            </w:pPr>
          </w:p>
        </w:tc>
        <w:tc>
          <w:tcPr>
            <w:tcW w:w="3422" w:type="dxa"/>
            <w:tcBorders>
              <w:top w:val="single" w:color="000000" w:sz="10" w:space="0"/>
            </w:tcBorders>
            <w:vAlign w:val="top"/>
          </w:tcPr>
          <w:p w14:paraId="4C1F385A">
            <w:pPr>
              <w:rPr>
                <w:rFonts w:ascii="Arial"/>
                <w:sz w:val="21"/>
              </w:rPr>
            </w:pPr>
          </w:p>
        </w:tc>
        <w:tc>
          <w:tcPr>
            <w:tcW w:w="2318" w:type="dxa"/>
            <w:tcBorders>
              <w:top w:val="single" w:color="000000" w:sz="10" w:space="0"/>
            </w:tcBorders>
            <w:vAlign w:val="top"/>
          </w:tcPr>
          <w:p w14:paraId="6CBB7357">
            <w:pPr>
              <w:pStyle w:val="6"/>
              <w:spacing w:before="65" w:line="294" w:lineRule="auto"/>
              <w:ind w:left="115" w:right="26" w:firstLine="8"/>
              <w:rPr>
                <w:sz w:val="20"/>
                <w:szCs w:val="20"/>
              </w:rPr>
            </w:pPr>
            <w:r>
              <w:rPr>
                <w:spacing w:val="3"/>
                <w:sz w:val="20"/>
                <w:szCs w:val="20"/>
              </w:rPr>
              <w:t>司；电子电器产品</w:t>
            </w:r>
            <w:r>
              <w:rPr>
                <w:rFonts w:ascii="Times New Roman" w:hAnsi="Times New Roman" w:eastAsia="Times New Roman" w:cs="Times New Roman"/>
                <w:spacing w:val="3"/>
                <w:sz w:val="20"/>
                <w:szCs w:val="20"/>
              </w:rPr>
              <w:t>/</w:t>
            </w:r>
            <w:r>
              <w:rPr>
                <w:spacing w:val="3"/>
                <w:sz w:val="20"/>
                <w:szCs w:val="20"/>
              </w:rPr>
              <w:t>元器</w:t>
            </w:r>
            <w:r>
              <w:rPr>
                <w:spacing w:val="1"/>
                <w:sz w:val="20"/>
                <w:szCs w:val="20"/>
              </w:rPr>
              <w:t xml:space="preserve"> </w:t>
            </w:r>
            <w:r>
              <w:rPr>
                <w:spacing w:val="9"/>
                <w:sz w:val="20"/>
                <w:szCs w:val="20"/>
              </w:rPr>
              <w:t>件收集在拆解后物料存</w:t>
            </w:r>
            <w:r>
              <w:rPr>
                <w:spacing w:val="8"/>
                <w:sz w:val="20"/>
                <w:szCs w:val="20"/>
              </w:rPr>
              <w:t xml:space="preserve"> </w:t>
            </w:r>
            <w:r>
              <w:rPr>
                <w:spacing w:val="10"/>
                <w:sz w:val="20"/>
                <w:szCs w:val="20"/>
              </w:rPr>
              <w:t>储区，交由有废电器资</w:t>
            </w:r>
            <w:r>
              <w:rPr>
                <w:sz w:val="20"/>
                <w:szCs w:val="20"/>
              </w:rPr>
              <w:t xml:space="preserve"> </w:t>
            </w:r>
            <w:r>
              <w:rPr>
                <w:spacing w:val="10"/>
                <w:sz w:val="20"/>
                <w:szCs w:val="20"/>
              </w:rPr>
              <w:t>质企业拆解，不自行拆</w:t>
            </w:r>
            <w:r>
              <w:rPr>
                <w:spacing w:val="1"/>
                <w:sz w:val="20"/>
                <w:szCs w:val="20"/>
              </w:rPr>
              <w:t xml:space="preserve"> </w:t>
            </w:r>
            <w:r>
              <w:rPr>
                <w:spacing w:val="10"/>
                <w:sz w:val="20"/>
                <w:szCs w:val="20"/>
              </w:rPr>
              <w:t>解；废油类、制冷剂采</w:t>
            </w:r>
            <w:r>
              <w:rPr>
                <w:sz w:val="20"/>
                <w:szCs w:val="20"/>
              </w:rPr>
              <w:t xml:space="preserve"> </w:t>
            </w:r>
            <w:r>
              <w:rPr>
                <w:spacing w:val="9"/>
                <w:sz w:val="20"/>
                <w:szCs w:val="20"/>
              </w:rPr>
              <w:t>用废液的专用密闭容器</w:t>
            </w:r>
            <w:r>
              <w:rPr>
                <w:spacing w:val="8"/>
                <w:sz w:val="20"/>
                <w:szCs w:val="20"/>
              </w:rPr>
              <w:t xml:space="preserve"> </w:t>
            </w:r>
            <w:r>
              <w:rPr>
                <w:spacing w:val="9"/>
                <w:sz w:val="20"/>
                <w:szCs w:val="20"/>
              </w:rPr>
              <w:t>分类暂存于</w:t>
            </w:r>
            <w:r>
              <w:rPr>
                <w:rFonts w:ascii="Times New Roman" w:hAnsi="Times New Roman" w:eastAsia="Times New Roman" w:cs="Times New Roman"/>
                <w:spacing w:val="9"/>
                <w:sz w:val="20"/>
                <w:szCs w:val="20"/>
              </w:rPr>
              <w:t>3#</w:t>
            </w:r>
            <w:r>
              <w:rPr>
                <w:spacing w:val="9"/>
                <w:sz w:val="20"/>
                <w:szCs w:val="20"/>
              </w:rPr>
              <w:t>废矿物油</w:t>
            </w:r>
            <w:r>
              <w:rPr>
                <w:spacing w:val="2"/>
                <w:sz w:val="20"/>
                <w:szCs w:val="20"/>
              </w:rPr>
              <w:t xml:space="preserve"> </w:t>
            </w:r>
            <w:r>
              <w:rPr>
                <w:spacing w:val="9"/>
                <w:sz w:val="20"/>
                <w:szCs w:val="20"/>
              </w:rPr>
              <w:t>暂存区，由有资质单位</w:t>
            </w:r>
            <w:r>
              <w:rPr>
                <w:spacing w:val="8"/>
                <w:sz w:val="20"/>
                <w:szCs w:val="20"/>
              </w:rPr>
              <w:t xml:space="preserve"> </w:t>
            </w:r>
            <w:r>
              <w:rPr>
                <w:spacing w:val="9"/>
                <w:sz w:val="20"/>
                <w:szCs w:val="20"/>
              </w:rPr>
              <w:t>处理；废电池暂存于</w:t>
            </w:r>
            <w:r>
              <w:rPr>
                <w:rFonts w:ascii="Times New Roman" w:hAnsi="Times New Roman" w:eastAsia="Times New Roman" w:cs="Times New Roman"/>
                <w:spacing w:val="9"/>
                <w:sz w:val="20"/>
                <w:szCs w:val="20"/>
              </w:rPr>
              <w:t>2#</w:t>
            </w:r>
            <w:r>
              <w:rPr>
                <w:rFonts w:ascii="Times New Roman" w:hAnsi="Times New Roman" w:eastAsia="Times New Roman" w:cs="Times New Roman"/>
                <w:sz w:val="20"/>
                <w:szCs w:val="20"/>
              </w:rPr>
              <w:t xml:space="preserve">  </w:t>
            </w:r>
            <w:r>
              <w:rPr>
                <w:spacing w:val="5"/>
                <w:sz w:val="20"/>
                <w:szCs w:val="20"/>
              </w:rPr>
              <w:t>废蓄电池暂存区，</w:t>
            </w:r>
            <w:r>
              <w:rPr>
                <w:spacing w:val="-51"/>
                <w:sz w:val="20"/>
                <w:szCs w:val="20"/>
              </w:rPr>
              <w:t xml:space="preserve"> </w:t>
            </w:r>
            <w:r>
              <w:rPr>
                <w:spacing w:val="5"/>
                <w:sz w:val="20"/>
                <w:szCs w:val="20"/>
              </w:rPr>
              <w:t>由有</w:t>
            </w:r>
            <w:r>
              <w:rPr>
                <w:sz w:val="20"/>
                <w:szCs w:val="20"/>
              </w:rPr>
              <w:t xml:space="preserve"> </w:t>
            </w:r>
            <w:r>
              <w:rPr>
                <w:spacing w:val="-3"/>
                <w:sz w:val="20"/>
                <w:szCs w:val="20"/>
              </w:rPr>
              <w:t>资质单位处理；燃料罐、</w:t>
            </w:r>
            <w:r>
              <w:rPr>
                <w:spacing w:val="2"/>
                <w:sz w:val="20"/>
                <w:szCs w:val="20"/>
              </w:rPr>
              <w:t xml:space="preserve"> </w:t>
            </w:r>
            <w:r>
              <w:rPr>
                <w:spacing w:val="10"/>
                <w:sz w:val="20"/>
                <w:szCs w:val="20"/>
              </w:rPr>
              <w:t>液压油管、催化器、废</w:t>
            </w:r>
            <w:r>
              <w:rPr>
                <w:sz w:val="20"/>
                <w:szCs w:val="20"/>
              </w:rPr>
              <w:t xml:space="preserve"> </w:t>
            </w:r>
            <w:r>
              <w:rPr>
                <w:spacing w:val="10"/>
                <w:sz w:val="20"/>
                <w:szCs w:val="20"/>
              </w:rPr>
              <w:t>活性炭、含油抹布、拖</w:t>
            </w:r>
            <w:r>
              <w:rPr>
                <w:sz w:val="20"/>
                <w:szCs w:val="20"/>
              </w:rPr>
              <w:t xml:space="preserve"> </w:t>
            </w:r>
            <w:r>
              <w:rPr>
                <w:spacing w:val="9"/>
                <w:sz w:val="20"/>
                <w:szCs w:val="20"/>
              </w:rPr>
              <w:t>布和手套分类暂存于</w:t>
            </w:r>
            <w:r>
              <w:rPr>
                <w:rFonts w:ascii="Times New Roman" w:hAnsi="Times New Roman" w:eastAsia="Times New Roman" w:cs="Times New Roman"/>
                <w:spacing w:val="9"/>
                <w:sz w:val="20"/>
                <w:szCs w:val="20"/>
              </w:rPr>
              <w:t>1#</w:t>
            </w:r>
            <w:r>
              <w:rPr>
                <w:rFonts w:ascii="Times New Roman" w:hAnsi="Times New Roman" w:eastAsia="Times New Roman" w:cs="Times New Roman"/>
                <w:sz w:val="20"/>
                <w:szCs w:val="20"/>
              </w:rPr>
              <w:t xml:space="preserve">  </w:t>
            </w:r>
            <w:r>
              <w:rPr>
                <w:spacing w:val="11"/>
                <w:sz w:val="20"/>
                <w:szCs w:val="20"/>
              </w:rPr>
              <w:t>其他危险废物暂存区，</w:t>
            </w:r>
            <w:r>
              <w:rPr>
                <w:spacing w:val="5"/>
                <w:sz w:val="20"/>
                <w:szCs w:val="20"/>
              </w:rPr>
              <w:t xml:space="preserve"> </w:t>
            </w:r>
            <w:r>
              <w:rPr>
                <w:spacing w:val="7"/>
                <w:sz w:val="20"/>
                <w:szCs w:val="20"/>
              </w:rPr>
              <w:t>由有资质单位处理。</w:t>
            </w:r>
          </w:p>
          <w:p w14:paraId="407C5B73">
            <w:pPr>
              <w:pStyle w:val="6"/>
              <w:spacing w:before="31" w:line="288" w:lineRule="auto"/>
              <w:ind w:left="117" w:right="97" w:firstLine="420"/>
              <w:rPr>
                <w:sz w:val="20"/>
                <w:szCs w:val="20"/>
              </w:rPr>
            </w:pPr>
            <w:r>
              <w:rPr>
                <w:spacing w:val="9"/>
                <w:sz w:val="20"/>
                <w:szCs w:val="20"/>
              </w:rPr>
              <w:t>制冷剂采用废液的</w:t>
            </w:r>
            <w:r>
              <w:rPr>
                <w:spacing w:val="5"/>
                <w:sz w:val="20"/>
                <w:szCs w:val="20"/>
              </w:rPr>
              <w:t xml:space="preserve"> </w:t>
            </w:r>
            <w:r>
              <w:rPr>
                <w:spacing w:val="9"/>
                <w:sz w:val="20"/>
                <w:szCs w:val="20"/>
              </w:rPr>
              <w:t>专用密闭容器分类暂存</w:t>
            </w:r>
            <w:r>
              <w:rPr>
                <w:spacing w:val="7"/>
                <w:sz w:val="20"/>
                <w:szCs w:val="20"/>
              </w:rPr>
              <w:t xml:space="preserve"> </w:t>
            </w:r>
            <w:r>
              <w:rPr>
                <w:spacing w:val="8"/>
                <w:sz w:val="20"/>
                <w:szCs w:val="20"/>
              </w:rPr>
              <w:t>于</w:t>
            </w:r>
            <w:r>
              <w:rPr>
                <w:rFonts w:ascii="Times New Roman" w:hAnsi="Times New Roman" w:eastAsia="Times New Roman" w:cs="Times New Roman"/>
                <w:spacing w:val="8"/>
                <w:sz w:val="20"/>
                <w:szCs w:val="20"/>
              </w:rPr>
              <w:t>3#</w:t>
            </w:r>
            <w:r>
              <w:rPr>
                <w:spacing w:val="8"/>
                <w:sz w:val="20"/>
                <w:szCs w:val="20"/>
              </w:rPr>
              <w:t>废矿物油暂存区，</w:t>
            </w:r>
            <w:r>
              <w:rPr>
                <w:spacing w:val="9"/>
                <w:sz w:val="20"/>
                <w:szCs w:val="20"/>
              </w:rPr>
              <w:t xml:space="preserve"> </w:t>
            </w:r>
            <w:r>
              <w:rPr>
                <w:spacing w:val="7"/>
                <w:sz w:val="20"/>
                <w:szCs w:val="20"/>
              </w:rPr>
              <w:t>由有资质单位处理。</w:t>
            </w:r>
          </w:p>
          <w:p w14:paraId="108F3A84">
            <w:pPr>
              <w:pStyle w:val="6"/>
              <w:spacing w:before="30" w:line="288" w:lineRule="auto"/>
              <w:ind w:left="115" w:right="97" w:firstLine="420"/>
              <w:rPr>
                <w:sz w:val="20"/>
                <w:szCs w:val="20"/>
              </w:rPr>
            </w:pPr>
            <w:r>
              <w:rPr>
                <w:spacing w:val="10"/>
                <w:sz w:val="20"/>
                <w:szCs w:val="20"/>
              </w:rPr>
              <w:t>废弃电器收集在拆</w:t>
            </w:r>
            <w:r>
              <w:rPr>
                <w:sz w:val="20"/>
                <w:szCs w:val="20"/>
              </w:rPr>
              <w:t xml:space="preserve"> </w:t>
            </w:r>
            <w:r>
              <w:rPr>
                <w:spacing w:val="10"/>
                <w:sz w:val="20"/>
                <w:szCs w:val="20"/>
              </w:rPr>
              <w:t>解后物料存储区，废电</w:t>
            </w:r>
            <w:r>
              <w:rPr>
                <w:sz w:val="20"/>
                <w:szCs w:val="20"/>
              </w:rPr>
              <w:t xml:space="preserve"> </w:t>
            </w:r>
            <w:r>
              <w:rPr>
                <w:spacing w:val="9"/>
                <w:sz w:val="20"/>
                <w:szCs w:val="20"/>
              </w:rPr>
              <w:t>池暂存于</w:t>
            </w:r>
            <w:r>
              <w:rPr>
                <w:rFonts w:ascii="Times New Roman" w:hAnsi="Times New Roman" w:eastAsia="Times New Roman" w:cs="Times New Roman"/>
                <w:spacing w:val="9"/>
                <w:sz w:val="20"/>
                <w:szCs w:val="20"/>
              </w:rPr>
              <w:t>2#</w:t>
            </w:r>
            <w:r>
              <w:rPr>
                <w:spacing w:val="9"/>
                <w:sz w:val="20"/>
                <w:szCs w:val="20"/>
              </w:rPr>
              <w:t>废蓄电池暂</w:t>
            </w:r>
            <w:r>
              <w:rPr>
                <w:sz w:val="20"/>
                <w:szCs w:val="20"/>
              </w:rPr>
              <w:t xml:space="preserve"> </w:t>
            </w:r>
            <w:r>
              <w:rPr>
                <w:spacing w:val="8"/>
                <w:sz w:val="20"/>
                <w:szCs w:val="20"/>
              </w:rPr>
              <w:t>存区，场地禁止明火。</w:t>
            </w:r>
          </w:p>
          <w:p w14:paraId="2BA158F3">
            <w:pPr>
              <w:pStyle w:val="6"/>
              <w:spacing w:before="32" w:line="285" w:lineRule="auto"/>
              <w:ind w:left="115" w:right="97" w:firstLine="423"/>
              <w:rPr>
                <w:sz w:val="20"/>
                <w:szCs w:val="20"/>
              </w:rPr>
            </w:pPr>
            <w:r>
              <w:rPr>
                <w:spacing w:val="9"/>
                <w:sz w:val="20"/>
                <w:szCs w:val="20"/>
              </w:rPr>
              <w:t>容器和装置做到防</w:t>
            </w:r>
            <w:r>
              <w:rPr>
                <w:spacing w:val="3"/>
                <w:sz w:val="20"/>
                <w:szCs w:val="20"/>
              </w:rPr>
              <w:t xml:space="preserve"> </w:t>
            </w:r>
            <w:r>
              <w:rPr>
                <w:spacing w:val="9"/>
                <w:sz w:val="20"/>
                <w:szCs w:val="20"/>
              </w:rPr>
              <w:t>漏和防止洒溅，并定期</w:t>
            </w:r>
            <w:r>
              <w:rPr>
                <w:spacing w:val="8"/>
                <w:sz w:val="20"/>
                <w:szCs w:val="20"/>
              </w:rPr>
              <w:t xml:space="preserve"> 对其进行日常性检查。</w:t>
            </w:r>
          </w:p>
          <w:p w14:paraId="0B49F0D7">
            <w:pPr>
              <w:pStyle w:val="6"/>
              <w:spacing w:before="33" w:line="265" w:lineRule="auto"/>
              <w:ind w:left="115" w:right="97" w:firstLine="420"/>
              <w:rPr>
                <w:sz w:val="20"/>
                <w:szCs w:val="20"/>
              </w:rPr>
            </w:pPr>
            <w:r>
              <w:rPr>
                <w:spacing w:val="10"/>
                <w:sz w:val="20"/>
                <w:szCs w:val="20"/>
              </w:rPr>
              <w:t>对拆解后的所有固</w:t>
            </w:r>
            <w:r>
              <w:rPr>
                <w:sz w:val="20"/>
                <w:szCs w:val="20"/>
              </w:rPr>
              <w:t xml:space="preserve"> </w:t>
            </w:r>
            <w:r>
              <w:rPr>
                <w:spacing w:val="9"/>
                <w:sz w:val="20"/>
                <w:szCs w:val="20"/>
              </w:rPr>
              <w:t>体废物按照分类进行储</w:t>
            </w:r>
            <w:r>
              <w:rPr>
                <w:spacing w:val="8"/>
                <w:sz w:val="20"/>
                <w:szCs w:val="20"/>
              </w:rPr>
              <w:t xml:space="preserve"> </w:t>
            </w:r>
            <w:r>
              <w:rPr>
                <w:spacing w:val="7"/>
                <w:sz w:val="20"/>
                <w:szCs w:val="20"/>
              </w:rPr>
              <w:t>存，并做相应标识。</w:t>
            </w:r>
          </w:p>
        </w:tc>
        <w:tc>
          <w:tcPr>
            <w:tcW w:w="1145" w:type="dxa"/>
            <w:vMerge w:val="restart"/>
            <w:tcBorders>
              <w:top w:val="single" w:color="000000" w:sz="10" w:space="0"/>
              <w:bottom w:val="nil"/>
              <w:right w:val="single" w:color="000000" w:sz="10" w:space="0"/>
            </w:tcBorders>
            <w:vAlign w:val="top"/>
          </w:tcPr>
          <w:p w14:paraId="4A2C5813">
            <w:pPr>
              <w:rPr>
                <w:rFonts w:ascii="Arial"/>
                <w:sz w:val="21"/>
              </w:rPr>
            </w:pPr>
          </w:p>
          <w:p w14:paraId="49A96210">
            <w:pPr>
              <w:rPr>
                <w:rFonts w:ascii="Arial"/>
                <w:sz w:val="21"/>
              </w:rPr>
            </w:pPr>
          </w:p>
          <w:p w14:paraId="2113E3F8">
            <w:pPr>
              <w:rPr>
                <w:rFonts w:ascii="Arial"/>
                <w:sz w:val="21"/>
              </w:rPr>
            </w:pPr>
          </w:p>
          <w:p w14:paraId="7F450BD5">
            <w:pPr>
              <w:rPr>
                <w:rFonts w:ascii="Arial"/>
                <w:sz w:val="21"/>
              </w:rPr>
            </w:pPr>
          </w:p>
          <w:p w14:paraId="4061CAC8">
            <w:pPr>
              <w:rPr>
                <w:rFonts w:ascii="Arial"/>
                <w:sz w:val="21"/>
              </w:rPr>
            </w:pPr>
          </w:p>
          <w:p w14:paraId="15C84ED8">
            <w:pPr>
              <w:rPr>
                <w:rFonts w:ascii="Arial"/>
                <w:sz w:val="21"/>
              </w:rPr>
            </w:pPr>
          </w:p>
          <w:p w14:paraId="1B9F6396">
            <w:pPr>
              <w:rPr>
                <w:rFonts w:ascii="Arial"/>
                <w:sz w:val="21"/>
              </w:rPr>
            </w:pPr>
          </w:p>
          <w:p w14:paraId="1EFAB805">
            <w:pPr>
              <w:rPr>
                <w:rFonts w:ascii="Arial"/>
                <w:sz w:val="21"/>
              </w:rPr>
            </w:pPr>
          </w:p>
          <w:p w14:paraId="2FFE8CDD">
            <w:pPr>
              <w:rPr>
                <w:rFonts w:ascii="Arial"/>
                <w:sz w:val="21"/>
              </w:rPr>
            </w:pPr>
          </w:p>
          <w:p w14:paraId="263E8A2A">
            <w:pPr>
              <w:rPr>
                <w:rFonts w:ascii="Arial"/>
                <w:sz w:val="21"/>
              </w:rPr>
            </w:pPr>
          </w:p>
          <w:p w14:paraId="056997A1">
            <w:pPr>
              <w:rPr>
                <w:rFonts w:ascii="Arial"/>
                <w:sz w:val="21"/>
              </w:rPr>
            </w:pPr>
          </w:p>
          <w:p w14:paraId="5295212E">
            <w:pPr>
              <w:rPr>
                <w:rFonts w:ascii="Arial"/>
                <w:sz w:val="21"/>
              </w:rPr>
            </w:pPr>
          </w:p>
          <w:p w14:paraId="22B9BB07">
            <w:pPr>
              <w:rPr>
                <w:rFonts w:ascii="Arial"/>
                <w:sz w:val="21"/>
              </w:rPr>
            </w:pPr>
          </w:p>
          <w:p w14:paraId="5157F0C3">
            <w:pPr>
              <w:rPr>
                <w:rFonts w:ascii="Arial"/>
                <w:sz w:val="21"/>
              </w:rPr>
            </w:pPr>
          </w:p>
          <w:p w14:paraId="7DC3A5FC">
            <w:pPr>
              <w:rPr>
                <w:rFonts w:ascii="Arial"/>
                <w:sz w:val="21"/>
              </w:rPr>
            </w:pPr>
          </w:p>
          <w:p w14:paraId="5AE6162B">
            <w:pPr>
              <w:rPr>
                <w:rFonts w:ascii="Arial"/>
                <w:sz w:val="21"/>
              </w:rPr>
            </w:pPr>
          </w:p>
          <w:p w14:paraId="6925B254">
            <w:pPr>
              <w:rPr>
                <w:rFonts w:ascii="Arial"/>
                <w:sz w:val="21"/>
              </w:rPr>
            </w:pPr>
          </w:p>
          <w:p w14:paraId="7DBB9D39">
            <w:pPr>
              <w:rPr>
                <w:rFonts w:ascii="Arial"/>
                <w:sz w:val="21"/>
              </w:rPr>
            </w:pPr>
          </w:p>
          <w:p w14:paraId="6A2F59C3">
            <w:pPr>
              <w:rPr>
                <w:rFonts w:ascii="Arial"/>
                <w:sz w:val="21"/>
              </w:rPr>
            </w:pPr>
          </w:p>
          <w:p w14:paraId="6C3ACF68">
            <w:pPr>
              <w:rPr>
                <w:rFonts w:ascii="Arial"/>
                <w:sz w:val="21"/>
              </w:rPr>
            </w:pPr>
          </w:p>
          <w:p w14:paraId="25662DF5">
            <w:pPr>
              <w:rPr>
                <w:rFonts w:ascii="Arial"/>
                <w:sz w:val="21"/>
              </w:rPr>
            </w:pPr>
          </w:p>
          <w:p w14:paraId="7C825998">
            <w:pPr>
              <w:rPr>
                <w:rFonts w:ascii="Arial"/>
                <w:sz w:val="21"/>
              </w:rPr>
            </w:pPr>
          </w:p>
          <w:p w14:paraId="30003430">
            <w:pPr>
              <w:rPr>
                <w:rFonts w:ascii="Arial"/>
                <w:sz w:val="21"/>
              </w:rPr>
            </w:pPr>
          </w:p>
          <w:p w14:paraId="318AFCCE">
            <w:pPr>
              <w:rPr>
                <w:rFonts w:ascii="Arial"/>
                <w:sz w:val="21"/>
              </w:rPr>
            </w:pPr>
          </w:p>
          <w:p w14:paraId="2CC6EA07">
            <w:pPr>
              <w:rPr>
                <w:rFonts w:ascii="Arial"/>
                <w:sz w:val="21"/>
              </w:rPr>
            </w:pPr>
          </w:p>
          <w:p w14:paraId="7A93B06E">
            <w:pPr>
              <w:rPr>
                <w:rFonts w:ascii="Arial"/>
                <w:sz w:val="21"/>
              </w:rPr>
            </w:pPr>
          </w:p>
          <w:p w14:paraId="63D2946D">
            <w:pPr>
              <w:rPr>
                <w:rFonts w:ascii="Arial"/>
                <w:sz w:val="21"/>
              </w:rPr>
            </w:pPr>
          </w:p>
          <w:p w14:paraId="10B70898">
            <w:pPr>
              <w:rPr>
                <w:rFonts w:ascii="Arial"/>
                <w:sz w:val="21"/>
              </w:rPr>
            </w:pPr>
          </w:p>
          <w:p w14:paraId="49EB761D">
            <w:pPr>
              <w:rPr>
                <w:rFonts w:ascii="Arial"/>
                <w:sz w:val="21"/>
              </w:rPr>
            </w:pPr>
          </w:p>
          <w:p w14:paraId="11A15F59">
            <w:pPr>
              <w:rPr>
                <w:rFonts w:ascii="Arial"/>
                <w:sz w:val="21"/>
              </w:rPr>
            </w:pPr>
          </w:p>
          <w:p w14:paraId="1CC41C41">
            <w:pPr>
              <w:rPr>
                <w:rFonts w:ascii="Arial"/>
                <w:sz w:val="21"/>
              </w:rPr>
            </w:pPr>
          </w:p>
          <w:p w14:paraId="7114BA33">
            <w:pPr>
              <w:rPr>
                <w:rFonts w:ascii="Arial"/>
                <w:sz w:val="21"/>
              </w:rPr>
            </w:pPr>
          </w:p>
          <w:p w14:paraId="4D1FD289">
            <w:pPr>
              <w:rPr>
                <w:rFonts w:ascii="Arial"/>
                <w:sz w:val="21"/>
              </w:rPr>
            </w:pPr>
          </w:p>
          <w:p w14:paraId="2CB0EE14">
            <w:pPr>
              <w:rPr>
                <w:rFonts w:ascii="Arial"/>
                <w:sz w:val="21"/>
              </w:rPr>
            </w:pPr>
          </w:p>
          <w:p w14:paraId="43531B00">
            <w:pPr>
              <w:rPr>
                <w:rFonts w:ascii="Arial"/>
                <w:sz w:val="21"/>
              </w:rPr>
            </w:pPr>
          </w:p>
          <w:p w14:paraId="1F6C1248">
            <w:pPr>
              <w:rPr>
                <w:rFonts w:ascii="Arial"/>
                <w:sz w:val="21"/>
              </w:rPr>
            </w:pPr>
          </w:p>
          <w:p w14:paraId="0AD602DB">
            <w:pPr>
              <w:rPr>
                <w:rFonts w:ascii="Arial"/>
                <w:sz w:val="21"/>
              </w:rPr>
            </w:pPr>
          </w:p>
          <w:p w14:paraId="29CF0A0A">
            <w:pPr>
              <w:rPr>
                <w:rFonts w:ascii="Arial"/>
                <w:sz w:val="21"/>
              </w:rPr>
            </w:pPr>
          </w:p>
          <w:p w14:paraId="4FADD04B">
            <w:pPr>
              <w:rPr>
                <w:rFonts w:ascii="Arial"/>
                <w:sz w:val="21"/>
              </w:rPr>
            </w:pPr>
          </w:p>
          <w:p w14:paraId="5443F9FE">
            <w:pPr>
              <w:rPr>
                <w:rFonts w:ascii="Arial"/>
                <w:sz w:val="21"/>
              </w:rPr>
            </w:pPr>
          </w:p>
          <w:p w14:paraId="2E0DC6E3">
            <w:pPr>
              <w:rPr>
                <w:rFonts w:ascii="Arial"/>
                <w:sz w:val="21"/>
              </w:rPr>
            </w:pPr>
          </w:p>
          <w:p w14:paraId="091F7148">
            <w:pPr>
              <w:rPr>
                <w:rFonts w:ascii="Arial"/>
                <w:sz w:val="21"/>
              </w:rPr>
            </w:pPr>
          </w:p>
          <w:p w14:paraId="0293FFA3">
            <w:pPr>
              <w:rPr>
                <w:rFonts w:ascii="Arial"/>
                <w:sz w:val="21"/>
              </w:rPr>
            </w:pPr>
          </w:p>
          <w:p w14:paraId="44604710">
            <w:pPr>
              <w:spacing w:line="241" w:lineRule="auto"/>
              <w:rPr>
                <w:rFonts w:ascii="Arial"/>
                <w:sz w:val="21"/>
              </w:rPr>
            </w:pPr>
          </w:p>
          <w:p w14:paraId="2906C71B">
            <w:pPr>
              <w:spacing w:line="241" w:lineRule="auto"/>
              <w:rPr>
                <w:rFonts w:ascii="Arial"/>
                <w:sz w:val="21"/>
              </w:rPr>
            </w:pPr>
          </w:p>
          <w:p w14:paraId="3DD7E695">
            <w:pPr>
              <w:spacing w:line="241" w:lineRule="auto"/>
              <w:rPr>
                <w:rFonts w:ascii="Arial"/>
                <w:sz w:val="21"/>
              </w:rPr>
            </w:pPr>
          </w:p>
          <w:p w14:paraId="790D9FD2">
            <w:pPr>
              <w:spacing w:line="241" w:lineRule="auto"/>
              <w:rPr>
                <w:rFonts w:ascii="Arial"/>
                <w:sz w:val="21"/>
              </w:rPr>
            </w:pPr>
          </w:p>
          <w:p w14:paraId="5162F596">
            <w:pPr>
              <w:pStyle w:val="6"/>
              <w:spacing w:before="65" w:line="228" w:lineRule="auto"/>
              <w:ind w:left="320"/>
              <w:rPr>
                <w:sz w:val="20"/>
                <w:szCs w:val="20"/>
              </w:rPr>
            </w:pPr>
            <w:r>
              <w:rPr>
                <w:spacing w:val="3"/>
                <w:sz w:val="20"/>
                <w:szCs w:val="20"/>
              </w:rPr>
              <w:t>符合</w:t>
            </w:r>
          </w:p>
          <w:p w14:paraId="3EE41913">
            <w:pPr>
              <w:rPr>
                <w:rFonts w:ascii="Arial"/>
                <w:sz w:val="21"/>
              </w:rPr>
            </w:pPr>
          </w:p>
          <w:p w14:paraId="7D3A2BF6">
            <w:pPr>
              <w:spacing w:line="241" w:lineRule="auto"/>
              <w:rPr>
                <w:rFonts w:ascii="Arial"/>
                <w:sz w:val="21"/>
              </w:rPr>
            </w:pPr>
          </w:p>
          <w:p w14:paraId="06EFB388">
            <w:pPr>
              <w:spacing w:line="241" w:lineRule="auto"/>
              <w:rPr>
                <w:rFonts w:ascii="Arial"/>
                <w:sz w:val="21"/>
              </w:rPr>
            </w:pPr>
          </w:p>
          <w:p w14:paraId="3E40552F">
            <w:pPr>
              <w:spacing w:line="241" w:lineRule="auto"/>
              <w:rPr>
                <w:rFonts w:ascii="Arial"/>
                <w:sz w:val="21"/>
              </w:rPr>
            </w:pPr>
          </w:p>
          <w:p w14:paraId="794D8849">
            <w:pPr>
              <w:spacing w:line="241" w:lineRule="auto"/>
              <w:rPr>
                <w:rFonts w:ascii="Arial"/>
                <w:sz w:val="21"/>
              </w:rPr>
            </w:pPr>
          </w:p>
          <w:p w14:paraId="5F50C4BC">
            <w:pPr>
              <w:spacing w:line="241" w:lineRule="auto"/>
              <w:rPr>
                <w:rFonts w:ascii="Arial"/>
                <w:sz w:val="21"/>
              </w:rPr>
            </w:pPr>
          </w:p>
          <w:p w14:paraId="4ABBCA43">
            <w:pPr>
              <w:spacing w:line="241" w:lineRule="auto"/>
              <w:rPr>
                <w:rFonts w:ascii="Arial"/>
                <w:sz w:val="21"/>
              </w:rPr>
            </w:pPr>
          </w:p>
          <w:p w14:paraId="47F5497A">
            <w:pPr>
              <w:spacing w:line="241" w:lineRule="auto"/>
              <w:rPr>
                <w:rFonts w:ascii="Arial"/>
                <w:sz w:val="21"/>
              </w:rPr>
            </w:pPr>
          </w:p>
          <w:p w14:paraId="095CF267">
            <w:pPr>
              <w:pStyle w:val="6"/>
              <w:spacing w:before="65" w:line="228" w:lineRule="auto"/>
              <w:ind w:left="320"/>
              <w:rPr>
                <w:sz w:val="20"/>
                <w:szCs w:val="20"/>
              </w:rPr>
            </w:pPr>
            <w:r>
              <w:rPr>
                <w:spacing w:val="3"/>
                <w:sz w:val="20"/>
                <w:szCs w:val="20"/>
              </w:rPr>
              <w:t>符合</w:t>
            </w:r>
          </w:p>
        </w:tc>
      </w:tr>
      <w:tr w14:paraId="6553E0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8" w:hRule="atLeast"/>
        </w:trPr>
        <w:tc>
          <w:tcPr>
            <w:tcW w:w="494" w:type="dxa"/>
            <w:vMerge w:val="continue"/>
            <w:tcBorders>
              <w:top w:val="nil"/>
              <w:left w:val="single" w:color="000000" w:sz="10" w:space="0"/>
              <w:bottom w:val="nil"/>
            </w:tcBorders>
            <w:vAlign w:val="top"/>
          </w:tcPr>
          <w:p w14:paraId="5D207CFD">
            <w:pPr>
              <w:rPr>
                <w:rFonts w:ascii="Arial"/>
                <w:sz w:val="21"/>
              </w:rPr>
            </w:pPr>
          </w:p>
        </w:tc>
        <w:tc>
          <w:tcPr>
            <w:tcW w:w="547" w:type="dxa"/>
            <w:vMerge w:val="continue"/>
            <w:tcBorders>
              <w:top w:val="nil"/>
              <w:bottom w:val="nil"/>
            </w:tcBorders>
            <w:vAlign w:val="top"/>
          </w:tcPr>
          <w:p w14:paraId="3013EF47">
            <w:pPr>
              <w:rPr>
                <w:rFonts w:ascii="Arial"/>
                <w:sz w:val="21"/>
              </w:rPr>
            </w:pPr>
          </w:p>
        </w:tc>
        <w:tc>
          <w:tcPr>
            <w:tcW w:w="436" w:type="dxa"/>
            <w:vMerge w:val="continue"/>
            <w:tcBorders>
              <w:top w:val="nil"/>
              <w:bottom w:val="nil"/>
            </w:tcBorders>
            <w:vAlign w:val="top"/>
          </w:tcPr>
          <w:p w14:paraId="4FA62D0A">
            <w:pPr>
              <w:rPr>
                <w:rFonts w:ascii="Arial"/>
                <w:sz w:val="21"/>
              </w:rPr>
            </w:pPr>
          </w:p>
        </w:tc>
        <w:tc>
          <w:tcPr>
            <w:tcW w:w="560" w:type="dxa"/>
            <w:vAlign w:val="top"/>
          </w:tcPr>
          <w:p w14:paraId="2F80FDA0">
            <w:pPr>
              <w:spacing w:line="250" w:lineRule="auto"/>
              <w:rPr>
                <w:rFonts w:ascii="Arial"/>
                <w:sz w:val="21"/>
              </w:rPr>
            </w:pPr>
          </w:p>
          <w:p w14:paraId="05F35C86">
            <w:pPr>
              <w:spacing w:line="250" w:lineRule="auto"/>
              <w:rPr>
                <w:rFonts w:ascii="Arial"/>
                <w:sz w:val="21"/>
              </w:rPr>
            </w:pPr>
          </w:p>
          <w:p w14:paraId="4B767D14">
            <w:pPr>
              <w:spacing w:line="251" w:lineRule="auto"/>
              <w:rPr>
                <w:rFonts w:ascii="Arial"/>
                <w:sz w:val="21"/>
              </w:rPr>
            </w:pPr>
          </w:p>
          <w:p w14:paraId="4AE63F14">
            <w:pPr>
              <w:spacing w:line="251" w:lineRule="auto"/>
              <w:rPr>
                <w:rFonts w:ascii="Arial"/>
                <w:sz w:val="21"/>
              </w:rPr>
            </w:pPr>
          </w:p>
          <w:p w14:paraId="6EA57FFB">
            <w:pPr>
              <w:pStyle w:val="6"/>
              <w:spacing w:before="74" w:line="274" w:lineRule="auto"/>
              <w:ind w:left="172" w:right="132" w:hanging="43"/>
              <w:jc w:val="both"/>
              <w:rPr>
                <w:sz w:val="20"/>
                <w:szCs w:val="20"/>
              </w:rPr>
            </w:pPr>
            <w:r>
              <w:rPr>
                <w:rFonts w:ascii="Calibri" w:hAnsi="Calibri" w:eastAsia="Calibri" w:cs="Calibri"/>
                <w:spacing w:val="-4"/>
              </w:rPr>
              <w:t>7.2</w:t>
            </w:r>
            <w:r>
              <w:rPr>
                <w:rFonts w:ascii="Calibri" w:hAnsi="Calibri" w:eastAsia="Calibri" w:cs="Calibri"/>
              </w:rPr>
              <w:t xml:space="preserve"> </w:t>
            </w:r>
            <w:r>
              <w:rPr>
                <w:spacing w:val="1"/>
                <w:sz w:val="20"/>
                <w:szCs w:val="20"/>
              </w:rPr>
              <w:t>回</w:t>
            </w:r>
            <w:r>
              <w:rPr>
                <w:sz w:val="20"/>
                <w:szCs w:val="20"/>
              </w:rPr>
              <w:t xml:space="preserve"> </w:t>
            </w:r>
            <w:r>
              <w:rPr>
                <w:spacing w:val="1"/>
                <w:sz w:val="20"/>
                <w:szCs w:val="20"/>
              </w:rPr>
              <w:t>用</w:t>
            </w:r>
            <w:r>
              <w:rPr>
                <w:sz w:val="20"/>
                <w:szCs w:val="20"/>
              </w:rPr>
              <w:t xml:space="preserve"> </w:t>
            </w:r>
            <w:r>
              <w:rPr>
                <w:spacing w:val="1"/>
                <w:sz w:val="20"/>
                <w:szCs w:val="20"/>
              </w:rPr>
              <w:t>件</w:t>
            </w:r>
            <w:r>
              <w:rPr>
                <w:sz w:val="20"/>
                <w:szCs w:val="20"/>
              </w:rPr>
              <w:t xml:space="preserve"> </w:t>
            </w:r>
            <w:r>
              <w:rPr>
                <w:spacing w:val="1"/>
                <w:sz w:val="20"/>
                <w:szCs w:val="20"/>
              </w:rPr>
              <w:t>储</w:t>
            </w:r>
            <w:r>
              <w:rPr>
                <w:sz w:val="20"/>
                <w:szCs w:val="20"/>
              </w:rPr>
              <w:t xml:space="preserve"> </w:t>
            </w:r>
            <w:r>
              <w:rPr>
                <w:spacing w:val="1"/>
                <w:sz w:val="20"/>
                <w:szCs w:val="20"/>
              </w:rPr>
              <w:t>存</w:t>
            </w:r>
          </w:p>
        </w:tc>
        <w:tc>
          <w:tcPr>
            <w:tcW w:w="3422" w:type="dxa"/>
            <w:vAlign w:val="top"/>
          </w:tcPr>
          <w:p w14:paraId="3592E87F">
            <w:pPr>
              <w:spacing w:line="283" w:lineRule="auto"/>
              <w:rPr>
                <w:rFonts w:ascii="Arial"/>
                <w:sz w:val="21"/>
              </w:rPr>
            </w:pPr>
          </w:p>
          <w:p w14:paraId="2109ECA0">
            <w:pPr>
              <w:spacing w:line="283" w:lineRule="auto"/>
              <w:rPr>
                <w:rFonts w:ascii="Arial"/>
                <w:sz w:val="21"/>
              </w:rPr>
            </w:pPr>
          </w:p>
          <w:p w14:paraId="0E1C9A76">
            <w:pPr>
              <w:spacing w:line="284" w:lineRule="auto"/>
              <w:rPr>
                <w:rFonts w:ascii="Arial"/>
                <w:sz w:val="21"/>
              </w:rPr>
            </w:pPr>
          </w:p>
          <w:p w14:paraId="4DFE5E76">
            <w:pPr>
              <w:spacing w:line="284" w:lineRule="auto"/>
              <w:rPr>
                <w:rFonts w:ascii="Arial"/>
                <w:sz w:val="21"/>
              </w:rPr>
            </w:pPr>
          </w:p>
          <w:p w14:paraId="132E74B2">
            <w:pPr>
              <w:pStyle w:val="6"/>
              <w:spacing w:before="73" w:line="255" w:lineRule="auto"/>
              <w:ind w:left="113" w:right="109" w:firstLine="483"/>
              <w:rPr>
                <w:sz w:val="20"/>
                <w:szCs w:val="20"/>
              </w:rPr>
            </w:pPr>
            <w:r>
              <w:rPr>
                <w:rFonts w:ascii="Calibri" w:hAnsi="Calibri" w:eastAsia="Calibri" w:cs="Calibri"/>
                <w:spacing w:val="14"/>
              </w:rPr>
              <w:t>7.2.1</w:t>
            </w:r>
            <w:r>
              <w:rPr>
                <w:spacing w:val="14"/>
                <w:sz w:val="20"/>
                <w:szCs w:val="20"/>
              </w:rPr>
              <w:t>回用件应分类储存和标</w:t>
            </w:r>
            <w:r>
              <w:rPr>
                <w:spacing w:val="13"/>
                <w:sz w:val="20"/>
                <w:szCs w:val="20"/>
              </w:rPr>
              <w:t xml:space="preserve"> </w:t>
            </w:r>
            <w:r>
              <w:rPr>
                <w:spacing w:val="12"/>
                <w:sz w:val="20"/>
                <w:szCs w:val="20"/>
              </w:rPr>
              <w:t xml:space="preserve">识，存放在封闭或半封闭的储存场 </w:t>
            </w:r>
            <w:r>
              <w:rPr>
                <w:spacing w:val="3"/>
                <w:sz w:val="20"/>
                <w:szCs w:val="20"/>
              </w:rPr>
              <w:t>地中。</w:t>
            </w:r>
          </w:p>
          <w:p w14:paraId="5E0DDBCA">
            <w:pPr>
              <w:pStyle w:val="6"/>
              <w:spacing w:before="72" w:line="239" w:lineRule="auto"/>
              <w:ind w:left="115" w:right="109" w:firstLine="481"/>
              <w:rPr>
                <w:sz w:val="20"/>
                <w:szCs w:val="20"/>
              </w:rPr>
            </w:pPr>
            <w:r>
              <w:rPr>
                <w:rFonts w:ascii="Calibri" w:hAnsi="Calibri" w:eastAsia="Calibri" w:cs="Calibri"/>
                <w:spacing w:val="14"/>
              </w:rPr>
              <w:t>7.2.2</w:t>
            </w:r>
            <w:r>
              <w:rPr>
                <w:spacing w:val="14"/>
                <w:sz w:val="20"/>
                <w:szCs w:val="20"/>
              </w:rPr>
              <w:t>回用件储存前应做清洁</w:t>
            </w:r>
            <w:r>
              <w:rPr>
                <w:spacing w:val="13"/>
                <w:sz w:val="20"/>
                <w:szCs w:val="20"/>
              </w:rPr>
              <w:t xml:space="preserve"> </w:t>
            </w:r>
            <w:r>
              <w:rPr>
                <w:spacing w:val="4"/>
                <w:sz w:val="20"/>
                <w:szCs w:val="20"/>
              </w:rPr>
              <w:t>等处理。</w:t>
            </w:r>
          </w:p>
        </w:tc>
        <w:tc>
          <w:tcPr>
            <w:tcW w:w="2318" w:type="dxa"/>
            <w:vAlign w:val="top"/>
          </w:tcPr>
          <w:p w14:paraId="0AA03E29">
            <w:pPr>
              <w:pStyle w:val="6"/>
              <w:spacing w:before="96" w:line="287" w:lineRule="auto"/>
              <w:ind w:left="115" w:right="42" w:firstLine="441"/>
              <w:rPr>
                <w:sz w:val="20"/>
                <w:szCs w:val="20"/>
              </w:rPr>
            </w:pPr>
            <w:r>
              <w:rPr>
                <w:spacing w:val="7"/>
                <w:sz w:val="20"/>
                <w:szCs w:val="20"/>
              </w:rPr>
              <w:t>回用件存放在封闭</w:t>
            </w:r>
            <w:r>
              <w:rPr>
                <w:spacing w:val="1"/>
                <w:sz w:val="20"/>
                <w:szCs w:val="20"/>
              </w:rPr>
              <w:t xml:space="preserve"> </w:t>
            </w:r>
            <w:r>
              <w:rPr>
                <w:spacing w:val="9"/>
                <w:sz w:val="20"/>
                <w:szCs w:val="20"/>
              </w:rPr>
              <w:t>场地内，玻璃、废旧轮</w:t>
            </w:r>
            <w:r>
              <w:rPr>
                <w:spacing w:val="8"/>
                <w:sz w:val="20"/>
                <w:szCs w:val="20"/>
              </w:rPr>
              <w:t xml:space="preserve"> </w:t>
            </w:r>
            <w:r>
              <w:rPr>
                <w:spacing w:val="11"/>
                <w:sz w:val="20"/>
                <w:szCs w:val="20"/>
              </w:rPr>
              <w:t>胎、塑料、密封胶条、</w:t>
            </w:r>
            <w:r>
              <w:rPr>
                <w:spacing w:val="2"/>
                <w:sz w:val="20"/>
                <w:szCs w:val="20"/>
              </w:rPr>
              <w:t xml:space="preserve"> </w:t>
            </w:r>
            <w:r>
              <w:rPr>
                <w:spacing w:val="9"/>
                <w:sz w:val="20"/>
                <w:szCs w:val="20"/>
              </w:rPr>
              <w:t>金属类等收集在拆解后</w:t>
            </w:r>
            <w:r>
              <w:rPr>
                <w:spacing w:val="8"/>
                <w:sz w:val="20"/>
                <w:szCs w:val="20"/>
              </w:rPr>
              <w:t xml:space="preserve"> </w:t>
            </w:r>
            <w:r>
              <w:rPr>
                <w:spacing w:val="9"/>
                <w:sz w:val="20"/>
                <w:szCs w:val="20"/>
              </w:rPr>
              <w:t>物料存储区，定期外售</w:t>
            </w:r>
            <w:r>
              <w:rPr>
                <w:spacing w:val="8"/>
                <w:sz w:val="20"/>
                <w:szCs w:val="20"/>
              </w:rPr>
              <w:t xml:space="preserve"> </w:t>
            </w:r>
            <w:r>
              <w:rPr>
                <w:spacing w:val="5"/>
                <w:sz w:val="20"/>
                <w:szCs w:val="20"/>
              </w:rPr>
              <w:t>废旧资源回收公司；</w:t>
            </w:r>
            <w:r>
              <w:rPr>
                <w:spacing w:val="-51"/>
                <w:sz w:val="20"/>
                <w:szCs w:val="20"/>
              </w:rPr>
              <w:t xml:space="preserve"> </w:t>
            </w:r>
            <w:r>
              <w:rPr>
                <w:spacing w:val="5"/>
                <w:sz w:val="20"/>
                <w:szCs w:val="20"/>
              </w:rPr>
              <w:t>电</w:t>
            </w:r>
            <w:r>
              <w:rPr>
                <w:sz w:val="20"/>
                <w:szCs w:val="20"/>
              </w:rPr>
              <w:t xml:space="preserve"> </w:t>
            </w:r>
            <w:r>
              <w:rPr>
                <w:spacing w:val="24"/>
                <w:sz w:val="20"/>
                <w:szCs w:val="20"/>
              </w:rPr>
              <w:t>子电器产品</w:t>
            </w:r>
            <w:r>
              <w:rPr>
                <w:rFonts w:ascii="Times New Roman" w:hAnsi="Times New Roman" w:eastAsia="Times New Roman" w:cs="Times New Roman"/>
                <w:spacing w:val="24"/>
                <w:sz w:val="20"/>
                <w:szCs w:val="20"/>
              </w:rPr>
              <w:t>/</w:t>
            </w:r>
            <w:r>
              <w:rPr>
                <w:spacing w:val="24"/>
                <w:sz w:val="20"/>
                <w:szCs w:val="20"/>
              </w:rPr>
              <w:t>元器件收</w:t>
            </w:r>
            <w:r>
              <w:rPr>
                <w:spacing w:val="3"/>
                <w:sz w:val="20"/>
                <w:szCs w:val="20"/>
              </w:rPr>
              <w:t xml:space="preserve"> </w:t>
            </w:r>
            <w:r>
              <w:rPr>
                <w:spacing w:val="33"/>
                <w:sz w:val="20"/>
                <w:szCs w:val="20"/>
              </w:rPr>
              <w:t>集在拆解后物料存储</w:t>
            </w:r>
            <w:r>
              <w:rPr>
                <w:spacing w:val="2"/>
                <w:sz w:val="20"/>
                <w:szCs w:val="20"/>
              </w:rPr>
              <w:t xml:space="preserve"> </w:t>
            </w:r>
            <w:r>
              <w:rPr>
                <w:spacing w:val="9"/>
                <w:sz w:val="20"/>
                <w:szCs w:val="20"/>
              </w:rPr>
              <w:t>区，交由有废电器资质</w:t>
            </w:r>
            <w:r>
              <w:rPr>
                <w:spacing w:val="8"/>
                <w:sz w:val="20"/>
                <w:szCs w:val="20"/>
              </w:rPr>
              <w:t xml:space="preserve"> </w:t>
            </w:r>
            <w:r>
              <w:rPr>
                <w:spacing w:val="-5"/>
                <w:sz w:val="20"/>
                <w:szCs w:val="20"/>
              </w:rPr>
              <w:t>企业拆解，不自行拆解，</w:t>
            </w:r>
            <w:r>
              <w:rPr>
                <w:spacing w:val="8"/>
                <w:sz w:val="20"/>
                <w:szCs w:val="20"/>
              </w:rPr>
              <w:t xml:space="preserve"> </w:t>
            </w:r>
            <w:r>
              <w:rPr>
                <w:spacing w:val="9"/>
                <w:sz w:val="20"/>
                <w:szCs w:val="20"/>
              </w:rPr>
              <w:t>本项目不做进行清洁处</w:t>
            </w:r>
            <w:r>
              <w:rPr>
                <w:spacing w:val="8"/>
                <w:sz w:val="20"/>
                <w:szCs w:val="20"/>
              </w:rPr>
              <w:t xml:space="preserve"> </w:t>
            </w:r>
            <w:r>
              <w:rPr>
                <w:sz w:val="20"/>
                <w:szCs w:val="20"/>
              </w:rPr>
              <w:t>理。</w:t>
            </w:r>
          </w:p>
        </w:tc>
        <w:tc>
          <w:tcPr>
            <w:tcW w:w="1145" w:type="dxa"/>
            <w:vMerge w:val="continue"/>
            <w:tcBorders>
              <w:top w:val="nil"/>
              <w:bottom w:val="nil"/>
              <w:right w:val="single" w:color="000000" w:sz="10" w:space="0"/>
            </w:tcBorders>
            <w:vAlign w:val="top"/>
          </w:tcPr>
          <w:p w14:paraId="192256BD">
            <w:pPr>
              <w:rPr>
                <w:rFonts w:ascii="Arial"/>
                <w:sz w:val="21"/>
              </w:rPr>
            </w:pPr>
          </w:p>
        </w:tc>
      </w:tr>
      <w:tr w14:paraId="09A2DC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5" w:hRule="atLeast"/>
        </w:trPr>
        <w:tc>
          <w:tcPr>
            <w:tcW w:w="494" w:type="dxa"/>
            <w:vMerge w:val="continue"/>
            <w:tcBorders>
              <w:top w:val="nil"/>
              <w:left w:val="single" w:color="000000" w:sz="10" w:space="0"/>
              <w:bottom w:val="single" w:color="000000" w:sz="10" w:space="0"/>
            </w:tcBorders>
            <w:vAlign w:val="top"/>
          </w:tcPr>
          <w:p w14:paraId="60E90265">
            <w:pPr>
              <w:rPr>
                <w:rFonts w:ascii="Arial"/>
                <w:sz w:val="21"/>
              </w:rPr>
            </w:pPr>
          </w:p>
        </w:tc>
        <w:tc>
          <w:tcPr>
            <w:tcW w:w="547" w:type="dxa"/>
            <w:vMerge w:val="continue"/>
            <w:tcBorders>
              <w:top w:val="nil"/>
              <w:bottom w:val="single" w:color="000000" w:sz="10" w:space="0"/>
            </w:tcBorders>
            <w:vAlign w:val="top"/>
          </w:tcPr>
          <w:p w14:paraId="5BBBD10C">
            <w:pPr>
              <w:rPr>
                <w:rFonts w:ascii="Arial"/>
                <w:sz w:val="21"/>
              </w:rPr>
            </w:pPr>
          </w:p>
        </w:tc>
        <w:tc>
          <w:tcPr>
            <w:tcW w:w="436" w:type="dxa"/>
            <w:vMerge w:val="continue"/>
            <w:tcBorders>
              <w:top w:val="nil"/>
              <w:bottom w:val="single" w:color="000000" w:sz="10" w:space="0"/>
            </w:tcBorders>
            <w:vAlign w:val="top"/>
          </w:tcPr>
          <w:p w14:paraId="6A91F676">
            <w:pPr>
              <w:rPr>
                <w:rFonts w:ascii="Arial"/>
                <w:sz w:val="21"/>
              </w:rPr>
            </w:pPr>
          </w:p>
        </w:tc>
        <w:tc>
          <w:tcPr>
            <w:tcW w:w="560" w:type="dxa"/>
            <w:tcBorders>
              <w:bottom w:val="single" w:color="000000" w:sz="10" w:space="0"/>
            </w:tcBorders>
            <w:vAlign w:val="top"/>
          </w:tcPr>
          <w:p w14:paraId="206E8B37">
            <w:pPr>
              <w:pStyle w:val="6"/>
              <w:spacing w:before="113" w:line="248" w:lineRule="auto"/>
              <w:ind w:left="198" w:right="132" w:hanging="69"/>
              <w:rPr>
                <w:sz w:val="20"/>
                <w:szCs w:val="20"/>
              </w:rPr>
            </w:pPr>
            <w:r>
              <w:rPr>
                <w:rFonts w:ascii="Calibri" w:hAnsi="Calibri" w:eastAsia="Calibri" w:cs="Calibri"/>
                <w:spacing w:val="-4"/>
              </w:rPr>
              <w:t>7.3</w:t>
            </w:r>
            <w:r>
              <w:rPr>
                <w:rFonts w:ascii="Calibri" w:hAnsi="Calibri" w:eastAsia="Calibri" w:cs="Calibri"/>
              </w:rPr>
              <w:t xml:space="preserve"> </w:t>
            </w:r>
            <w:r>
              <w:rPr>
                <w:sz w:val="20"/>
                <w:szCs w:val="20"/>
              </w:rPr>
              <w:t>电</w:t>
            </w:r>
          </w:p>
        </w:tc>
        <w:tc>
          <w:tcPr>
            <w:tcW w:w="3422" w:type="dxa"/>
            <w:tcBorders>
              <w:bottom w:val="single" w:color="000000" w:sz="10" w:space="0"/>
            </w:tcBorders>
            <w:vAlign w:val="top"/>
          </w:tcPr>
          <w:p w14:paraId="0FAF8130">
            <w:pPr>
              <w:pStyle w:val="6"/>
              <w:spacing w:before="84" w:line="273" w:lineRule="auto"/>
              <w:ind w:left="112" w:right="39" w:firstLine="420"/>
              <w:rPr>
                <w:sz w:val="20"/>
                <w:szCs w:val="20"/>
              </w:rPr>
            </w:pPr>
            <w:r>
              <w:rPr>
                <w:spacing w:val="13"/>
                <w:sz w:val="20"/>
                <w:szCs w:val="20"/>
              </w:rPr>
              <w:t>拆解后的电子元器件应分类储</w:t>
            </w:r>
            <w:r>
              <w:rPr>
                <w:spacing w:val="3"/>
                <w:sz w:val="20"/>
                <w:szCs w:val="20"/>
              </w:rPr>
              <w:t xml:space="preserve"> </w:t>
            </w:r>
            <w:r>
              <w:rPr>
                <w:spacing w:val="4"/>
                <w:sz w:val="20"/>
                <w:szCs w:val="20"/>
              </w:rPr>
              <w:t>存，属于危险废物的，应单独储存。</w:t>
            </w:r>
          </w:p>
        </w:tc>
        <w:tc>
          <w:tcPr>
            <w:tcW w:w="2318" w:type="dxa"/>
            <w:tcBorders>
              <w:bottom w:val="single" w:color="000000" w:sz="10" w:space="0"/>
            </w:tcBorders>
            <w:vAlign w:val="top"/>
          </w:tcPr>
          <w:p w14:paraId="466DE926">
            <w:pPr>
              <w:pStyle w:val="6"/>
              <w:spacing w:before="101" w:line="245" w:lineRule="auto"/>
              <w:ind w:left="115" w:right="97" w:firstLine="420"/>
            </w:pPr>
            <w:r>
              <w:rPr>
                <w:spacing w:val="9"/>
                <w:sz w:val="20"/>
                <w:szCs w:val="20"/>
              </w:rPr>
              <w:t>拆解后的电子元器</w:t>
            </w:r>
            <w:r>
              <w:rPr>
                <w:spacing w:val="6"/>
                <w:sz w:val="20"/>
                <w:szCs w:val="20"/>
              </w:rPr>
              <w:t xml:space="preserve"> </w:t>
            </w:r>
            <w:r>
              <w:rPr>
                <w:spacing w:val="8"/>
                <w:sz w:val="20"/>
                <w:szCs w:val="20"/>
              </w:rPr>
              <w:t>件分类储存</w:t>
            </w:r>
            <w:r>
              <w:rPr>
                <w:spacing w:val="-54"/>
                <w:sz w:val="20"/>
                <w:szCs w:val="20"/>
              </w:rPr>
              <w:t xml:space="preserve"> </w:t>
            </w:r>
            <w:r>
              <w:rPr>
                <w:spacing w:val="8"/>
                <w:sz w:val="20"/>
                <w:szCs w:val="20"/>
              </w:rPr>
              <w:t>，</w:t>
            </w:r>
            <w:r>
              <w:rPr>
                <w:spacing w:val="-40"/>
                <w:sz w:val="20"/>
                <w:szCs w:val="20"/>
              </w:rPr>
              <w:t xml:space="preserve"> </w:t>
            </w:r>
            <w:r>
              <w:rPr>
                <w:spacing w:val="8"/>
              </w:rPr>
              <w:t>电子电</w:t>
            </w:r>
          </w:p>
        </w:tc>
        <w:tc>
          <w:tcPr>
            <w:tcW w:w="1145" w:type="dxa"/>
            <w:vMerge w:val="continue"/>
            <w:tcBorders>
              <w:top w:val="nil"/>
              <w:bottom w:val="single" w:color="000000" w:sz="10" w:space="0"/>
              <w:right w:val="single" w:color="000000" w:sz="10" w:space="0"/>
            </w:tcBorders>
            <w:vAlign w:val="top"/>
          </w:tcPr>
          <w:p w14:paraId="321EC44C">
            <w:pPr>
              <w:rPr>
                <w:rFonts w:ascii="Arial"/>
                <w:sz w:val="21"/>
              </w:rPr>
            </w:pPr>
          </w:p>
        </w:tc>
      </w:tr>
    </w:tbl>
    <w:p w14:paraId="2C6A4AC6">
      <w:pPr>
        <w:pStyle w:val="2"/>
        <w:spacing w:line="118" w:lineRule="exact"/>
        <w:rPr>
          <w:sz w:val="10"/>
        </w:rPr>
      </w:pPr>
    </w:p>
    <w:p w14:paraId="080B4024">
      <w:pPr>
        <w:spacing w:line="118" w:lineRule="exact"/>
        <w:rPr>
          <w:sz w:val="10"/>
          <w:szCs w:val="10"/>
        </w:rPr>
        <w:sectPr>
          <w:footerReference r:id="rId23"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547"/>
        <w:gridCol w:w="436"/>
        <w:gridCol w:w="560"/>
        <w:gridCol w:w="3422"/>
        <w:gridCol w:w="2318"/>
        <w:gridCol w:w="1145"/>
      </w:tblGrid>
      <w:tr w14:paraId="76F650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8" w:hRule="atLeast"/>
        </w:trPr>
        <w:tc>
          <w:tcPr>
            <w:tcW w:w="494" w:type="dxa"/>
            <w:vMerge w:val="restart"/>
            <w:tcBorders>
              <w:top w:val="single" w:color="000000" w:sz="10" w:space="0"/>
              <w:left w:val="single" w:color="000000" w:sz="10" w:space="0"/>
              <w:bottom w:val="nil"/>
            </w:tcBorders>
            <w:vAlign w:val="top"/>
          </w:tcPr>
          <w:p w14:paraId="5E10902B">
            <w:pPr>
              <w:rPr>
                <w:rFonts w:ascii="Arial"/>
                <w:sz w:val="21"/>
              </w:rPr>
            </w:pPr>
            <w:r>
              <w:pict>
                <v:shape id="_x0000_s1032" o:spid="_x0000_s1032" style="position:absolute;left:0pt;margin-left:104.1pt;margin-top:768.5pt;height:1.45pt;width:411.15pt;mso-position-horizontal-relative:page;mso-position-vertical-relative:page;z-index:251666432;mso-width-relative:page;mso-height-relative:page;" filled="f" stroked="t" coordsize="8222,29" o:allowincell="f" path="m0,14l8222,14e">
                  <v:fill on="f" focussize="0,0"/>
                  <v:stroke weight="1.44pt" color="#000000" miterlimit="2" joinstyle="bevel"/>
                  <v:imagedata o:title=""/>
                  <o:lock v:ext="edit"/>
                </v:shape>
              </w:pict>
            </w:r>
          </w:p>
        </w:tc>
        <w:tc>
          <w:tcPr>
            <w:tcW w:w="547" w:type="dxa"/>
            <w:vMerge w:val="restart"/>
            <w:tcBorders>
              <w:top w:val="single" w:color="000000" w:sz="10" w:space="0"/>
              <w:bottom w:val="nil"/>
            </w:tcBorders>
            <w:vAlign w:val="top"/>
          </w:tcPr>
          <w:p w14:paraId="0A4D5553">
            <w:pPr>
              <w:spacing w:line="242" w:lineRule="auto"/>
              <w:rPr>
                <w:rFonts w:ascii="Arial"/>
                <w:sz w:val="21"/>
              </w:rPr>
            </w:pPr>
          </w:p>
          <w:p w14:paraId="08A276F6">
            <w:pPr>
              <w:spacing w:line="242" w:lineRule="auto"/>
              <w:rPr>
                <w:rFonts w:ascii="Arial"/>
                <w:sz w:val="21"/>
              </w:rPr>
            </w:pPr>
          </w:p>
          <w:p w14:paraId="79C30715">
            <w:pPr>
              <w:spacing w:line="242" w:lineRule="auto"/>
              <w:rPr>
                <w:rFonts w:ascii="Arial"/>
                <w:sz w:val="21"/>
              </w:rPr>
            </w:pPr>
          </w:p>
          <w:p w14:paraId="7EA56E15">
            <w:pPr>
              <w:spacing w:line="242" w:lineRule="auto"/>
              <w:rPr>
                <w:rFonts w:ascii="Arial"/>
                <w:sz w:val="21"/>
              </w:rPr>
            </w:pPr>
          </w:p>
          <w:p w14:paraId="00790D0F">
            <w:pPr>
              <w:spacing w:line="242" w:lineRule="auto"/>
              <w:rPr>
                <w:rFonts w:ascii="Arial"/>
                <w:sz w:val="21"/>
              </w:rPr>
            </w:pPr>
          </w:p>
          <w:p w14:paraId="5E54B132">
            <w:pPr>
              <w:spacing w:line="242" w:lineRule="auto"/>
              <w:rPr>
                <w:rFonts w:ascii="Arial"/>
                <w:sz w:val="21"/>
              </w:rPr>
            </w:pPr>
          </w:p>
          <w:p w14:paraId="58F24B77">
            <w:pPr>
              <w:spacing w:line="242" w:lineRule="auto"/>
              <w:rPr>
                <w:rFonts w:ascii="Arial"/>
                <w:sz w:val="21"/>
              </w:rPr>
            </w:pPr>
          </w:p>
          <w:p w14:paraId="7CD095B2">
            <w:pPr>
              <w:spacing w:line="242" w:lineRule="auto"/>
              <w:rPr>
                <w:rFonts w:ascii="Arial"/>
                <w:sz w:val="21"/>
              </w:rPr>
            </w:pPr>
          </w:p>
          <w:p w14:paraId="11E8A893">
            <w:pPr>
              <w:spacing w:line="242" w:lineRule="auto"/>
              <w:rPr>
                <w:rFonts w:ascii="Arial"/>
                <w:sz w:val="21"/>
              </w:rPr>
            </w:pPr>
          </w:p>
          <w:p w14:paraId="1F0EC48D">
            <w:pPr>
              <w:spacing w:line="242" w:lineRule="auto"/>
              <w:rPr>
                <w:rFonts w:ascii="Arial"/>
                <w:sz w:val="21"/>
              </w:rPr>
            </w:pPr>
          </w:p>
          <w:p w14:paraId="09EA990C">
            <w:pPr>
              <w:spacing w:line="242" w:lineRule="auto"/>
              <w:rPr>
                <w:rFonts w:ascii="Arial"/>
                <w:sz w:val="21"/>
              </w:rPr>
            </w:pPr>
          </w:p>
          <w:p w14:paraId="0C8075D3">
            <w:pPr>
              <w:spacing w:line="242" w:lineRule="auto"/>
              <w:rPr>
                <w:rFonts w:ascii="Arial"/>
                <w:sz w:val="21"/>
              </w:rPr>
            </w:pPr>
          </w:p>
          <w:p w14:paraId="168EBEA3">
            <w:pPr>
              <w:spacing w:line="242" w:lineRule="auto"/>
              <w:rPr>
                <w:rFonts w:ascii="Arial"/>
                <w:sz w:val="21"/>
              </w:rPr>
            </w:pPr>
          </w:p>
          <w:p w14:paraId="50783CB0">
            <w:pPr>
              <w:spacing w:line="242" w:lineRule="auto"/>
              <w:rPr>
                <w:rFonts w:ascii="Arial"/>
                <w:sz w:val="21"/>
              </w:rPr>
            </w:pPr>
          </w:p>
          <w:p w14:paraId="0295CE74">
            <w:pPr>
              <w:spacing w:line="242" w:lineRule="auto"/>
              <w:rPr>
                <w:rFonts w:ascii="Arial"/>
                <w:sz w:val="21"/>
              </w:rPr>
            </w:pPr>
          </w:p>
          <w:p w14:paraId="2C0A18C0">
            <w:pPr>
              <w:spacing w:line="242" w:lineRule="auto"/>
              <w:rPr>
                <w:rFonts w:ascii="Arial"/>
                <w:sz w:val="21"/>
              </w:rPr>
            </w:pPr>
          </w:p>
          <w:p w14:paraId="3B5B37E1">
            <w:pPr>
              <w:spacing w:line="242" w:lineRule="auto"/>
              <w:rPr>
                <w:rFonts w:ascii="Arial"/>
                <w:sz w:val="21"/>
              </w:rPr>
            </w:pPr>
          </w:p>
          <w:p w14:paraId="3B44B43A">
            <w:pPr>
              <w:spacing w:line="243" w:lineRule="auto"/>
              <w:rPr>
                <w:rFonts w:ascii="Arial"/>
                <w:sz w:val="21"/>
              </w:rPr>
            </w:pPr>
          </w:p>
          <w:p w14:paraId="2E33EEC3">
            <w:pPr>
              <w:spacing w:line="243" w:lineRule="auto"/>
              <w:rPr>
                <w:rFonts w:ascii="Arial"/>
                <w:sz w:val="21"/>
              </w:rPr>
            </w:pPr>
          </w:p>
          <w:p w14:paraId="78C0E4B0">
            <w:pPr>
              <w:spacing w:line="243" w:lineRule="auto"/>
              <w:rPr>
                <w:rFonts w:ascii="Arial"/>
                <w:sz w:val="21"/>
              </w:rPr>
            </w:pPr>
          </w:p>
          <w:p w14:paraId="5EC92FEB">
            <w:pPr>
              <w:spacing w:line="243" w:lineRule="auto"/>
              <w:rPr>
                <w:rFonts w:ascii="Arial"/>
                <w:sz w:val="21"/>
              </w:rPr>
            </w:pPr>
          </w:p>
          <w:p w14:paraId="2C267B41">
            <w:pPr>
              <w:spacing w:line="243" w:lineRule="auto"/>
              <w:rPr>
                <w:rFonts w:ascii="Arial"/>
                <w:sz w:val="21"/>
              </w:rPr>
            </w:pPr>
          </w:p>
          <w:p w14:paraId="38B14519">
            <w:pPr>
              <w:spacing w:line="243" w:lineRule="auto"/>
              <w:rPr>
                <w:rFonts w:ascii="Arial"/>
                <w:sz w:val="21"/>
              </w:rPr>
            </w:pPr>
          </w:p>
          <w:p w14:paraId="12E76D69">
            <w:pPr>
              <w:spacing w:line="243" w:lineRule="auto"/>
              <w:rPr>
                <w:rFonts w:ascii="Arial"/>
                <w:sz w:val="21"/>
              </w:rPr>
            </w:pPr>
          </w:p>
          <w:p w14:paraId="2A8D5AA0">
            <w:pPr>
              <w:spacing w:line="243" w:lineRule="auto"/>
              <w:rPr>
                <w:rFonts w:ascii="Arial"/>
                <w:sz w:val="21"/>
              </w:rPr>
            </w:pPr>
          </w:p>
          <w:p w14:paraId="4D185F7C">
            <w:pPr>
              <w:spacing w:line="243" w:lineRule="auto"/>
              <w:rPr>
                <w:rFonts w:ascii="Arial"/>
                <w:sz w:val="21"/>
              </w:rPr>
            </w:pPr>
          </w:p>
          <w:p w14:paraId="313ECB27">
            <w:pPr>
              <w:spacing w:line="243" w:lineRule="auto"/>
              <w:rPr>
                <w:rFonts w:ascii="Arial"/>
                <w:sz w:val="21"/>
              </w:rPr>
            </w:pPr>
          </w:p>
          <w:p w14:paraId="3A2C7E12">
            <w:pPr>
              <w:spacing w:line="243" w:lineRule="auto"/>
              <w:rPr>
                <w:rFonts w:ascii="Arial"/>
                <w:sz w:val="21"/>
              </w:rPr>
            </w:pPr>
          </w:p>
          <w:p w14:paraId="06876BE3">
            <w:pPr>
              <w:spacing w:line="243" w:lineRule="auto"/>
              <w:rPr>
                <w:rFonts w:ascii="Arial"/>
                <w:sz w:val="21"/>
              </w:rPr>
            </w:pPr>
          </w:p>
          <w:p w14:paraId="720BF03C">
            <w:pPr>
              <w:spacing w:line="243" w:lineRule="auto"/>
              <w:rPr>
                <w:rFonts w:ascii="Arial"/>
                <w:sz w:val="21"/>
              </w:rPr>
            </w:pPr>
          </w:p>
          <w:p w14:paraId="5C2EB316">
            <w:pPr>
              <w:spacing w:line="243" w:lineRule="auto"/>
              <w:rPr>
                <w:rFonts w:ascii="Arial"/>
                <w:sz w:val="21"/>
              </w:rPr>
            </w:pPr>
          </w:p>
          <w:p w14:paraId="3790DEE1">
            <w:pPr>
              <w:spacing w:line="243" w:lineRule="auto"/>
              <w:rPr>
                <w:rFonts w:ascii="Arial"/>
                <w:sz w:val="21"/>
              </w:rPr>
            </w:pPr>
          </w:p>
          <w:p w14:paraId="11309303">
            <w:pPr>
              <w:spacing w:line="243" w:lineRule="auto"/>
              <w:rPr>
                <w:rFonts w:ascii="Arial"/>
                <w:sz w:val="21"/>
              </w:rPr>
            </w:pPr>
          </w:p>
          <w:p w14:paraId="65DC281B">
            <w:pPr>
              <w:spacing w:line="243" w:lineRule="auto"/>
              <w:rPr>
                <w:rFonts w:ascii="Arial"/>
                <w:sz w:val="21"/>
              </w:rPr>
            </w:pPr>
          </w:p>
          <w:p w14:paraId="659FD0A8">
            <w:pPr>
              <w:spacing w:line="243" w:lineRule="auto"/>
              <w:rPr>
                <w:rFonts w:ascii="Arial"/>
                <w:sz w:val="21"/>
              </w:rPr>
            </w:pPr>
          </w:p>
          <w:p w14:paraId="1643032F">
            <w:pPr>
              <w:spacing w:line="243" w:lineRule="auto"/>
              <w:rPr>
                <w:rFonts w:ascii="Arial"/>
                <w:sz w:val="21"/>
              </w:rPr>
            </w:pPr>
          </w:p>
          <w:p w14:paraId="48536939">
            <w:pPr>
              <w:spacing w:line="243" w:lineRule="auto"/>
              <w:rPr>
                <w:rFonts w:ascii="Arial"/>
                <w:sz w:val="21"/>
              </w:rPr>
            </w:pPr>
          </w:p>
          <w:p w14:paraId="18AC6640">
            <w:pPr>
              <w:spacing w:line="243" w:lineRule="auto"/>
              <w:rPr>
                <w:rFonts w:ascii="Arial"/>
                <w:sz w:val="21"/>
              </w:rPr>
            </w:pPr>
          </w:p>
          <w:p w14:paraId="391662C7">
            <w:pPr>
              <w:spacing w:line="243" w:lineRule="auto"/>
              <w:rPr>
                <w:rFonts w:ascii="Arial"/>
                <w:sz w:val="21"/>
              </w:rPr>
            </w:pPr>
          </w:p>
          <w:p w14:paraId="489DCBE4">
            <w:pPr>
              <w:spacing w:line="243" w:lineRule="auto"/>
              <w:rPr>
                <w:rFonts w:ascii="Arial"/>
                <w:sz w:val="21"/>
              </w:rPr>
            </w:pPr>
          </w:p>
          <w:p w14:paraId="52282EEE">
            <w:pPr>
              <w:spacing w:before="58" w:line="192" w:lineRule="auto"/>
              <w:ind w:left="271"/>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436" w:type="dxa"/>
            <w:vMerge w:val="restart"/>
            <w:tcBorders>
              <w:top w:val="single" w:color="000000" w:sz="10" w:space="0"/>
              <w:bottom w:val="nil"/>
            </w:tcBorders>
            <w:vAlign w:val="top"/>
          </w:tcPr>
          <w:p w14:paraId="6D3F74D3">
            <w:pPr>
              <w:rPr>
                <w:rFonts w:ascii="Arial"/>
                <w:sz w:val="21"/>
              </w:rPr>
            </w:pPr>
          </w:p>
        </w:tc>
        <w:tc>
          <w:tcPr>
            <w:tcW w:w="560" w:type="dxa"/>
            <w:tcBorders>
              <w:top w:val="single" w:color="000000" w:sz="10" w:space="0"/>
            </w:tcBorders>
            <w:textDirection w:val="tbRlV"/>
            <w:vAlign w:val="top"/>
          </w:tcPr>
          <w:p w14:paraId="3296C466">
            <w:pPr>
              <w:pStyle w:val="6"/>
              <w:spacing w:before="180" w:line="216" w:lineRule="auto"/>
              <w:ind w:left="45"/>
              <w:rPr>
                <w:sz w:val="20"/>
                <w:szCs w:val="20"/>
              </w:rPr>
            </w:pPr>
            <w:r>
              <w:rPr>
                <w:spacing w:val="6"/>
                <w:sz w:val="20"/>
                <w:szCs w:val="20"/>
              </w:rPr>
              <w:t>子 元 器 件 储 存</w:t>
            </w:r>
          </w:p>
        </w:tc>
        <w:tc>
          <w:tcPr>
            <w:tcW w:w="3422" w:type="dxa"/>
            <w:tcBorders>
              <w:top w:val="single" w:color="000000" w:sz="10" w:space="0"/>
            </w:tcBorders>
            <w:vAlign w:val="top"/>
          </w:tcPr>
          <w:p w14:paraId="14817FED">
            <w:pPr>
              <w:rPr>
                <w:rFonts w:ascii="Arial"/>
                <w:sz w:val="21"/>
              </w:rPr>
            </w:pPr>
          </w:p>
        </w:tc>
        <w:tc>
          <w:tcPr>
            <w:tcW w:w="2318" w:type="dxa"/>
            <w:tcBorders>
              <w:top w:val="single" w:color="000000" w:sz="10" w:space="0"/>
            </w:tcBorders>
            <w:vAlign w:val="top"/>
          </w:tcPr>
          <w:p w14:paraId="63B14E9B">
            <w:pPr>
              <w:pStyle w:val="6"/>
              <w:spacing w:before="48" w:line="282" w:lineRule="auto"/>
              <w:ind w:left="116" w:right="26" w:firstLine="1"/>
              <w:jc w:val="both"/>
              <w:rPr>
                <w:sz w:val="20"/>
                <w:szCs w:val="20"/>
              </w:rPr>
            </w:pPr>
            <w:r>
              <w:rPr>
                <w:spacing w:val="16"/>
              </w:rPr>
              <w:t>器产</w:t>
            </w:r>
            <w:r>
              <w:rPr>
                <w:spacing w:val="16"/>
                <w:sz w:val="20"/>
                <w:szCs w:val="20"/>
              </w:rPr>
              <w:t>品</w:t>
            </w:r>
            <w:r>
              <w:rPr>
                <w:rFonts w:ascii="Times New Roman" w:hAnsi="Times New Roman" w:eastAsia="Times New Roman" w:cs="Times New Roman"/>
                <w:spacing w:val="16"/>
                <w:sz w:val="20"/>
                <w:szCs w:val="20"/>
              </w:rPr>
              <w:t>/</w:t>
            </w:r>
            <w:r>
              <w:rPr>
                <w:spacing w:val="16"/>
                <w:sz w:val="20"/>
                <w:szCs w:val="20"/>
              </w:rPr>
              <w:t>元器件收集在</w:t>
            </w:r>
            <w:r>
              <w:rPr>
                <w:spacing w:val="1"/>
                <w:sz w:val="20"/>
                <w:szCs w:val="20"/>
              </w:rPr>
              <w:t xml:space="preserve"> </w:t>
            </w:r>
            <w:r>
              <w:rPr>
                <w:spacing w:val="9"/>
                <w:sz w:val="20"/>
                <w:szCs w:val="20"/>
              </w:rPr>
              <w:t>拆解后物料存储区，收</w:t>
            </w:r>
            <w:r>
              <w:rPr>
                <w:spacing w:val="8"/>
                <w:sz w:val="20"/>
                <w:szCs w:val="20"/>
              </w:rPr>
              <w:t xml:space="preserve"> </w:t>
            </w:r>
            <w:r>
              <w:rPr>
                <w:spacing w:val="33"/>
                <w:sz w:val="20"/>
                <w:szCs w:val="20"/>
              </w:rPr>
              <w:t>集在拆解后物料存储</w:t>
            </w:r>
            <w:r>
              <w:rPr>
                <w:spacing w:val="1"/>
                <w:sz w:val="20"/>
                <w:szCs w:val="20"/>
              </w:rPr>
              <w:t xml:space="preserve"> </w:t>
            </w:r>
            <w:r>
              <w:rPr>
                <w:spacing w:val="9"/>
                <w:sz w:val="20"/>
                <w:szCs w:val="20"/>
              </w:rPr>
              <w:t>区，交由有废电器资质</w:t>
            </w:r>
            <w:r>
              <w:rPr>
                <w:spacing w:val="8"/>
                <w:sz w:val="20"/>
                <w:szCs w:val="20"/>
              </w:rPr>
              <w:t xml:space="preserve"> </w:t>
            </w:r>
            <w:r>
              <w:rPr>
                <w:spacing w:val="-3"/>
                <w:sz w:val="20"/>
                <w:szCs w:val="20"/>
              </w:rPr>
              <w:t>企业拆解，不自行拆解。</w:t>
            </w:r>
          </w:p>
        </w:tc>
        <w:tc>
          <w:tcPr>
            <w:tcW w:w="1145" w:type="dxa"/>
            <w:vMerge w:val="restart"/>
            <w:tcBorders>
              <w:top w:val="single" w:color="000000" w:sz="10" w:space="0"/>
              <w:bottom w:val="nil"/>
              <w:right w:val="single" w:color="000000" w:sz="10" w:space="0"/>
            </w:tcBorders>
            <w:vAlign w:val="top"/>
          </w:tcPr>
          <w:p w14:paraId="5D8697E9">
            <w:pPr>
              <w:rPr>
                <w:rFonts w:ascii="Arial"/>
                <w:sz w:val="21"/>
              </w:rPr>
            </w:pPr>
          </w:p>
          <w:p w14:paraId="7523D8E6">
            <w:pPr>
              <w:rPr>
                <w:rFonts w:ascii="Arial"/>
                <w:sz w:val="21"/>
              </w:rPr>
            </w:pPr>
          </w:p>
          <w:p w14:paraId="4025F37E">
            <w:pPr>
              <w:rPr>
                <w:rFonts w:ascii="Arial"/>
                <w:sz w:val="21"/>
              </w:rPr>
            </w:pPr>
          </w:p>
          <w:p w14:paraId="52C0C499">
            <w:pPr>
              <w:rPr>
                <w:rFonts w:ascii="Arial"/>
                <w:sz w:val="21"/>
              </w:rPr>
            </w:pPr>
          </w:p>
          <w:p w14:paraId="5457A5F3">
            <w:pPr>
              <w:rPr>
                <w:rFonts w:ascii="Arial"/>
                <w:sz w:val="21"/>
              </w:rPr>
            </w:pPr>
          </w:p>
          <w:p w14:paraId="5610F883">
            <w:pPr>
              <w:rPr>
                <w:rFonts w:ascii="Arial"/>
                <w:sz w:val="21"/>
              </w:rPr>
            </w:pPr>
          </w:p>
          <w:p w14:paraId="48314A38">
            <w:pPr>
              <w:rPr>
                <w:rFonts w:ascii="Arial"/>
                <w:sz w:val="21"/>
              </w:rPr>
            </w:pPr>
          </w:p>
          <w:p w14:paraId="39027F20">
            <w:pPr>
              <w:rPr>
                <w:rFonts w:ascii="Arial"/>
                <w:sz w:val="21"/>
              </w:rPr>
            </w:pPr>
          </w:p>
          <w:p w14:paraId="48D88EE9">
            <w:pPr>
              <w:rPr>
                <w:rFonts w:ascii="Arial"/>
                <w:sz w:val="21"/>
              </w:rPr>
            </w:pPr>
          </w:p>
          <w:p w14:paraId="4D5219C4">
            <w:pPr>
              <w:rPr>
                <w:rFonts w:ascii="Arial"/>
                <w:sz w:val="21"/>
              </w:rPr>
            </w:pPr>
          </w:p>
          <w:p w14:paraId="7F892645">
            <w:pPr>
              <w:rPr>
                <w:rFonts w:ascii="Arial"/>
                <w:sz w:val="21"/>
              </w:rPr>
            </w:pPr>
          </w:p>
          <w:p w14:paraId="34396406">
            <w:pPr>
              <w:rPr>
                <w:rFonts w:ascii="Arial"/>
                <w:sz w:val="21"/>
              </w:rPr>
            </w:pPr>
          </w:p>
          <w:p w14:paraId="678B7B12">
            <w:pPr>
              <w:spacing w:line="241" w:lineRule="auto"/>
              <w:rPr>
                <w:rFonts w:ascii="Arial"/>
                <w:sz w:val="21"/>
              </w:rPr>
            </w:pPr>
          </w:p>
          <w:p w14:paraId="70D8953E">
            <w:pPr>
              <w:spacing w:line="241" w:lineRule="auto"/>
              <w:rPr>
                <w:rFonts w:ascii="Arial"/>
                <w:sz w:val="21"/>
              </w:rPr>
            </w:pPr>
          </w:p>
          <w:p w14:paraId="3FFD8243">
            <w:pPr>
              <w:spacing w:line="241" w:lineRule="auto"/>
              <w:rPr>
                <w:rFonts w:ascii="Arial"/>
                <w:sz w:val="21"/>
              </w:rPr>
            </w:pPr>
          </w:p>
          <w:p w14:paraId="64883853">
            <w:pPr>
              <w:pStyle w:val="6"/>
              <w:spacing w:before="65" w:line="228" w:lineRule="auto"/>
              <w:ind w:left="320"/>
              <w:rPr>
                <w:sz w:val="20"/>
                <w:szCs w:val="20"/>
              </w:rPr>
            </w:pPr>
            <w:r>
              <w:rPr>
                <w:spacing w:val="3"/>
                <w:sz w:val="20"/>
                <w:szCs w:val="20"/>
              </w:rPr>
              <w:t>符合</w:t>
            </w:r>
          </w:p>
          <w:p w14:paraId="45D562A4">
            <w:pPr>
              <w:spacing w:line="249" w:lineRule="auto"/>
              <w:rPr>
                <w:rFonts w:ascii="Arial"/>
                <w:sz w:val="21"/>
              </w:rPr>
            </w:pPr>
          </w:p>
          <w:p w14:paraId="6008D944">
            <w:pPr>
              <w:spacing w:line="249" w:lineRule="auto"/>
              <w:rPr>
                <w:rFonts w:ascii="Arial"/>
                <w:sz w:val="21"/>
              </w:rPr>
            </w:pPr>
          </w:p>
          <w:p w14:paraId="5CA9D524">
            <w:pPr>
              <w:spacing w:line="249" w:lineRule="auto"/>
              <w:rPr>
                <w:rFonts w:ascii="Arial"/>
                <w:sz w:val="21"/>
              </w:rPr>
            </w:pPr>
          </w:p>
          <w:p w14:paraId="134F394B">
            <w:pPr>
              <w:spacing w:line="249" w:lineRule="auto"/>
              <w:rPr>
                <w:rFonts w:ascii="Arial"/>
                <w:sz w:val="21"/>
              </w:rPr>
            </w:pPr>
          </w:p>
          <w:p w14:paraId="5B5D0BDA">
            <w:pPr>
              <w:spacing w:line="249" w:lineRule="auto"/>
              <w:rPr>
                <w:rFonts w:ascii="Arial"/>
                <w:sz w:val="21"/>
              </w:rPr>
            </w:pPr>
          </w:p>
          <w:p w14:paraId="0A0700CA">
            <w:pPr>
              <w:spacing w:line="249" w:lineRule="auto"/>
              <w:rPr>
                <w:rFonts w:ascii="Arial"/>
                <w:sz w:val="21"/>
              </w:rPr>
            </w:pPr>
          </w:p>
          <w:p w14:paraId="4BAB8B64">
            <w:pPr>
              <w:spacing w:line="249" w:lineRule="auto"/>
              <w:rPr>
                <w:rFonts w:ascii="Arial"/>
                <w:sz w:val="21"/>
              </w:rPr>
            </w:pPr>
          </w:p>
          <w:p w14:paraId="411F6AE7">
            <w:pPr>
              <w:spacing w:line="250" w:lineRule="auto"/>
              <w:rPr>
                <w:rFonts w:ascii="Arial"/>
                <w:sz w:val="21"/>
              </w:rPr>
            </w:pPr>
          </w:p>
          <w:p w14:paraId="390A8D93">
            <w:pPr>
              <w:spacing w:line="250" w:lineRule="auto"/>
              <w:rPr>
                <w:rFonts w:ascii="Arial"/>
                <w:sz w:val="21"/>
              </w:rPr>
            </w:pPr>
          </w:p>
          <w:p w14:paraId="5A0E1F54">
            <w:pPr>
              <w:spacing w:line="250" w:lineRule="auto"/>
              <w:rPr>
                <w:rFonts w:ascii="Arial"/>
                <w:sz w:val="21"/>
              </w:rPr>
            </w:pPr>
          </w:p>
          <w:p w14:paraId="056DE53C">
            <w:pPr>
              <w:spacing w:line="250" w:lineRule="auto"/>
              <w:rPr>
                <w:rFonts w:ascii="Arial"/>
                <w:sz w:val="21"/>
              </w:rPr>
            </w:pPr>
          </w:p>
          <w:p w14:paraId="3ED03229">
            <w:pPr>
              <w:spacing w:line="250" w:lineRule="auto"/>
              <w:rPr>
                <w:rFonts w:ascii="Arial"/>
                <w:sz w:val="21"/>
              </w:rPr>
            </w:pPr>
          </w:p>
          <w:p w14:paraId="70A4AFC6">
            <w:pPr>
              <w:spacing w:line="250" w:lineRule="auto"/>
              <w:rPr>
                <w:rFonts w:ascii="Arial"/>
                <w:sz w:val="21"/>
              </w:rPr>
            </w:pPr>
          </w:p>
          <w:p w14:paraId="38444E69">
            <w:pPr>
              <w:spacing w:line="250" w:lineRule="auto"/>
              <w:rPr>
                <w:rFonts w:ascii="Arial"/>
                <w:sz w:val="21"/>
              </w:rPr>
            </w:pPr>
          </w:p>
          <w:p w14:paraId="1E9E3D7F">
            <w:pPr>
              <w:spacing w:line="250" w:lineRule="auto"/>
              <w:rPr>
                <w:rFonts w:ascii="Arial"/>
                <w:sz w:val="21"/>
              </w:rPr>
            </w:pPr>
          </w:p>
          <w:p w14:paraId="3D69209B">
            <w:pPr>
              <w:spacing w:line="250" w:lineRule="auto"/>
              <w:rPr>
                <w:rFonts w:ascii="Arial"/>
                <w:sz w:val="21"/>
              </w:rPr>
            </w:pPr>
          </w:p>
          <w:p w14:paraId="4AC03BD3">
            <w:pPr>
              <w:spacing w:line="250" w:lineRule="auto"/>
              <w:rPr>
                <w:rFonts w:ascii="Arial"/>
                <w:sz w:val="21"/>
              </w:rPr>
            </w:pPr>
          </w:p>
          <w:p w14:paraId="17C6D6E7">
            <w:pPr>
              <w:spacing w:line="250" w:lineRule="auto"/>
              <w:rPr>
                <w:rFonts w:ascii="Arial"/>
                <w:sz w:val="21"/>
              </w:rPr>
            </w:pPr>
          </w:p>
          <w:p w14:paraId="712654DE">
            <w:pPr>
              <w:spacing w:line="250" w:lineRule="auto"/>
              <w:rPr>
                <w:rFonts w:ascii="Arial"/>
                <w:sz w:val="21"/>
              </w:rPr>
            </w:pPr>
          </w:p>
          <w:p w14:paraId="2B7618B7">
            <w:pPr>
              <w:spacing w:line="250" w:lineRule="auto"/>
              <w:rPr>
                <w:rFonts w:ascii="Arial"/>
                <w:sz w:val="21"/>
              </w:rPr>
            </w:pPr>
          </w:p>
          <w:p w14:paraId="28CAE132">
            <w:pPr>
              <w:spacing w:line="250" w:lineRule="auto"/>
              <w:rPr>
                <w:rFonts w:ascii="Arial"/>
                <w:sz w:val="21"/>
              </w:rPr>
            </w:pPr>
          </w:p>
          <w:p w14:paraId="1BD6A303">
            <w:pPr>
              <w:spacing w:line="250" w:lineRule="auto"/>
              <w:rPr>
                <w:rFonts w:ascii="Arial"/>
                <w:sz w:val="21"/>
              </w:rPr>
            </w:pPr>
          </w:p>
          <w:p w14:paraId="4A12A4E6">
            <w:pPr>
              <w:spacing w:line="250" w:lineRule="auto"/>
              <w:rPr>
                <w:rFonts w:ascii="Arial"/>
                <w:sz w:val="21"/>
              </w:rPr>
            </w:pPr>
          </w:p>
          <w:p w14:paraId="279B4665">
            <w:pPr>
              <w:pStyle w:val="6"/>
              <w:spacing w:before="65" w:line="228" w:lineRule="auto"/>
              <w:ind w:left="320"/>
              <w:rPr>
                <w:sz w:val="20"/>
                <w:szCs w:val="20"/>
              </w:rPr>
            </w:pPr>
            <w:r>
              <w:rPr>
                <w:spacing w:val="3"/>
                <w:sz w:val="20"/>
                <w:szCs w:val="20"/>
              </w:rPr>
              <w:t>符合</w:t>
            </w:r>
          </w:p>
        </w:tc>
      </w:tr>
      <w:tr w14:paraId="253476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8" w:hRule="atLeast"/>
        </w:trPr>
        <w:tc>
          <w:tcPr>
            <w:tcW w:w="494" w:type="dxa"/>
            <w:vMerge w:val="continue"/>
            <w:tcBorders>
              <w:top w:val="nil"/>
              <w:left w:val="single" w:color="000000" w:sz="10" w:space="0"/>
              <w:bottom w:val="nil"/>
            </w:tcBorders>
            <w:vAlign w:val="top"/>
          </w:tcPr>
          <w:p w14:paraId="0247F88A">
            <w:pPr>
              <w:rPr>
                <w:rFonts w:ascii="Arial"/>
                <w:sz w:val="21"/>
              </w:rPr>
            </w:pPr>
          </w:p>
        </w:tc>
        <w:tc>
          <w:tcPr>
            <w:tcW w:w="547" w:type="dxa"/>
            <w:vMerge w:val="continue"/>
            <w:tcBorders>
              <w:top w:val="nil"/>
              <w:bottom w:val="nil"/>
            </w:tcBorders>
            <w:vAlign w:val="top"/>
          </w:tcPr>
          <w:p w14:paraId="06523681">
            <w:pPr>
              <w:rPr>
                <w:rFonts w:ascii="Arial"/>
                <w:sz w:val="21"/>
              </w:rPr>
            </w:pPr>
          </w:p>
        </w:tc>
        <w:tc>
          <w:tcPr>
            <w:tcW w:w="436" w:type="dxa"/>
            <w:vMerge w:val="continue"/>
            <w:tcBorders>
              <w:top w:val="nil"/>
            </w:tcBorders>
            <w:vAlign w:val="top"/>
          </w:tcPr>
          <w:p w14:paraId="56B10274">
            <w:pPr>
              <w:rPr>
                <w:rFonts w:ascii="Arial"/>
                <w:sz w:val="21"/>
              </w:rPr>
            </w:pPr>
          </w:p>
        </w:tc>
        <w:tc>
          <w:tcPr>
            <w:tcW w:w="560" w:type="dxa"/>
            <w:vAlign w:val="top"/>
          </w:tcPr>
          <w:p w14:paraId="473EF19C">
            <w:pPr>
              <w:spacing w:line="340" w:lineRule="auto"/>
              <w:rPr>
                <w:rFonts w:ascii="Arial"/>
                <w:sz w:val="21"/>
              </w:rPr>
            </w:pPr>
          </w:p>
          <w:p w14:paraId="7CDE5059">
            <w:pPr>
              <w:spacing w:line="341" w:lineRule="auto"/>
              <w:rPr>
                <w:rFonts w:ascii="Arial"/>
                <w:sz w:val="21"/>
              </w:rPr>
            </w:pPr>
          </w:p>
          <w:p w14:paraId="72A04333">
            <w:pPr>
              <w:pStyle w:val="6"/>
              <w:spacing w:before="73" w:line="277" w:lineRule="auto"/>
              <w:ind w:left="172" w:right="132" w:hanging="43"/>
              <w:jc w:val="both"/>
              <w:rPr>
                <w:sz w:val="20"/>
                <w:szCs w:val="20"/>
              </w:rPr>
            </w:pPr>
            <w:r>
              <w:rPr>
                <w:rFonts w:ascii="Calibri" w:hAnsi="Calibri" w:eastAsia="Calibri" w:cs="Calibri"/>
                <w:spacing w:val="-4"/>
              </w:rPr>
              <w:t>7.4</w:t>
            </w:r>
            <w:r>
              <w:rPr>
                <w:rFonts w:ascii="Calibri" w:hAnsi="Calibri" w:eastAsia="Calibri" w:cs="Calibri"/>
              </w:rPr>
              <w:t xml:space="preserve"> </w:t>
            </w:r>
            <w:r>
              <w:rPr>
                <w:spacing w:val="1"/>
                <w:sz w:val="20"/>
                <w:szCs w:val="20"/>
              </w:rPr>
              <w:t>动</w:t>
            </w:r>
            <w:r>
              <w:rPr>
                <w:sz w:val="20"/>
                <w:szCs w:val="20"/>
              </w:rPr>
              <w:t xml:space="preserve"> </w:t>
            </w:r>
            <w:r>
              <w:rPr>
                <w:spacing w:val="1"/>
                <w:sz w:val="20"/>
                <w:szCs w:val="20"/>
              </w:rPr>
              <w:t>力</w:t>
            </w:r>
            <w:r>
              <w:rPr>
                <w:sz w:val="20"/>
                <w:szCs w:val="20"/>
              </w:rPr>
              <w:t xml:space="preserve"> </w:t>
            </w:r>
            <w:r>
              <w:rPr>
                <w:spacing w:val="1"/>
                <w:sz w:val="20"/>
                <w:szCs w:val="20"/>
              </w:rPr>
              <w:t>蓄</w:t>
            </w:r>
            <w:r>
              <w:rPr>
                <w:sz w:val="20"/>
                <w:szCs w:val="20"/>
              </w:rPr>
              <w:t xml:space="preserve"> </w:t>
            </w:r>
            <w:r>
              <w:rPr>
                <w:spacing w:val="1"/>
                <w:sz w:val="20"/>
                <w:szCs w:val="20"/>
              </w:rPr>
              <w:t>电</w:t>
            </w:r>
            <w:r>
              <w:rPr>
                <w:sz w:val="20"/>
                <w:szCs w:val="20"/>
              </w:rPr>
              <w:t xml:space="preserve"> </w:t>
            </w:r>
            <w:r>
              <w:rPr>
                <w:spacing w:val="1"/>
                <w:sz w:val="20"/>
                <w:szCs w:val="20"/>
              </w:rPr>
              <w:t>池</w:t>
            </w:r>
            <w:r>
              <w:rPr>
                <w:sz w:val="20"/>
                <w:szCs w:val="20"/>
              </w:rPr>
              <w:t xml:space="preserve"> </w:t>
            </w:r>
            <w:r>
              <w:rPr>
                <w:spacing w:val="1"/>
                <w:sz w:val="20"/>
                <w:szCs w:val="20"/>
              </w:rPr>
              <w:t>储</w:t>
            </w:r>
            <w:r>
              <w:rPr>
                <w:sz w:val="20"/>
                <w:szCs w:val="20"/>
              </w:rPr>
              <w:t xml:space="preserve"> </w:t>
            </w:r>
            <w:r>
              <w:rPr>
                <w:spacing w:val="1"/>
                <w:sz w:val="20"/>
                <w:szCs w:val="20"/>
              </w:rPr>
              <w:t>存</w:t>
            </w:r>
          </w:p>
        </w:tc>
        <w:tc>
          <w:tcPr>
            <w:tcW w:w="3422" w:type="dxa"/>
            <w:vAlign w:val="top"/>
          </w:tcPr>
          <w:p w14:paraId="6D4DCF9E">
            <w:pPr>
              <w:spacing w:line="250" w:lineRule="auto"/>
              <w:rPr>
                <w:rFonts w:ascii="Arial"/>
                <w:sz w:val="21"/>
              </w:rPr>
            </w:pPr>
          </w:p>
          <w:p w14:paraId="31CD9FF9">
            <w:pPr>
              <w:spacing w:line="250" w:lineRule="auto"/>
              <w:rPr>
                <w:rFonts w:ascii="Arial"/>
                <w:sz w:val="21"/>
              </w:rPr>
            </w:pPr>
          </w:p>
          <w:p w14:paraId="51002A3A">
            <w:pPr>
              <w:pStyle w:val="6"/>
              <w:spacing w:before="74" w:line="255" w:lineRule="auto"/>
              <w:ind w:left="114" w:right="109" w:firstLine="482"/>
              <w:rPr>
                <w:sz w:val="20"/>
                <w:szCs w:val="20"/>
              </w:rPr>
            </w:pPr>
            <w:r>
              <w:rPr>
                <w:rFonts w:ascii="Calibri" w:hAnsi="Calibri" w:eastAsia="Calibri" w:cs="Calibri"/>
                <w:spacing w:val="14"/>
              </w:rPr>
              <w:t>7.4.1</w:t>
            </w:r>
            <w:r>
              <w:rPr>
                <w:spacing w:val="14"/>
                <w:sz w:val="20"/>
                <w:szCs w:val="20"/>
              </w:rPr>
              <w:t>动力蓄电池的储存应按</w:t>
            </w:r>
            <w:r>
              <w:rPr>
                <w:spacing w:val="13"/>
                <w:sz w:val="20"/>
                <w:szCs w:val="20"/>
              </w:rPr>
              <w:t xml:space="preserve"> </w:t>
            </w:r>
            <w:r>
              <w:rPr>
                <w:spacing w:val="6"/>
                <w:sz w:val="20"/>
                <w:szCs w:val="20"/>
              </w:rPr>
              <w:t>照</w:t>
            </w:r>
            <w:r>
              <w:rPr>
                <w:rFonts w:ascii="Times New Roman" w:hAnsi="Times New Roman" w:eastAsia="Times New Roman" w:cs="Times New Roman"/>
                <w:sz w:val="20"/>
                <w:szCs w:val="20"/>
              </w:rPr>
              <w:t>WB</w:t>
            </w:r>
            <w:r>
              <w:rPr>
                <w:rFonts w:ascii="Times New Roman" w:hAnsi="Times New Roman" w:eastAsia="Times New Roman" w:cs="Times New Roman"/>
                <w:spacing w:val="6"/>
                <w:sz w:val="20"/>
                <w:szCs w:val="20"/>
              </w:rPr>
              <w:t>/T</w:t>
            </w:r>
            <w:r>
              <w:rPr>
                <w:rFonts w:ascii="Times New Roman" w:hAnsi="Times New Roman" w:eastAsia="Times New Roman" w:cs="Times New Roman"/>
                <w:spacing w:val="35"/>
                <w:sz w:val="20"/>
                <w:szCs w:val="20"/>
              </w:rPr>
              <w:t xml:space="preserve"> </w:t>
            </w:r>
            <w:r>
              <w:rPr>
                <w:rFonts w:ascii="Times New Roman" w:hAnsi="Times New Roman" w:eastAsia="Times New Roman" w:cs="Times New Roman"/>
                <w:spacing w:val="6"/>
                <w:sz w:val="20"/>
                <w:szCs w:val="20"/>
              </w:rPr>
              <w:t>1061</w:t>
            </w:r>
            <w:r>
              <w:rPr>
                <w:spacing w:val="6"/>
                <w:sz w:val="20"/>
                <w:szCs w:val="20"/>
              </w:rPr>
              <w:t>和</w:t>
            </w:r>
            <w:r>
              <w:rPr>
                <w:rFonts w:ascii="Times New Roman" w:hAnsi="Times New Roman" w:eastAsia="Times New Roman" w:cs="Times New Roman"/>
                <w:sz w:val="20"/>
                <w:szCs w:val="20"/>
              </w:rPr>
              <w:t>HJ</w:t>
            </w:r>
            <w:r>
              <w:rPr>
                <w:rFonts w:ascii="Times New Roman" w:hAnsi="Times New Roman" w:eastAsia="Times New Roman" w:cs="Times New Roman"/>
                <w:spacing w:val="32"/>
                <w:w w:val="101"/>
                <w:sz w:val="20"/>
                <w:szCs w:val="20"/>
              </w:rPr>
              <w:t xml:space="preserve"> </w:t>
            </w:r>
            <w:r>
              <w:rPr>
                <w:rFonts w:ascii="Times New Roman" w:hAnsi="Times New Roman" w:eastAsia="Times New Roman" w:cs="Times New Roman"/>
                <w:spacing w:val="6"/>
                <w:sz w:val="20"/>
                <w:szCs w:val="20"/>
              </w:rPr>
              <w:t>1186</w:t>
            </w:r>
            <w:r>
              <w:rPr>
                <w:spacing w:val="6"/>
                <w:sz w:val="20"/>
                <w:szCs w:val="20"/>
              </w:rPr>
              <w:t>规定的储存</w:t>
            </w:r>
            <w:r>
              <w:rPr>
                <w:sz w:val="20"/>
                <w:szCs w:val="20"/>
              </w:rPr>
              <w:t xml:space="preserve"> </w:t>
            </w:r>
            <w:r>
              <w:rPr>
                <w:spacing w:val="5"/>
                <w:sz w:val="20"/>
                <w:szCs w:val="20"/>
              </w:rPr>
              <w:t>要求执行。</w:t>
            </w:r>
          </w:p>
          <w:p w14:paraId="1C2B0F98">
            <w:pPr>
              <w:pStyle w:val="6"/>
              <w:spacing w:before="65" w:line="268" w:lineRule="auto"/>
              <w:ind w:left="112" w:right="109" w:firstLine="420"/>
              <w:rPr>
                <w:sz w:val="20"/>
                <w:szCs w:val="20"/>
              </w:rPr>
            </w:pPr>
            <w:r>
              <w:rPr>
                <w:rFonts w:ascii="Times New Roman" w:hAnsi="Times New Roman" w:eastAsia="Times New Roman" w:cs="Times New Roman"/>
                <w:spacing w:val="10"/>
                <w:sz w:val="20"/>
                <w:szCs w:val="20"/>
              </w:rPr>
              <w:t>7.4.2</w:t>
            </w:r>
            <w:r>
              <w:rPr>
                <w:spacing w:val="10"/>
                <w:sz w:val="20"/>
                <w:szCs w:val="20"/>
              </w:rPr>
              <w:t>动力蓄电池多层储存时应</w:t>
            </w:r>
            <w:r>
              <w:rPr>
                <w:spacing w:val="13"/>
                <w:sz w:val="20"/>
                <w:szCs w:val="20"/>
              </w:rPr>
              <w:t xml:space="preserve"> </w:t>
            </w:r>
            <w:r>
              <w:rPr>
                <w:spacing w:val="12"/>
                <w:sz w:val="20"/>
                <w:szCs w:val="20"/>
              </w:rPr>
              <w:t>采取框架结构并确保承重安全，且</w:t>
            </w:r>
            <w:r>
              <w:rPr>
                <w:spacing w:val="13"/>
                <w:sz w:val="20"/>
                <w:szCs w:val="20"/>
              </w:rPr>
              <w:t xml:space="preserve"> </w:t>
            </w:r>
            <w:r>
              <w:rPr>
                <w:spacing w:val="6"/>
                <w:sz w:val="20"/>
                <w:szCs w:val="20"/>
              </w:rPr>
              <w:t>便于存取。</w:t>
            </w:r>
          </w:p>
          <w:p w14:paraId="0A1FC563">
            <w:pPr>
              <w:pStyle w:val="6"/>
              <w:spacing w:before="64" w:line="268" w:lineRule="auto"/>
              <w:ind w:left="114" w:right="109" w:firstLine="418"/>
              <w:rPr>
                <w:sz w:val="20"/>
                <w:szCs w:val="20"/>
              </w:rPr>
            </w:pPr>
            <w:r>
              <w:rPr>
                <w:rFonts w:ascii="Times New Roman" w:hAnsi="Times New Roman" w:eastAsia="Times New Roman" w:cs="Times New Roman"/>
                <w:spacing w:val="10"/>
                <w:sz w:val="20"/>
                <w:szCs w:val="20"/>
              </w:rPr>
              <w:t>7.4.3</w:t>
            </w:r>
            <w:r>
              <w:rPr>
                <w:spacing w:val="10"/>
                <w:sz w:val="20"/>
                <w:szCs w:val="20"/>
              </w:rPr>
              <w:t>存在漏电、漏液、破损等</w:t>
            </w:r>
            <w:r>
              <w:rPr>
                <w:spacing w:val="13"/>
                <w:sz w:val="20"/>
                <w:szCs w:val="20"/>
              </w:rPr>
              <w:t xml:space="preserve"> </w:t>
            </w:r>
            <w:r>
              <w:rPr>
                <w:spacing w:val="12"/>
                <w:sz w:val="20"/>
                <w:szCs w:val="20"/>
              </w:rPr>
              <w:t>安全隐患的动力蓄电池应采取适当</w:t>
            </w:r>
            <w:r>
              <w:rPr>
                <w:spacing w:val="11"/>
                <w:sz w:val="20"/>
                <w:szCs w:val="20"/>
              </w:rPr>
              <w:t xml:space="preserve"> </w:t>
            </w:r>
            <w:r>
              <w:rPr>
                <w:spacing w:val="8"/>
                <w:sz w:val="20"/>
                <w:szCs w:val="20"/>
              </w:rPr>
              <w:t>方式处理，并隔离存放。</w:t>
            </w:r>
          </w:p>
        </w:tc>
        <w:tc>
          <w:tcPr>
            <w:tcW w:w="2318" w:type="dxa"/>
            <w:vAlign w:val="top"/>
          </w:tcPr>
          <w:p w14:paraId="7A7A8335">
            <w:pPr>
              <w:pStyle w:val="6"/>
              <w:spacing w:before="82" w:line="289" w:lineRule="auto"/>
              <w:ind w:left="111" w:right="97" w:firstLine="425"/>
              <w:rPr>
                <w:sz w:val="20"/>
                <w:szCs w:val="20"/>
              </w:rPr>
            </w:pPr>
            <w:r>
              <w:rPr>
                <w:spacing w:val="9"/>
                <w:sz w:val="20"/>
                <w:szCs w:val="20"/>
              </w:rPr>
              <w:t>动力蓄电池暂存在</w:t>
            </w:r>
            <w:r>
              <w:rPr>
                <w:spacing w:val="5"/>
                <w:sz w:val="20"/>
                <w:szCs w:val="20"/>
              </w:rPr>
              <w:t xml:space="preserve"> </w:t>
            </w:r>
            <w:r>
              <w:rPr>
                <w:spacing w:val="9"/>
                <w:sz w:val="20"/>
                <w:szCs w:val="20"/>
              </w:rPr>
              <w:t>危险废物贮存库</w:t>
            </w:r>
            <w:r>
              <w:rPr>
                <w:rFonts w:ascii="Calibri" w:hAnsi="Calibri" w:eastAsia="Calibri" w:cs="Calibri"/>
                <w:spacing w:val="9"/>
                <w:sz w:val="20"/>
                <w:szCs w:val="20"/>
              </w:rPr>
              <w:t>2#</w:t>
            </w:r>
            <w:r>
              <w:rPr>
                <w:spacing w:val="9"/>
                <w:sz w:val="20"/>
                <w:szCs w:val="20"/>
              </w:rPr>
              <w:t>废蓄</w:t>
            </w:r>
            <w:r>
              <w:rPr>
                <w:spacing w:val="2"/>
                <w:sz w:val="20"/>
                <w:szCs w:val="20"/>
              </w:rPr>
              <w:t xml:space="preserve"> </w:t>
            </w:r>
            <w:r>
              <w:rPr>
                <w:spacing w:val="11"/>
                <w:sz w:val="20"/>
                <w:szCs w:val="20"/>
              </w:rPr>
              <w:t>电池暂存区内，按照</w:t>
            </w:r>
            <w:r>
              <w:rPr>
                <w:rFonts w:ascii="Times New Roman" w:hAnsi="Times New Roman" w:eastAsia="Times New Roman" w:cs="Times New Roman"/>
                <w:spacing w:val="11"/>
                <w:sz w:val="20"/>
                <w:szCs w:val="20"/>
              </w:rPr>
              <w:t>W</w:t>
            </w:r>
            <w:r>
              <w:rPr>
                <w:rFonts w:ascii="Times New Roman" w:hAnsi="Times New Roman" w:eastAsia="Times New Roman" w:cs="Times New Roman"/>
                <w:spacing w:val="4"/>
                <w:sz w:val="20"/>
                <w:szCs w:val="20"/>
              </w:rPr>
              <w:t xml:space="preserve"> </w:t>
            </w:r>
            <w:r>
              <w:rPr>
                <w:rFonts w:ascii="Times New Roman" w:hAnsi="Times New Roman" w:eastAsia="Times New Roman" w:cs="Times New Roman"/>
                <w:spacing w:val="6"/>
                <w:sz w:val="20"/>
                <w:szCs w:val="20"/>
              </w:rPr>
              <w:t>B/T</w:t>
            </w:r>
            <w:r>
              <w:rPr>
                <w:rFonts w:ascii="Times New Roman" w:hAnsi="Times New Roman" w:eastAsia="Times New Roman" w:cs="Times New Roman"/>
                <w:spacing w:val="23"/>
                <w:sz w:val="20"/>
                <w:szCs w:val="20"/>
              </w:rPr>
              <w:t xml:space="preserve">  </w:t>
            </w:r>
            <w:r>
              <w:rPr>
                <w:rFonts w:ascii="Times New Roman" w:hAnsi="Times New Roman" w:eastAsia="Times New Roman" w:cs="Times New Roman"/>
                <w:spacing w:val="6"/>
                <w:sz w:val="20"/>
                <w:szCs w:val="20"/>
              </w:rPr>
              <w:t>1061</w:t>
            </w:r>
            <w:r>
              <w:rPr>
                <w:spacing w:val="6"/>
                <w:sz w:val="20"/>
                <w:szCs w:val="20"/>
              </w:rPr>
              <w:t>和</w:t>
            </w:r>
            <w:r>
              <w:rPr>
                <w:rFonts w:ascii="Times New Roman" w:hAnsi="Times New Roman" w:eastAsia="Times New Roman" w:cs="Times New Roman"/>
                <w:sz w:val="20"/>
                <w:szCs w:val="20"/>
              </w:rPr>
              <w:t>HJ</w:t>
            </w:r>
            <w:r>
              <w:rPr>
                <w:rFonts w:ascii="Times New Roman" w:hAnsi="Times New Roman" w:eastAsia="Times New Roman" w:cs="Times New Roman"/>
                <w:spacing w:val="22"/>
                <w:w w:val="101"/>
                <w:sz w:val="20"/>
                <w:szCs w:val="20"/>
              </w:rPr>
              <w:t xml:space="preserve">  </w:t>
            </w:r>
            <w:r>
              <w:rPr>
                <w:rFonts w:ascii="Times New Roman" w:hAnsi="Times New Roman" w:eastAsia="Times New Roman" w:cs="Times New Roman"/>
                <w:spacing w:val="6"/>
                <w:sz w:val="20"/>
                <w:szCs w:val="20"/>
              </w:rPr>
              <w:t>1186</w:t>
            </w:r>
            <w:r>
              <w:rPr>
                <w:spacing w:val="6"/>
                <w:sz w:val="20"/>
                <w:szCs w:val="20"/>
              </w:rPr>
              <w:t>规</w:t>
            </w:r>
            <w:r>
              <w:rPr>
                <w:sz w:val="20"/>
                <w:szCs w:val="20"/>
              </w:rPr>
              <w:t xml:space="preserve"> </w:t>
            </w:r>
            <w:r>
              <w:rPr>
                <w:spacing w:val="8"/>
                <w:sz w:val="20"/>
                <w:szCs w:val="20"/>
              </w:rPr>
              <w:t>定的储存要求执行。</w:t>
            </w:r>
          </w:p>
          <w:p w14:paraId="45A7797E">
            <w:pPr>
              <w:pStyle w:val="6"/>
              <w:spacing w:before="33" w:line="285" w:lineRule="auto"/>
              <w:ind w:left="118" w:right="97" w:firstLine="417"/>
              <w:rPr>
                <w:sz w:val="20"/>
                <w:szCs w:val="20"/>
              </w:rPr>
            </w:pPr>
            <w:r>
              <w:rPr>
                <w:spacing w:val="10"/>
                <w:sz w:val="20"/>
                <w:szCs w:val="20"/>
              </w:rPr>
              <w:t>在多层储存时，采</w:t>
            </w:r>
            <w:r>
              <w:rPr>
                <w:sz w:val="20"/>
                <w:szCs w:val="20"/>
              </w:rPr>
              <w:t xml:space="preserve"> </w:t>
            </w:r>
            <w:r>
              <w:rPr>
                <w:spacing w:val="9"/>
                <w:sz w:val="20"/>
                <w:szCs w:val="20"/>
              </w:rPr>
              <w:t>用便于存取的钢质框架</w:t>
            </w:r>
            <w:r>
              <w:rPr>
                <w:spacing w:val="6"/>
                <w:sz w:val="20"/>
                <w:szCs w:val="20"/>
              </w:rPr>
              <w:t xml:space="preserve"> </w:t>
            </w:r>
            <w:r>
              <w:rPr>
                <w:spacing w:val="2"/>
                <w:sz w:val="20"/>
                <w:szCs w:val="20"/>
              </w:rPr>
              <w:t>结构。</w:t>
            </w:r>
          </w:p>
          <w:p w14:paraId="5EE174B5">
            <w:pPr>
              <w:pStyle w:val="6"/>
              <w:spacing w:before="32" w:line="274" w:lineRule="auto"/>
              <w:ind w:left="115" w:right="26" w:firstLine="420"/>
              <w:rPr>
                <w:sz w:val="20"/>
                <w:szCs w:val="20"/>
              </w:rPr>
            </w:pPr>
            <w:r>
              <w:rPr>
                <w:spacing w:val="-6"/>
                <w:sz w:val="20"/>
                <w:szCs w:val="20"/>
              </w:rPr>
              <w:t>对存在漏电、漏液、</w:t>
            </w:r>
            <w:r>
              <w:rPr>
                <w:spacing w:val="3"/>
                <w:sz w:val="20"/>
                <w:szCs w:val="20"/>
              </w:rPr>
              <w:t xml:space="preserve"> </w:t>
            </w:r>
            <w:r>
              <w:rPr>
                <w:spacing w:val="9"/>
                <w:sz w:val="20"/>
                <w:szCs w:val="20"/>
              </w:rPr>
              <w:t>破损等安全隐患的动力</w:t>
            </w:r>
            <w:r>
              <w:rPr>
                <w:spacing w:val="8"/>
                <w:sz w:val="20"/>
                <w:szCs w:val="20"/>
              </w:rPr>
              <w:t xml:space="preserve"> </w:t>
            </w:r>
            <w:r>
              <w:rPr>
                <w:spacing w:val="11"/>
                <w:sz w:val="20"/>
                <w:szCs w:val="20"/>
              </w:rPr>
              <w:t>蓄电池采取密封处理，</w:t>
            </w:r>
            <w:r>
              <w:rPr>
                <w:spacing w:val="5"/>
                <w:sz w:val="20"/>
                <w:szCs w:val="20"/>
              </w:rPr>
              <w:t xml:space="preserve"> </w:t>
            </w:r>
            <w:r>
              <w:rPr>
                <w:spacing w:val="7"/>
                <w:sz w:val="20"/>
                <w:szCs w:val="20"/>
              </w:rPr>
              <w:t>并隔离单独存放。</w:t>
            </w:r>
          </w:p>
        </w:tc>
        <w:tc>
          <w:tcPr>
            <w:tcW w:w="1145" w:type="dxa"/>
            <w:vMerge w:val="continue"/>
            <w:tcBorders>
              <w:top w:val="nil"/>
              <w:bottom w:val="nil"/>
              <w:right w:val="single" w:color="000000" w:sz="10" w:space="0"/>
            </w:tcBorders>
            <w:vAlign w:val="top"/>
          </w:tcPr>
          <w:p w14:paraId="52A90318">
            <w:pPr>
              <w:rPr>
                <w:rFonts w:ascii="Arial"/>
                <w:sz w:val="21"/>
              </w:rPr>
            </w:pPr>
          </w:p>
        </w:tc>
      </w:tr>
      <w:tr w14:paraId="22F973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2" w:hRule="atLeast"/>
        </w:trPr>
        <w:tc>
          <w:tcPr>
            <w:tcW w:w="494" w:type="dxa"/>
            <w:vMerge w:val="continue"/>
            <w:tcBorders>
              <w:top w:val="nil"/>
              <w:left w:val="single" w:color="000000" w:sz="10" w:space="0"/>
              <w:bottom w:val="single" w:color="000000" w:sz="10" w:space="0"/>
            </w:tcBorders>
            <w:vAlign w:val="top"/>
          </w:tcPr>
          <w:p w14:paraId="4C6F08D1">
            <w:pPr>
              <w:rPr>
                <w:rFonts w:ascii="Arial"/>
                <w:sz w:val="21"/>
              </w:rPr>
            </w:pPr>
          </w:p>
        </w:tc>
        <w:tc>
          <w:tcPr>
            <w:tcW w:w="547" w:type="dxa"/>
            <w:vMerge w:val="continue"/>
            <w:tcBorders>
              <w:top w:val="nil"/>
              <w:bottom w:val="single" w:color="000000" w:sz="10" w:space="0"/>
            </w:tcBorders>
            <w:vAlign w:val="top"/>
          </w:tcPr>
          <w:p w14:paraId="40101960">
            <w:pPr>
              <w:rPr>
                <w:rFonts w:ascii="Arial"/>
                <w:sz w:val="21"/>
              </w:rPr>
            </w:pPr>
          </w:p>
        </w:tc>
        <w:tc>
          <w:tcPr>
            <w:tcW w:w="996" w:type="dxa"/>
            <w:gridSpan w:val="2"/>
            <w:tcBorders>
              <w:bottom w:val="single" w:color="000000" w:sz="10" w:space="0"/>
            </w:tcBorders>
            <w:vAlign w:val="top"/>
          </w:tcPr>
          <w:p w14:paraId="07655777">
            <w:pPr>
              <w:spacing w:line="254" w:lineRule="auto"/>
              <w:rPr>
                <w:rFonts w:ascii="Arial"/>
                <w:sz w:val="21"/>
              </w:rPr>
            </w:pPr>
          </w:p>
          <w:p w14:paraId="54BE4AC5">
            <w:pPr>
              <w:spacing w:line="254" w:lineRule="auto"/>
              <w:rPr>
                <w:rFonts w:ascii="Arial"/>
                <w:sz w:val="21"/>
              </w:rPr>
            </w:pPr>
          </w:p>
          <w:p w14:paraId="40FA6326">
            <w:pPr>
              <w:spacing w:line="254" w:lineRule="auto"/>
              <w:rPr>
                <w:rFonts w:ascii="Arial"/>
                <w:sz w:val="21"/>
              </w:rPr>
            </w:pPr>
          </w:p>
          <w:p w14:paraId="7B4902CF">
            <w:pPr>
              <w:spacing w:line="254" w:lineRule="auto"/>
              <w:rPr>
                <w:rFonts w:ascii="Arial"/>
                <w:sz w:val="21"/>
              </w:rPr>
            </w:pPr>
          </w:p>
          <w:p w14:paraId="4CE214B1">
            <w:pPr>
              <w:spacing w:line="254" w:lineRule="auto"/>
              <w:rPr>
                <w:rFonts w:ascii="Arial"/>
                <w:sz w:val="21"/>
              </w:rPr>
            </w:pPr>
          </w:p>
          <w:p w14:paraId="4C0AE1EC">
            <w:pPr>
              <w:spacing w:line="255" w:lineRule="auto"/>
              <w:rPr>
                <w:rFonts w:ascii="Arial"/>
                <w:sz w:val="21"/>
              </w:rPr>
            </w:pPr>
          </w:p>
          <w:p w14:paraId="2B828FD2">
            <w:pPr>
              <w:spacing w:line="255" w:lineRule="auto"/>
              <w:rPr>
                <w:rFonts w:ascii="Arial"/>
                <w:sz w:val="21"/>
              </w:rPr>
            </w:pPr>
          </w:p>
          <w:p w14:paraId="6834771B">
            <w:pPr>
              <w:spacing w:line="255" w:lineRule="auto"/>
              <w:rPr>
                <w:rFonts w:ascii="Arial"/>
                <w:sz w:val="21"/>
              </w:rPr>
            </w:pPr>
          </w:p>
          <w:p w14:paraId="499D2291">
            <w:pPr>
              <w:spacing w:line="255" w:lineRule="auto"/>
              <w:rPr>
                <w:rFonts w:ascii="Arial"/>
                <w:sz w:val="21"/>
              </w:rPr>
            </w:pPr>
          </w:p>
          <w:p w14:paraId="1A99A7E0">
            <w:pPr>
              <w:spacing w:line="255" w:lineRule="auto"/>
              <w:rPr>
                <w:rFonts w:ascii="Arial"/>
                <w:sz w:val="21"/>
              </w:rPr>
            </w:pPr>
          </w:p>
          <w:p w14:paraId="0EBD8C78">
            <w:pPr>
              <w:spacing w:line="255" w:lineRule="auto"/>
              <w:rPr>
                <w:rFonts w:ascii="Arial"/>
                <w:sz w:val="21"/>
              </w:rPr>
            </w:pPr>
          </w:p>
          <w:p w14:paraId="466C3D28">
            <w:pPr>
              <w:spacing w:line="255" w:lineRule="auto"/>
              <w:rPr>
                <w:rFonts w:ascii="Arial"/>
                <w:sz w:val="21"/>
              </w:rPr>
            </w:pPr>
          </w:p>
          <w:p w14:paraId="642E4B20">
            <w:pPr>
              <w:spacing w:line="255" w:lineRule="auto"/>
              <w:rPr>
                <w:rFonts w:ascii="Arial"/>
                <w:sz w:val="21"/>
              </w:rPr>
            </w:pPr>
          </w:p>
          <w:p w14:paraId="5F013682">
            <w:pPr>
              <w:spacing w:line="255" w:lineRule="auto"/>
              <w:rPr>
                <w:rFonts w:ascii="Arial"/>
                <w:sz w:val="21"/>
              </w:rPr>
            </w:pPr>
          </w:p>
          <w:p w14:paraId="381E2A44">
            <w:pPr>
              <w:spacing w:line="255" w:lineRule="auto"/>
              <w:rPr>
                <w:rFonts w:ascii="Arial"/>
                <w:sz w:val="21"/>
              </w:rPr>
            </w:pPr>
          </w:p>
          <w:p w14:paraId="2F4F01CF">
            <w:pPr>
              <w:pStyle w:val="6"/>
              <w:spacing w:before="73" w:line="253" w:lineRule="auto"/>
              <w:ind w:left="289" w:right="129" w:hanging="170"/>
              <w:rPr>
                <w:sz w:val="20"/>
                <w:szCs w:val="20"/>
              </w:rPr>
            </w:pPr>
            <w:r>
              <w:rPr>
                <w:rFonts w:ascii="Calibri" w:hAnsi="Calibri" w:eastAsia="Calibri" w:cs="Calibri"/>
                <w:spacing w:val="5"/>
              </w:rPr>
              <w:t>8</w:t>
            </w:r>
            <w:r>
              <w:rPr>
                <w:spacing w:val="5"/>
                <w:sz w:val="20"/>
                <w:szCs w:val="20"/>
              </w:rPr>
              <w:t>拆解后</w:t>
            </w:r>
            <w:r>
              <w:rPr>
                <w:sz w:val="20"/>
                <w:szCs w:val="20"/>
              </w:rPr>
              <w:t xml:space="preserve"> </w:t>
            </w:r>
            <w:r>
              <w:rPr>
                <w:spacing w:val="2"/>
                <w:sz w:val="20"/>
                <w:szCs w:val="20"/>
              </w:rPr>
              <w:t>处置</w:t>
            </w:r>
          </w:p>
        </w:tc>
        <w:tc>
          <w:tcPr>
            <w:tcW w:w="3422" w:type="dxa"/>
            <w:tcBorders>
              <w:bottom w:val="single" w:color="000000" w:sz="10" w:space="0"/>
            </w:tcBorders>
            <w:vAlign w:val="top"/>
          </w:tcPr>
          <w:p w14:paraId="4A7C07A2">
            <w:pPr>
              <w:spacing w:line="409" w:lineRule="auto"/>
              <w:rPr>
                <w:rFonts w:ascii="Arial"/>
                <w:sz w:val="21"/>
              </w:rPr>
            </w:pPr>
          </w:p>
          <w:p w14:paraId="78DD1E77">
            <w:pPr>
              <w:pStyle w:val="6"/>
              <w:spacing w:before="73" w:line="271" w:lineRule="auto"/>
              <w:ind w:left="112" w:right="109" w:firstLine="482"/>
              <w:jc w:val="both"/>
              <w:rPr>
                <w:sz w:val="20"/>
                <w:szCs w:val="20"/>
              </w:rPr>
            </w:pPr>
            <w:r>
              <w:rPr>
                <w:rFonts w:ascii="Calibri" w:hAnsi="Calibri" w:eastAsia="Calibri" w:cs="Calibri"/>
                <w:spacing w:val="14"/>
              </w:rPr>
              <w:t>8.1</w:t>
            </w:r>
            <w:r>
              <w:rPr>
                <w:spacing w:val="14"/>
                <w:sz w:val="20"/>
                <w:szCs w:val="20"/>
              </w:rPr>
              <w:t>废液应使用专用密闭容器</w:t>
            </w:r>
            <w:r>
              <w:rPr>
                <w:spacing w:val="11"/>
                <w:sz w:val="20"/>
                <w:szCs w:val="20"/>
              </w:rPr>
              <w:t xml:space="preserve"> </w:t>
            </w:r>
            <w:r>
              <w:rPr>
                <w:spacing w:val="12"/>
                <w:sz w:val="20"/>
                <w:szCs w:val="20"/>
              </w:rPr>
              <w:t>存储，防漏、防洒溅、防挥发，并</w:t>
            </w:r>
            <w:r>
              <w:rPr>
                <w:spacing w:val="13"/>
                <w:sz w:val="20"/>
                <w:szCs w:val="20"/>
              </w:rPr>
              <w:t xml:space="preserve"> </w:t>
            </w:r>
            <w:r>
              <w:rPr>
                <w:spacing w:val="12"/>
                <w:sz w:val="20"/>
                <w:szCs w:val="20"/>
              </w:rPr>
              <w:t>交给具有相应资质的废液回收处理</w:t>
            </w:r>
            <w:r>
              <w:rPr>
                <w:spacing w:val="13"/>
                <w:sz w:val="20"/>
                <w:szCs w:val="20"/>
              </w:rPr>
              <w:t xml:space="preserve"> </w:t>
            </w:r>
            <w:r>
              <w:rPr>
                <w:spacing w:val="6"/>
                <w:sz w:val="20"/>
                <w:szCs w:val="20"/>
              </w:rPr>
              <w:t>企业处置。</w:t>
            </w:r>
          </w:p>
          <w:p w14:paraId="513CEFD0">
            <w:pPr>
              <w:pStyle w:val="6"/>
              <w:spacing w:before="35" w:line="264" w:lineRule="auto"/>
              <w:ind w:left="112" w:right="109" w:firstLine="482"/>
              <w:rPr>
                <w:sz w:val="20"/>
                <w:szCs w:val="20"/>
              </w:rPr>
            </w:pPr>
            <w:r>
              <w:rPr>
                <w:rFonts w:ascii="Calibri" w:hAnsi="Calibri" w:eastAsia="Calibri" w:cs="Calibri"/>
                <w:spacing w:val="14"/>
              </w:rPr>
              <w:t>8.2</w:t>
            </w:r>
            <w:r>
              <w:rPr>
                <w:spacing w:val="14"/>
                <w:sz w:val="20"/>
                <w:szCs w:val="20"/>
              </w:rPr>
              <w:t>拆解后的可再利用零部件</w:t>
            </w:r>
            <w:r>
              <w:rPr>
                <w:spacing w:val="11"/>
                <w:sz w:val="20"/>
                <w:szCs w:val="20"/>
              </w:rPr>
              <w:t xml:space="preserve"> </w:t>
            </w:r>
            <w:r>
              <w:rPr>
                <w:spacing w:val="12"/>
                <w:sz w:val="20"/>
                <w:szCs w:val="20"/>
              </w:rPr>
              <w:t>存储前，应做清洗和防锈等处理后</w:t>
            </w:r>
            <w:r>
              <w:rPr>
                <w:spacing w:val="13"/>
                <w:sz w:val="20"/>
                <w:szCs w:val="20"/>
              </w:rPr>
              <w:t xml:space="preserve"> </w:t>
            </w:r>
            <w:r>
              <w:rPr>
                <w:spacing w:val="8"/>
                <w:sz w:val="20"/>
                <w:szCs w:val="20"/>
              </w:rPr>
              <w:t>在室内存储，并标明</w:t>
            </w:r>
            <w:r>
              <w:rPr>
                <w:rFonts w:ascii="Times New Roman" w:hAnsi="Times New Roman" w:eastAsia="Times New Roman" w:cs="Times New Roman"/>
                <w:spacing w:val="8"/>
                <w:sz w:val="20"/>
                <w:szCs w:val="20"/>
              </w:rPr>
              <w:t>“</w:t>
            </w:r>
            <w:r>
              <w:rPr>
                <w:spacing w:val="8"/>
                <w:sz w:val="20"/>
                <w:szCs w:val="20"/>
              </w:rPr>
              <w:t>回用件</w:t>
            </w:r>
            <w:r>
              <w:rPr>
                <w:rFonts w:ascii="Times New Roman" w:hAnsi="Times New Roman" w:eastAsia="Times New Roman" w:cs="Times New Roman"/>
                <w:spacing w:val="8"/>
                <w:sz w:val="20"/>
                <w:szCs w:val="20"/>
              </w:rPr>
              <w:t>”</w:t>
            </w:r>
            <w:r>
              <w:rPr>
                <w:spacing w:val="8"/>
                <w:sz w:val="20"/>
                <w:szCs w:val="20"/>
              </w:rPr>
              <w:t>。</w:t>
            </w:r>
          </w:p>
          <w:p w14:paraId="4E8072E1">
            <w:pPr>
              <w:pStyle w:val="6"/>
              <w:spacing w:before="42" w:line="270" w:lineRule="auto"/>
              <w:ind w:left="113" w:right="107" w:firstLine="481"/>
              <w:rPr>
                <w:sz w:val="20"/>
                <w:szCs w:val="20"/>
              </w:rPr>
            </w:pPr>
            <w:r>
              <w:rPr>
                <w:rFonts w:ascii="Calibri" w:hAnsi="Calibri" w:eastAsia="Calibri" w:cs="Calibri"/>
              </w:rPr>
              <w:t>8.3</w:t>
            </w:r>
            <w:r>
              <w:rPr>
                <w:sz w:val="20"/>
                <w:szCs w:val="20"/>
              </w:rPr>
              <w:t>拆解后的所有的零部件、材</w:t>
            </w:r>
            <w:r>
              <w:rPr>
                <w:spacing w:val="7"/>
                <w:sz w:val="20"/>
                <w:szCs w:val="20"/>
              </w:rPr>
              <w:t xml:space="preserve"> </w:t>
            </w:r>
            <w:r>
              <w:rPr>
                <w:spacing w:val="8"/>
                <w:sz w:val="20"/>
                <w:szCs w:val="20"/>
              </w:rPr>
              <w:t>料、废物，应按照</w:t>
            </w:r>
            <w:r>
              <w:rPr>
                <w:rFonts w:ascii="Times New Roman" w:hAnsi="Times New Roman" w:eastAsia="Times New Roman" w:cs="Times New Roman"/>
                <w:sz w:val="20"/>
                <w:szCs w:val="20"/>
              </w:rPr>
              <w:t>GB</w:t>
            </w:r>
            <w:r>
              <w:rPr>
                <w:rFonts w:ascii="Times New Roman" w:hAnsi="Times New Roman" w:eastAsia="Times New Roman" w:cs="Times New Roman"/>
                <w:spacing w:val="39"/>
                <w:sz w:val="20"/>
                <w:szCs w:val="20"/>
              </w:rPr>
              <w:t xml:space="preserve"> </w:t>
            </w:r>
            <w:r>
              <w:rPr>
                <w:rFonts w:ascii="Times New Roman" w:hAnsi="Times New Roman" w:eastAsia="Times New Roman" w:cs="Times New Roman"/>
                <w:spacing w:val="8"/>
                <w:sz w:val="20"/>
                <w:szCs w:val="20"/>
              </w:rPr>
              <w:t>18484</w:t>
            </w:r>
            <w:r>
              <w:rPr>
                <w:spacing w:val="8"/>
                <w:sz w:val="20"/>
                <w:szCs w:val="20"/>
              </w:rPr>
              <w:t>的规定</w:t>
            </w:r>
            <w:r>
              <w:rPr>
                <w:sz w:val="20"/>
                <w:szCs w:val="20"/>
              </w:rPr>
              <w:t xml:space="preserve"> </w:t>
            </w:r>
            <w:r>
              <w:rPr>
                <w:spacing w:val="13"/>
                <w:sz w:val="20"/>
                <w:szCs w:val="20"/>
              </w:rPr>
              <w:t>分类存储和标识，废物不得焚烧、</w:t>
            </w:r>
            <w:r>
              <w:rPr>
                <w:sz w:val="20"/>
                <w:szCs w:val="20"/>
              </w:rPr>
              <w:t xml:space="preserve"> </w:t>
            </w:r>
            <w:r>
              <w:rPr>
                <w:spacing w:val="3"/>
                <w:sz w:val="20"/>
                <w:szCs w:val="20"/>
              </w:rPr>
              <w:t>丢弃。</w:t>
            </w:r>
          </w:p>
          <w:p w14:paraId="32A985A7">
            <w:pPr>
              <w:pStyle w:val="6"/>
              <w:spacing w:before="40" w:line="264" w:lineRule="auto"/>
              <w:ind w:left="130" w:right="108" w:firstLine="464"/>
              <w:rPr>
                <w:sz w:val="20"/>
                <w:szCs w:val="20"/>
              </w:rPr>
            </w:pPr>
            <w:r>
              <w:rPr>
                <w:rFonts w:ascii="Calibri" w:hAnsi="Calibri" w:eastAsia="Calibri" w:cs="Calibri"/>
                <w:spacing w:val="14"/>
              </w:rPr>
              <w:t>8.4</w:t>
            </w:r>
            <w:r>
              <w:rPr>
                <w:spacing w:val="14"/>
                <w:sz w:val="20"/>
                <w:szCs w:val="20"/>
              </w:rPr>
              <w:t>对列入国家危险废物名录</w:t>
            </w:r>
            <w:r>
              <w:rPr>
                <w:spacing w:val="11"/>
                <w:sz w:val="20"/>
                <w:szCs w:val="20"/>
              </w:rPr>
              <w:t xml:space="preserve"> </w:t>
            </w:r>
            <w:r>
              <w:rPr>
                <w:spacing w:val="13"/>
                <w:sz w:val="20"/>
                <w:szCs w:val="20"/>
              </w:rPr>
              <w:t>的危险废物应按照</w:t>
            </w:r>
            <w:r>
              <w:rPr>
                <w:rFonts w:ascii="Times New Roman" w:hAnsi="Times New Roman" w:eastAsia="Times New Roman" w:cs="Times New Roman"/>
                <w:sz w:val="20"/>
                <w:szCs w:val="20"/>
              </w:rPr>
              <w:t>GB</w:t>
            </w:r>
            <w:r>
              <w:rPr>
                <w:rFonts w:ascii="Times New Roman" w:hAnsi="Times New Roman" w:eastAsia="Times New Roman" w:cs="Times New Roman"/>
                <w:spacing w:val="48"/>
                <w:sz w:val="20"/>
                <w:szCs w:val="20"/>
              </w:rPr>
              <w:t xml:space="preserve"> </w:t>
            </w:r>
            <w:r>
              <w:rPr>
                <w:rFonts w:ascii="Times New Roman" w:hAnsi="Times New Roman" w:eastAsia="Times New Roman" w:cs="Times New Roman"/>
                <w:spacing w:val="13"/>
                <w:sz w:val="20"/>
                <w:szCs w:val="20"/>
              </w:rPr>
              <w:t>18599-2020</w:t>
            </w:r>
            <w:r>
              <w:rPr>
                <w:rFonts w:ascii="Times New Roman" w:hAnsi="Times New Roman" w:eastAsia="Times New Roman" w:cs="Times New Roman"/>
                <w:sz w:val="20"/>
                <w:szCs w:val="20"/>
              </w:rPr>
              <w:t xml:space="preserve"> </w:t>
            </w:r>
            <w:r>
              <w:rPr>
                <w:spacing w:val="7"/>
                <w:sz w:val="20"/>
                <w:szCs w:val="20"/>
              </w:rPr>
              <w:t>的规定进行储存和污染控制管理。</w:t>
            </w:r>
          </w:p>
          <w:p w14:paraId="2B6D97FD">
            <w:pPr>
              <w:pStyle w:val="6"/>
              <w:spacing w:before="43" w:line="270" w:lineRule="auto"/>
              <w:ind w:left="113" w:right="109" w:firstLine="481"/>
              <w:rPr>
                <w:sz w:val="20"/>
                <w:szCs w:val="20"/>
              </w:rPr>
            </w:pPr>
            <w:r>
              <w:rPr>
                <w:rFonts w:ascii="Calibri" w:hAnsi="Calibri" w:eastAsia="Calibri" w:cs="Calibri"/>
                <w:spacing w:val="14"/>
              </w:rPr>
              <w:t>8.5</w:t>
            </w:r>
            <w:r>
              <w:rPr>
                <w:spacing w:val="14"/>
                <w:sz w:val="20"/>
                <w:szCs w:val="20"/>
              </w:rPr>
              <w:t>拆解后有毒有害的危险废</w:t>
            </w:r>
            <w:r>
              <w:rPr>
                <w:spacing w:val="11"/>
                <w:sz w:val="20"/>
                <w:szCs w:val="20"/>
              </w:rPr>
              <w:t xml:space="preserve"> </w:t>
            </w:r>
            <w:r>
              <w:rPr>
                <w:spacing w:val="-2"/>
                <w:sz w:val="20"/>
                <w:szCs w:val="20"/>
              </w:rPr>
              <w:t>物 的 存 储 和</w:t>
            </w:r>
            <w:r>
              <w:rPr>
                <w:spacing w:val="-4"/>
                <w:sz w:val="20"/>
                <w:szCs w:val="20"/>
              </w:rPr>
              <w:t xml:space="preserve"> </w:t>
            </w:r>
            <w:r>
              <w:rPr>
                <w:spacing w:val="-2"/>
                <w:sz w:val="20"/>
                <w:szCs w:val="20"/>
              </w:rPr>
              <w:t>处</w:t>
            </w:r>
            <w:r>
              <w:rPr>
                <w:spacing w:val="-12"/>
                <w:sz w:val="20"/>
                <w:szCs w:val="20"/>
              </w:rPr>
              <w:t xml:space="preserve"> </w:t>
            </w:r>
            <w:r>
              <w:rPr>
                <w:spacing w:val="-2"/>
                <w:sz w:val="20"/>
                <w:szCs w:val="20"/>
              </w:rPr>
              <w:t>置</w:t>
            </w:r>
            <w:r>
              <w:rPr>
                <w:spacing w:val="-11"/>
                <w:sz w:val="20"/>
                <w:szCs w:val="20"/>
              </w:rPr>
              <w:t xml:space="preserve"> </w:t>
            </w:r>
            <w:r>
              <w:rPr>
                <w:spacing w:val="-2"/>
                <w:sz w:val="20"/>
                <w:szCs w:val="20"/>
              </w:rPr>
              <w:t>应</w:t>
            </w:r>
            <w:r>
              <w:rPr>
                <w:spacing w:val="-6"/>
                <w:sz w:val="20"/>
                <w:szCs w:val="20"/>
              </w:rPr>
              <w:t xml:space="preserve"> </w:t>
            </w:r>
            <w:r>
              <w:rPr>
                <w:spacing w:val="-2"/>
                <w:sz w:val="20"/>
                <w:szCs w:val="20"/>
              </w:rPr>
              <w:t>符</w:t>
            </w:r>
            <w:r>
              <w:rPr>
                <w:spacing w:val="-10"/>
                <w:sz w:val="20"/>
                <w:szCs w:val="20"/>
              </w:rPr>
              <w:t xml:space="preserve"> </w:t>
            </w:r>
            <w:r>
              <w:rPr>
                <w:spacing w:val="-2"/>
                <w:sz w:val="20"/>
                <w:szCs w:val="20"/>
              </w:rPr>
              <w:t>合</w:t>
            </w:r>
            <w:r>
              <w:rPr>
                <w:spacing w:val="-11"/>
                <w:sz w:val="20"/>
                <w:szCs w:val="20"/>
              </w:rPr>
              <w:t xml:space="preserve"> </w:t>
            </w:r>
            <w:r>
              <w:rPr>
                <w:rFonts w:ascii="Times New Roman" w:hAnsi="Times New Roman" w:eastAsia="Times New Roman" w:cs="Times New Roman"/>
                <w:spacing w:val="-2"/>
                <w:sz w:val="20"/>
                <w:szCs w:val="20"/>
              </w:rPr>
              <w:t>GB</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11"/>
                <w:sz w:val="20"/>
                <w:szCs w:val="20"/>
              </w:rPr>
              <w:t>18597-2023</w:t>
            </w:r>
            <w:r>
              <w:rPr>
                <w:spacing w:val="11"/>
                <w:sz w:val="20"/>
                <w:szCs w:val="20"/>
              </w:rPr>
              <w:t>的规定，危险废物应交</w:t>
            </w:r>
            <w:r>
              <w:rPr>
                <w:spacing w:val="6"/>
                <w:sz w:val="20"/>
                <w:szCs w:val="20"/>
              </w:rPr>
              <w:t xml:space="preserve"> </w:t>
            </w:r>
            <w:r>
              <w:rPr>
                <w:spacing w:val="8"/>
                <w:sz w:val="20"/>
                <w:szCs w:val="20"/>
              </w:rPr>
              <w:t>由具有相应资质的企业进行处置。</w:t>
            </w:r>
          </w:p>
          <w:p w14:paraId="71F2D5F2">
            <w:pPr>
              <w:pStyle w:val="6"/>
              <w:spacing w:before="41" w:line="276" w:lineRule="auto"/>
              <w:ind w:left="112" w:right="109" w:firstLine="482"/>
              <w:rPr>
                <w:sz w:val="20"/>
                <w:szCs w:val="20"/>
              </w:rPr>
            </w:pPr>
            <w:r>
              <w:rPr>
                <w:rFonts w:ascii="Calibri" w:hAnsi="Calibri" w:eastAsia="Calibri" w:cs="Calibri"/>
              </w:rPr>
              <w:t>8.6</w:t>
            </w:r>
            <w:r>
              <w:rPr>
                <w:sz w:val="20"/>
                <w:szCs w:val="20"/>
              </w:rPr>
              <w:t>动力蓄电池、电子元器件拆</w:t>
            </w:r>
            <w:r>
              <w:rPr>
                <w:spacing w:val="7"/>
                <w:sz w:val="20"/>
                <w:szCs w:val="20"/>
              </w:rPr>
              <w:t xml:space="preserve"> </w:t>
            </w:r>
            <w:r>
              <w:rPr>
                <w:spacing w:val="12"/>
                <w:sz w:val="20"/>
                <w:szCs w:val="20"/>
              </w:rPr>
              <w:t>解后应单独存放，对锂电池进行整</w:t>
            </w:r>
            <w:r>
              <w:rPr>
                <w:spacing w:val="13"/>
                <w:sz w:val="20"/>
                <w:szCs w:val="20"/>
              </w:rPr>
              <w:t xml:space="preserve"> </w:t>
            </w:r>
            <w:r>
              <w:rPr>
                <w:spacing w:val="12"/>
                <w:sz w:val="20"/>
                <w:szCs w:val="20"/>
              </w:rPr>
              <w:t>体拆解存放，做好防止自燃措施，</w:t>
            </w:r>
            <w:r>
              <w:rPr>
                <w:spacing w:val="13"/>
                <w:sz w:val="20"/>
                <w:szCs w:val="20"/>
              </w:rPr>
              <w:t xml:space="preserve"> </w:t>
            </w:r>
            <w:r>
              <w:rPr>
                <w:spacing w:val="12"/>
                <w:sz w:val="20"/>
                <w:szCs w:val="20"/>
              </w:rPr>
              <w:t>并交由有资质的处置企业进行回收</w:t>
            </w:r>
            <w:r>
              <w:rPr>
                <w:spacing w:val="13"/>
                <w:sz w:val="20"/>
                <w:szCs w:val="20"/>
              </w:rPr>
              <w:t xml:space="preserve"> </w:t>
            </w:r>
            <w:r>
              <w:rPr>
                <w:spacing w:val="10"/>
                <w:sz w:val="20"/>
                <w:szCs w:val="20"/>
              </w:rPr>
              <w:t>处理。</w:t>
            </w:r>
            <w:r>
              <w:rPr>
                <w:spacing w:val="-57"/>
                <w:sz w:val="20"/>
                <w:szCs w:val="20"/>
              </w:rPr>
              <w:t xml:space="preserve"> </w:t>
            </w:r>
            <w:r>
              <w:rPr>
                <w:spacing w:val="10"/>
                <w:sz w:val="20"/>
                <w:szCs w:val="20"/>
              </w:rPr>
              <w:t>电子元器件应交由有废电器</w:t>
            </w:r>
            <w:r>
              <w:rPr>
                <w:sz w:val="20"/>
                <w:szCs w:val="20"/>
              </w:rPr>
              <w:t xml:space="preserve"> </w:t>
            </w:r>
            <w:r>
              <w:rPr>
                <w:spacing w:val="8"/>
                <w:sz w:val="20"/>
                <w:szCs w:val="20"/>
              </w:rPr>
              <w:t>资质企业拆解，不可自行拆解。</w:t>
            </w:r>
          </w:p>
        </w:tc>
        <w:tc>
          <w:tcPr>
            <w:tcW w:w="2318" w:type="dxa"/>
            <w:tcBorders>
              <w:bottom w:val="single" w:color="000000" w:sz="10" w:space="0"/>
            </w:tcBorders>
            <w:vAlign w:val="top"/>
          </w:tcPr>
          <w:p w14:paraId="57EA0441">
            <w:pPr>
              <w:pStyle w:val="6"/>
              <w:spacing w:before="89" w:line="289" w:lineRule="auto"/>
              <w:ind w:left="117" w:right="26" w:firstLine="420"/>
              <w:rPr>
                <w:sz w:val="20"/>
                <w:szCs w:val="20"/>
              </w:rPr>
            </w:pPr>
            <w:r>
              <w:rPr>
                <w:spacing w:val="9"/>
                <w:sz w:val="20"/>
                <w:szCs w:val="20"/>
              </w:rPr>
              <w:t>本项目废液使用专</w:t>
            </w:r>
            <w:r>
              <w:rPr>
                <w:spacing w:val="5"/>
                <w:sz w:val="20"/>
                <w:szCs w:val="20"/>
              </w:rPr>
              <w:t xml:space="preserve"> </w:t>
            </w:r>
            <w:r>
              <w:rPr>
                <w:spacing w:val="-3"/>
                <w:sz w:val="20"/>
                <w:szCs w:val="20"/>
              </w:rPr>
              <w:t>用密闭容器存储，防漏、</w:t>
            </w:r>
            <w:r>
              <w:rPr>
                <w:spacing w:val="1"/>
                <w:sz w:val="20"/>
                <w:szCs w:val="20"/>
              </w:rPr>
              <w:t xml:space="preserve"> </w:t>
            </w:r>
            <w:r>
              <w:rPr>
                <w:spacing w:val="9"/>
                <w:sz w:val="20"/>
                <w:szCs w:val="20"/>
              </w:rPr>
              <w:t>防洒溅、防挥发，并交</w:t>
            </w:r>
            <w:r>
              <w:rPr>
                <w:spacing w:val="7"/>
                <w:sz w:val="20"/>
                <w:szCs w:val="20"/>
              </w:rPr>
              <w:t xml:space="preserve"> </w:t>
            </w:r>
            <w:r>
              <w:rPr>
                <w:spacing w:val="9"/>
                <w:sz w:val="20"/>
                <w:szCs w:val="20"/>
              </w:rPr>
              <w:t>给具有相应资质的废液</w:t>
            </w:r>
            <w:r>
              <w:rPr>
                <w:spacing w:val="7"/>
                <w:sz w:val="20"/>
                <w:szCs w:val="20"/>
              </w:rPr>
              <w:t xml:space="preserve"> 回收处理企业处置。</w:t>
            </w:r>
          </w:p>
          <w:p w14:paraId="449C0AD5">
            <w:pPr>
              <w:pStyle w:val="6"/>
              <w:spacing w:before="31" w:line="293" w:lineRule="auto"/>
              <w:ind w:left="115" w:right="26" w:firstLine="420"/>
              <w:rPr>
                <w:sz w:val="20"/>
                <w:szCs w:val="20"/>
              </w:rPr>
            </w:pPr>
            <w:r>
              <w:rPr>
                <w:spacing w:val="9"/>
                <w:sz w:val="20"/>
                <w:szCs w:val="20"/>
              </w:rPr>
              <w:t>拆解后的可再利用</w:t>
            </w:r>
            <w:r>
              <w:rPr>
                <w:spacing w:val="6"/>
                <w:sz w:val="20"/>
                <w:szCs w:val="20"/>
              </w:rPr>
              <w:t xml:space="preserve"> </w:t>
            </w:r>
            <w:r>
              <w:rPr>
                <w:spacing w:val="10"/>
                <w:sz w:val="20"/>
                <w:szCs w:val="20"/>
              </w:rPr>
              <w:t>零部件存放在封闭场地</w:t>
            </w:r>
            <w:r>
              <w:rPr>
                <w:sz w:val="20"/>
                <w:szCs w:val="20"/>
              </w:rPr>
              <w:t xml:space="preserve"> </w:t>
            </w:r>
            <w:r>
              <w:rPr>
                <w:spacing w:val="11"/>
                <w:sz w:val="20"/>
                <w:szCs w:val="20"/>
              </w:rPr>
              <w:t>内，玻璃、废旧轮胎、</w:t>
            </w:r>
            <w:r>
              <w:rPr>
                <w:spacing w:val="2"/>
                <w:sz w:val="20"/>
                <w:szCs w:val="20"/>
              </w:rPr>
              <w:t xml:space="preserve"> </w:t>
            </w:r>
            <w:r>
              <w:rPr>
                <w:spacing w:val="9"/>
                <w:sz w:val="20"/>
                <w:szCs w:val="20"/>
              </w:rPr>
              <w:t>塑料、密封胶条、金属</w:t>
            </w:r>
            <w:r>
              <w:rPr>
                <w:spacing w:val="8"/>
                <w:sz w:val="20"/>
                <w:szCs w:val="20"/>
              </w:rPr>
              <w:t xml:space="preserve"> </w:t>
            </w:r>
            <w:r>
              <w:rPr>
                <w:spacing w:val="9"/>
                <w:sz w:val="20"/>
                <w:szCs w:val="20"/>
              </w:rPr>
              <w:t>类等收集在拆解后物料</w:t>
            </w:r>
            <w:r>
              <w:rPr>
                <w:spacing w:val="8"/>
                <w:sz w:val="20"/>
                <w:szCs w:val="20"/>
              </w:rPr>
              <w:t xml:space="preserve"> </w:t>
            </w:r>
            <w:r>
              <w:rPr>
                <w:spacing w:val="9"/>
                <w:sz w:val="20"/>
                <w:szCs w:val="20"/>
              </w:rPr>
              <w:t>存储区，定期外售废旧</w:t>
            </w:r>
            <w:r>
              <w:rPr>
                <w:spacing w:val="8"/>
                <w:sz w:val="20"/>
                <w:szCs w:val="20"/>
              </w:rPr>
              <w:t xml:space="preserve"> </w:t>
            </w:r>
            <w:r>
              <w:rPr>
                <w:spacing w:val="9"/>
                <w:sz w:val="20"/>
                <w:szCs w:val="20"/>
              </w:rPr>
              <w:t>资源回收公司，本项目</w:t>
            </w:r>
            <w:r>
              <w:rPr>
                <w:spacing w:val="8"/>
                <w:sz w:val="20"/>
                <w:szCs w:val="20"/>
              </w:rPr>
              <w:t xml:space="preserve"> </w:t>
            </w:r>
            <w:r>
              <w:rPr>
                <w:spacing w:val="5"/>
                <w:sz w:val="20"/>
                <w:szCs w:val="20"/>
              </w:rPr>
              <w:t>不做进行清洁处理。</w:t>
            </w:r>
            <w:r>
              <w:rPr>
                <w:spacing w:val="-51"/>
                <w:sz w:val="20"/>
                <w:szCs w:val="20"/>
              </w:rPr>
              <w:t xml:space="preserve"> </w:t>
            </w:r>
            <w:r>
              <w:rPr>
                <w:spacing w:val="5"/>
                <w:sz w:val="20"/>
                <w:szCs w:val="20"/>
              </w:rPr>
              <w:t>电</w:t>
            </w:r>
            <w:r>
              <w:rPr>
                <w:sz w:val="20"/>
                <w:szCs w:val="20"/>
              </w:rPr>
              <w:t xml:space="preserve"> </w:t>
            </w:r>
            <w:r>
              <w:rPr>
                <w:spacing w:val="24"/>
                <w:sz w:val="20"/>
                <w:szCs w:val="20"/>
              </w:rPr>
              <w:t>子电器产品</w:t>
            </w:r>
            <w:r>
              <w:rPr>
                <w:rFonts w:ascii="Times New Roman" w:hAnsi="Times New Roman" w:eastAsia="Times New Roman" w:cs="Times New Roman"/>
                <w:spacing w:val="24"/>
                <w:sz w:val="20"/>
                <w:szCs w:val="20"/>
              </w:rPr>
              <w:t>/</w:t>
            </w:r>
            <w:r>
              <w:rPr>
                <w:spacing w:val="24"/>
                <w:sz w:val="20"/>
                <w:szCs w:val="20"/>
              </w:rPr>
              <w:t>元器件收</w:t>
            </w:r>
            <w:r>
              <w:rPr>
                <w:spacing w:val="3"/>
                <w:sz w:val="20"/>
                <w:szCs w:val="20"/>
              </w:rPr>
              <w:t xml:space="preserve"> </w:t>
            </w:r>
            <w:r>
              <w:rPr>
                <w:spacing w:val="33"/>
                <w:sz w:val="20"/>
                <w:szCs w:val="20"/>
              </w:rPr>
              <w:t>集在拆解后物料存储</w:t>
            </w:r>
            <w:r>
              <w:rPr>
                <w:spacing w:val="2"/>
                <w:sz w:val="20"/>
                <w:szCs w:val="20"/>
              </w:rPr>
              <w:t xml:space="preserve"> </w:t>
            </w:r>
            <w:r>
              <w:rPr>
                <w:spacing w:val="9"/>
                <w:sz w:val="20"/>
                <w:szCs w:val="20"/>
              </w:rPr>
              <w:t>区，交由有废电器资质</w:t>
            </w:r>
            <w:r>
              <w:rPr>
                <w:spacing w:val="8"/>
                <w:sz w:val="20"/>
                <w:szCs w:val="20"/>
              </w:rPr>
              <w:t xml:space="preserve"> </w:t>
            </w:r>
            <w:r>
              <w:rPr>
                <w:spacing w:val="-3"/>
                <w:sz w:val="20"/>
                <w:szCs w:val="20"/>
              </w:rPr>
              <w:t>企业拆解，不自行拆解。</w:t>
            </w:r>
          </w:p>
          <w:p w14:paraId="672B2686">
            <w:pPr>
              <w:pStyle w:val="6"/>
              <w:spacing w:before="32" w:line="292" w:lineRule="auto"/>
              <w:ind w:left="115" w:right="95" w:firstLine="420"/>
              <w:rPr>
                <w:sz w:val="20"/>
                <w:szCs w:val="20"/>
              </w:rPr>
            </w:pPr>
            <w:r>
              <w:rPr>
                <w:spacing w:val="9"/>
                <w:sz w:val="20"/>
                <w:szCs w:val="20"/>
              </w:rPr>
              <w:t>拆解后的所有的零</w:t>
            </w:r>
            <w:r>
              <w:rPr>
                <w:spacing w:val="6"/>
                <w:sz w:val="20"/>
                <w:szCs w:val="20"/>
              </w:rPr>
              <w:t xml:space="preserve"> </w:t>
            </w:r>
            <w:r>
              <w:rPr>
                <w:spacing w:val="9"/>
                <w:sz w:val="20"/>
                <w:szCs w:val="20"/>
              </w:rPr>
              <w:t>部件、材料、废物，按</w:t>
            </w:r>
            <w:r>
              <w:rPr>
                <w:spacing w:val="8"/>
                <w:sz w:val="20"/>
                <w:szCs w:val="20"/>
              </w:rPr>
              <w:t xml:space="preserve"> </w:t>
            </w:r>
            <w:r>
              <w:rPr>
                <w:spacing w:val="11"/>
                <w:sz w:val="20"/>
                <w:szCs w:val="20"/>
              </w:rPr>
              <w:t>照</w:t>
            </w:r>
            <w:r>
              <w:rPr>
                <w:rFonts w:ascii="Times New Roman" w:hAnsi="Times New Roman" w:eastAsia="Times New Roman" w:cs="Times New Roman"/>
                <w:sz w:val="20"/>
                <w:szCs w:val="20"/>
              </w:rPr>
              <w:t>GB</w:t>
            </w:r>
            <w:r>
              <w:rPr>
                <w:rFonts w:ascii="Times New Roman" w:hAnsi="Times New Roman" w:eastAsia="Times New Roman" w:cs="Times New Roman"/>
                <w:spacing w:val="11"/>
                <w:sz w:val="20"/>
                <w:szCs w:val="20"/>
              </w:rPr>
              <w:t>18484</w:t>
            </w:r>
            <w:r>
              <w:rPr>
                <w:spacing w:val="11"/>
                <w:sz w:val="20"/>
                <w:szCs w:val="20"/>
              </w:rPr>
              <w:t>的规定分类</w:t>
            </w:r>
            <w:r>
              <w:rPr>
                <w:sz w:val="20"/>
                <w:szCs w:val="20"/>
              </w:rPr>
              <w:t xml:space="preserve"> </w:t>
            </w:r>
            <w:r>
              <w:rPr>
                <w:spacing w:val="10"/>
                <w:sz w:val="20"/>
                <w:szCs w:val="20"/>
              </w:rPr>
              <w:t>存储和标识，玻璃、废</w:t>
            </w:r>
            <w:r>
              <w:rPr>
                <w:spacing w:val="1"/>
                <w:sz w:val="20"/>
                <w:szCs w:val="20"/>
              </w:rPr>
              <w:t xml:space="preserve"> </w:t>
            </w:r>
            <w:r>
              <w:rPr>
                <w:spacing w:val="9"/>
                <w:sz w:val="20"/>
                <w:szCs w:val="20"/>
              </w:rPr>
              <w:t>旧轮胎、塑料、密封胶</w:t>
            </w:r>
            <w:r>
              <w:rPr>
                <w:spacing w:val="8"/>
                <w:sz w:val="20"/>
                <w:szCs w:val="20"/>
              </w:rPr>
              <w:t xml:space="preserve"> </w:t>
            </w:r>
            <w:r>
              <w:rPr>
                <w:spacing w:val="10"/>
                <w:sz w:val="20"/>
                <w:szCs w:val="20"/>
              </w:rPr>
              <w:t>条、金属类等收集在拆</w:t>
            </w:r>
            <w:r>
              <w:rPr>
                <w:sz w:val="20"/>
                <w:szCs w:val="20"/>
              </w:rPr>
              <w:t xml:space="preserve"> </w:t>
            </w:r>
            <w:r>
              <w:rPr>
                <w:spacing w:val="9"/>
                <w:sz w:val="20"/>
                <w:szCs w:val="20"/>
              </w:rPr>
              <w:t>解后物料存储区，定期</w:t>
            </w:r>
            <w:r>
              <w:rPr>
                <w:spacing w:val="8"/>
                <w:sz w:val="20"/>
                <w:szCs w:val="20"/>
              </w:rPr>
              <w:t xml:space="preserve"> </w:t>
            </w:r>
            <w:r>
              <w:rPr>
                <w:spacing w:val="33"/>
                <w:sz w:val="20"/>
                <w:szCs w:val="20"/>
              </w:rPr>
              <w:t>外售废旧资源回收公</w:t>
            </w:r>
            <w:r>
              <w:rPr>
                <w:spacing w:val="2"/>
                <w:sz w:val="20"/>
                <w:szCs w:val="20"/>
              </w:rPr>
              <w:t xml:space="preserve"> </w:t>
            </w:r>
            <w:r>
              <w:rPr>
                <w:spacing w:val="4"/>
                <w:sz w:val="20"/>
                <w:szCs w:val="20"/>
              </w:rPr>
              <w:t>司；电子电器产品</w:t>
            </w:r>
            <w:r>
              <w:rPr>
                <w:rFonts w:ascii="Times New Roman" w:hAnsi="Times New Roman" w:eastAsia="Times New Roman" w:cs="Times New Roman"/>
                <w:spacing w:val="4"/>
                <w:sz w:val="20"/>
                <w:szCs w:val="20"/>
              </w:rPr>
              <w:t>/</w:t>
            </w:r>
            <w:r>
              <w:rPr>
                <w:spacing w:val="4"/>
                <w:sz w:val="20"/>
                <w:szCs w:val="20"/>
              </w:rPr>
              <w:t>元器</w:t>
            </w:r>
          </w:p>
        </w:tc>
        <w:tc>
          <w:tcPr>
            <w:tcW w:w="1145" w:type="dxa"/>
            <w:vMerge w:val="continue"/>
            <w:tcBorders>
              <w:top w:val="nil"/>
              <w:bottom w:val="single" w:color="000000" w:sz="10" w:space="0"/>
              <w:right w:val="single" w:color="000000" w:sz="10" w:space="0"/>
            </w:tcBorders>
            <w:vAlign w:val="top"/>
          </w:tcPr>
          <w:p w14:paraId="4F4C49DD">
            <w:pPr>
              <w:rPr>
                <w:rFonts w:ascii="Arial"/>
                <w:sz w:val="21"/>
              </w:rPr>
            </w:pPr>
          </w:p>
        </w:tc>
      </w:tr>
    </w:tbl>
    <w:p w14:paraId="4A6BF6FA">
      <w:pPr>
        <w:pStyle w:val="2"/>
        <w:spacing w:line="136" w:lineRule="exact"/>
        <w:rPr>
          <w:sz w:val="11"/>
        </w:rPr>
      </w:pPr>
    </w:p>
    <w:p w14:paraId="3D4DD2F1">
      <w:pPr>
        <w:spacing w:line="136" w:lineRule="exact"/>
        <w:rPr>
          <w:sz w:val="11"/>
          <w:szCs w:val="11"/>
        </w:rPr>
        <w:sectPr>
          <w:footerReference r:id="rId24"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547"/>
        <w:gridCol w:w="996"/>
        <w:gridCol w:w="3422"/>
        <w:gridCol w:w="2318"/>
        <w:gridCol w:w="1145"/>
      </w:tblGrid>
      <w:tr w14:paraId="47D6778C">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9592" w:hRule="atLeast"/>
        </w:trPr>
        <w:tc>
          <w:tcPr>
            <w:tcW w:w="494" w:type="dxa"/>
            <w:vMerge w:val="restart"/>
            <w:tcBorders>
              <w:bottom w:val="nil"/>
              <w:right w:val="single" w:color="000000" w:sz="2" w:space="0"/>
            </w:tcBorders>
            <w:vAlign w:val="top"/>
          </w:tcPr>
          <w:p w14:paraId="297E945B">
            <w:pPr>
              <w:rPr>
                <w:rFonts w:ascii="Arial"/>
                <w:sz w:val="21"/>
              </w:rPr>
            </w:pPr>
          </w:p>
        </w:tc>
        <w:tc>
          <w:tcPr>
            <w:tcW w:w="547" w:type="dxa"/>
            <w:tcBorders>
              <w:left w:val="single" w:color="000000" w:sz="2" w:space="0"/>
              <w:right w:val="single" w:color="000000" w:sz="2" w:space="0"/>
            </w:tcBorders>
            <w:vAlign w:val="top"/>
          </w:tcPr>
          <w:p w14:paraId="461E71A1">
            <w:pPr>
              <w:rPr>
                <w:rFonts w:ascii="Arial"/>
                <w:sz w:val="21"/>
              </w:rPr>
            </w:pPr>
          </w:p>
        </w:tc>
        <w:tc>
          <w:tcPr>
            <w:tcW w:w="996" w:type="dxa"/>
            <w:tcBorders>
              <w:left w:val="single" w:color="000000" w:sz="2" w:space="0"/>
              <w:right w:val="single" w:color="000000" w:sz="2" w:space="0"/>
            </w:tcBorders>
            <w:vAlign w:val="top"/>
          </w:tcPr>
          <w:p w14:paraId="1E934A07">
            <w:pPr>
              <w:rPr>
                <w:rFonts w:ascii="Arial"/>
                <w:sz w:val="21"/>
              </w:rPr>
            </w:pPr>
          </w:p>
        </w:tc>
        <w:tc>
          <w:tcPr>
            <w:tcW w:w="3422" w:type="dxa"/>
            <w:tcBorders>
              <w:left w:val="single" w:color="000000" w:sz="2" w:space="0"/>
              <w:right w:val="single" w:color="000000" w:sz="2" w:space="0"/>
            </w:tcBorders>
            <w:vAlign w:val="top"/>
          </w:tcPr>
          <w:p w14:paraId="5059F125">
            <w:pPr>
              <w:rPr>
                <w:rFonts w:ascii="Arial"/>
                <w:sz w:val="21"/>
              </w:rPr>
            </w:pPr>
          </w:p>
        </w:tc>
        <w:tc>
          <w:tcPr>
            <w:tcW w:w="2318" w:type="dxa"/>
            <w:tcBorders>
              <w:left w:val="single" w:color="000000" w:sz="2" w:space="0"/>
              <w:right w:val="single" w:color="000000" w:sz="2" w:space="0"/>
            </w:tcBorders>
            <w:vAlign w:val="top"/>
          </w:tcPr>
          <w:p w14:paraId="1E56B9BB">
            <w:pPr>
              <w:pStyle w:val="6"/>
              <w:spacing w:before="63" w:line="294" w:lineRule="auto"/>
              <w:ind w:left="115" w:right="26"/>
              <w:rPr>
                <w:sz w:val="20"/>
                <w:szCs w:val="20"/>
              </w:rPr>
            </w:pPr>
            <w:r>
              <w:rPr>
                <w:spacing w:val="9"/>
                <w:sz w:val="20"/>
                <w:szCs w:val="20"/>
              </w:rPr>
              <w:t>件收集在拆解后物料存</w:t>
            </w:r>
            <w:r>
              <w:rPr>
                <w:spacing w:val="8"/>
                <w:sz w:val="20"/>
                <w:szCs w:val="20"/>
              </w:rPr>
              <w:t xml:space="preserve"> </w:t>
            </w:r>
            <w:r>
              <w:rPr>
                <w:spacing w:val="10"/>
                <w:sz w:val="20"/>
                <w:szCs w:val="20"/>
              </w:rPr>
              <w:t>储区，交由有废电器资</w:t>
            </w:r>
            <w:r>
              <w:rPr>
                <w:sz w:val="20"/>
                <w:szCs w:val="20"/>
              </w:rPr>
              <w:t xml:space="preserve"> </w:t>
            </w:r>
            <w:r>
              <w:rPr>
                <w:spacing w:val="10"/>
                <w:sz w:val="20"/>
                <w:szCs w:val="20"/>
              </w:rPr>
              <w:t>质企业拆解，不自行拆</w:t>
            </w:r>
            <w:r>
              <w:rPr>
                <w:spacing w:val="1"/>
                <w:sz w:val="20"/>
                <w:szCs w:val="20"/>
              </w:rPr>
              <w:t xml:space="preserve"> </w:t>
            </w:r>
            <w:r>
              <w:rPr>
                <w:spacing w:val="10"/>
                <w:sz w:val="20"/>
                <w:szCs w:val="20"/>
              </w:rPr>
              <w:t>解；废油类、制冷剂采</w:t>
            </w:r>
            <w:r>
              <w:rPr>
                <w:sz w:val="20"/>
                <w:szCs w:val="20"/>
              </w:rPr>
              <w:t xml:space="preserve"> </w:t>
            </w:r>
            <w:r>
              <w:rPr>
                <w:spacing w:val="9"/>
                <w:sz w:val="20"/>
                <w:szCs w:val="20"/>
              </w:rPr>
              <w:t>用废液的专用密闭容器</w:t>
            </w:r>
            <w:r>
              <w:rPr>
                <w:spacing w:val="8"/>
                <w:sz w:val="20"/>
                <w:szCs w:val="20"/>
              </w:rPr>
              <w:t xml:space="preserve"> </w:t>
            </w:r>
            <w:r>
              <w:rPr>
                <w:spacing w:val="9"/>
                <w:sz w:val="20"/>
                <w:szCs w:val="20"/>
              </w:rPr>
              <w:t>分类暂存于</w:t>
            </w:r>
            <w:r>
              <w:rPr>
                <w:rFonts w:ascii="Times New Roman" w:hAnsi="Times New Roman" w:eastAsia="Times New Roman" w:cs="Times New Roman"/>
                <w:spacing w:val="9"/>
                <w:sz w:val="20"/>
                <w:szCs w:val="20"/>
              </w:rPr>
              <w:t>3#</w:t>
            </w:r>
            <w:r>
              <w:rPr>
                <w:spacing w:val="9"/>
                <w:sz w:val="20"/>
                <w:szCs w:val="20"/>
              </w:rPr>
              <w:t>废矿物油</w:t>
            </w:r>
            <w:r>
              <w:rPr>
                <w:sz w:val="20"/>
                <w:szCs w:val="20"/>
              </w:rPr>
              <w:t xml:space="preserve"> </w:t>
            </w:r>
            <w:r>
              <w:rPr>
                <w:spacing w:val="9"/>
                <w:sz w:val="20"/>
                <w:szCs w:val="20"/>
              </w:rPr>
              <w:t>暂存区，由有资质单位</w:t>
            </w:r>
            <w:r>
              <w:rPr>
                <w:spacing w:val="8"/>
                <w:sz w:val="20"/>
                <w:szCs w:val="20"/>
              </w:rPr>
              <w:t xml:space="preserve"> </w:t>
            </w:r>
            <w:r>
              <w:rPr>
                <w:spacing w:val="9"/>
                <w:sz w:val="20"/>
                <w:szCs w:val="20"/>
              </w:rPr>
              <w:t>处理；废电池暂存于</w:t>
            </w:r>
            <w:r>
              <w:rPr>
                <w:rFonts w:ascii="Times New Roman" w:hAnsi="Times New Roman" w:eastAsia="Times New Roman" w:cs="Times New Roman"/>
                <w:spacing w:val="9"/>
                <w:sz w:val="20"/>
                <w:szCs w:val="20"/>
              </w:rPr>
              <w:t>2#</w:t>
            </w:r>
            <w:r>
              <w:rPr>
                <w:rFonts w:ascii="Times New Roman" w:hAnsi="Times New Roman" w:eastAsia="Times New Roman" w:cs="Times New Roman"/>
                <w:sz w:val="20"/>
                <w:szCs w:val="20"/>
              </w:rPr>
              <w:t xml:space="preserve">  </w:t>
            </w:r>
            <w:r>
              <w:rPr>
                <w:spacing w:val="5"/>
                <w:sz w:val="20"/>
                <w:szCs w:val="20"/>
              </w:rPr>
              <w:t>废蓄电池暂存区，</w:t>
            </w:r>
            <w:r>
              <w:rPr>
                <w:spacing w:val="-51"/>
                <w:sz w:val="20"/>
                <w:szCs w:val="20"/>
              </w:rPr>
              <w:t xml:space="preserve"> </w:t>
            </w:r>
            <w:r>
              <w:rPr>
                <w:spacing w:val="5"/>
                <w:sz w:val="20"/>
                <w:szCs w:val="20"/>
              </w:rPr>
              <w:t>由有</w:t>
            </w:r>
            <w:r>
              <w:rPr>
                <w:sz w:val="20"/>
                <w:szCs w:val="20"/>
              </w:rPr>
              <w:t xml:space="preserve"> </w:t>
            </w:r>
            <w:r>
              <w:rPr>
                <w:spacing w:val="-3"/>
                <w:sz w:val="20"/>
                <w:szCs w:val="20"/>
              </w:rPr>
              <w:t>资质单位处理；燃料罐、</w:t>
            </w:r>
            <w:r>
              <w:rPr>
                <w:spacing w:val="2"/>
                <w:sz w:val="20"/>
                <w:szCs w:val="20"/>
              </w:rPr>
              <w:t xml:space="preserve"> </w:t>
            </w:r>
            <w:r>
              <w:rPr>
                <w:spacing w:val="10"/>
                <w:sz w:val="20"/>
                <w:szCs w:val="20"/>
              </w:rPr>
              <w:t>液压油管、催化器、废</w:t>
            </w:r>
            <w:r>
              <w:rPr>
                <w:sz w:val="20"/>
                <w:szCs w:val="20"/>
              </w:rPr>
              <w:t xml:space="preserve"> </w:t>
            </w:r>
            <w:r>
              <w:rPr>
                <w:spacing w:val="10"/>
                <w:sz w:val="20"/>
                <w:szCs w:val="20"/>
              </w:rPr>
              <w:t>活性炭、含油抹布、拖</w:t>
            </w:r>
            <w:r>
              <w:rPr>
                <w:sz w:val="20"/>
                <w:szCs w:val="20"/>
              </w:rPr>
              <w:t xml:space="preserve"> </w:t>
            </w:r>
            <w:r>
              <w:rPr>
                <w:spacing w:val="9"/>
                <w:sz w:val="20"/>
                <w:szCs w:val="20"/>
              </w:rPr>
              <w:t>布和手套分类暂存于</w:t>
            </w:r>
            <w:r>
              <w:rPr>
                <w:rFonts w:ascii="Times New Roman" w:hAnsi="Times New Roman" w:eastAsia="Times New Roman" w:cs="Times New Roman"/>
                <w:spacing w:val="9"/>
                <w:sz w:val="20"/>
                <w:szCs w:val="20"/>
              </w:rPr>
              <w:t>1#</w:t>
            </w:r>
            <w:r>
              <w:rPr>
                <w:rFonts w:ascii="Times New Roman" w:hAnsi="Times New Roman" w:eastAsia="Times New Roman" w:cs="Times New Roman"/>
                <w:sz w:val="20"/>
                <w:szCs w:val="20"/>
              </w:rPr>
              <w:t xml:space="preserve">  </w:t>
            </w:r>
            <w:r>
              <w:rPr>
                <w:spacing w:val="11"/>
                <w:sz w:val="20"/>
                <w:szCs w:val="20"/>
              </w:rPr>
              <w:t>其他危险废物暂存区，</w:t>
            </w:r>
            <w:r>
              <w:rPr>
                <w:spacing w:val="5"/>
                <w:sz w:val="20"/>
                <w:szCs w:val="20"/>
              </w:rPr>
              <w:t xml:space="preserve"> </w:t>
            </w:r>
            <w:r>
              <w:rPr>
                <w:spacing w:val="10"/>
                <w:sz w:val="20"/>
                <w:szCs w:val="20"/>
              </w:rPr>
              <w:t>由有资质单位处理。废</w:t>
            </w:r>
            <w:r>
              <w:rPr>
                <w:sz w:val="20"/>
                <w:szCs w:val="20"/>
              </w:rPr>
              <w:t xml:space="preserve"> </w:t>
            </w:r>
            <w:r>
              <w:rPr>
                <w:spacing w:val="7"/>
                <w:sz w:val="20"/>
                <w:szCs w:val="20"/>
              </w:rPr>
              <w:t>物不得焚烧、丢弃。</w:t>
            </w:r>
          </w:p>
          <w:p w14:paraId="6E36D9AF">
            <w:pPr>
              <w:pStyle w:val="6"/>
              <w:spacing w:before="32" w:line="293" w:lineRule="auto"/>
              <w:ind w:left="115" w:right="26" w:firstLine="420"/>
              <w:rPr>
                <w:sz w:val="20"/>
                <w:szCs w:val="20"/>
              </w:rPr>
            </w:pPr>
            <w:r>
              <w:rPr>
                <w:spacing w:val="10"/>
                <w:sz w:val="20"/>
                <w:szCs w:val="20"/>
              </w:rPr>
              <w:t>废油类、制冷剂采</w:t>
            </w:r>
            <w:r>
              <w:rPr>
                <w:sz w:val="20"/>
                <w:szCs w:val="20"/>
              </w:rPr>
              <w:t xml:space="preserve"> </w:t>
            </w:r>
            <w:r>
              <w:rPr>
                <w:spacing w:val="9"/>
                <w:sz w:val="20"/>
                <w:szCs w:val="20"/>
              </w:rPr>
              <w:t>用废液的专用密闭容器</w:t>
            </w:r>
            <w:r>
              <w:rPr>
                <w:spacing w:val="8"/>
                <w:sz w:val="20"/>
                <w:szCs w:val="20"/>
              </w:rPr>
              <w:t xml:space="preserve"> </w:t>
            </w:r>
            <w:r>
              <w:rPr>
                <w:spacing w:val="9"/>
                <w:sz w:val="20"/>
                <w:szCs w:val="20"/>
              </w:rPr>
              <w:t>分类暂存于</w:t>
            </w:r>
            <w:r>
              <w:rPr>
                <w:rFonts w:ascii="Times New Roman" w:hAnsi="Times New Roman" w:eastAsia="Times New Roman" w:cs="Times New Roman"/>
                <w:spacing w:val="9"/>
                <w:sz w:val="20"/>
                <w:szCs w:val="20"/>
              </w:rPr>
              <w:t>3#</w:t>
            </w:r>
            <w:r>
              <w:rPr>
                <w:spacing w:val="9"/>
                <w:sz w:val="20"/>
                <w:szCs w:val="20"/>
              </w:rPr>
              <w:t>废矿物油</w:t>
            </w:r>
            <w:r>
              <w:rPr>
                <w:sz w:val="20"/>
                <w:szCs w:val="20"/>
              </w:rPr>
              <w:t xml:space="preserve"> </w:t>
            </w:r>
            <w:r>
              <w:rPr>
                <w:spacing w:val="9"/>
                <w:sz w:val="20"/>
                <w:szCs w:val="20"/>
              </w:rPr>
              <w:t>暂存区，由有资质单位</w:t>
            </w:r>
            <w:r>
              <w:rPr>
                <w:spacing w:val="8"/>
                <w:sz w:val="20"/>
                <w:szCs w:val="20"/>
              </w:rPr>
              <w:t xml:space="preserve"> </w:t>
            </w:r>
            <w:r>
              <w:rPr>
                <w:spacing w:val="9"/>
                <w:sz w:val="20"/>
                <w:szCs w:val="20"/>
              </w:rPr>
              <w:t>处理；废电池暂存于</w:t>
            </w:r>
            <w:r>
              <w:rPr>
                <w:rFonts w:ascii="Times New Roman" w:hAnsi="Times New Roman" w:eastAsia="Times New Roman" w:cs="Times New Roman"/>
                <w:spacing w:val="9"/>
                <w:sz w:val="20"/>
                <w:szCs w:val="20"/>
              </w:rPr>
              <w:t>2#</w:t>
            </w:r>
            <w:r>
              <w:rPr>
                <w:rFonts w:ascii="Times New Roman" w:hAnsi="Times New Roman" w:eastAsia="Times New Roman" w:cs="Times New Roman"/>
                <w:sz w:val="20"/>
                <w:szCs w:val="20"/>
              </w:rPr>
              <w:t xml:space="preserve">  </w:t>
            </w:r>
            <w:r>
              <w:rPr>
                <w:spacing w:val="5"/>
                <w:sz w:val="20"/>
                <w:szCs w:val="20"/>
              </w:rPr>
              <w:t>废蓄电池暂存区，</w:t>
            </w:r>
            <w:r>
              <w:rPr>
                <w:spacing w:val="-51"/>
                <w:sz w:val="20"/>
                <w:szCs w:val="20"/>
              </w:rPr>
              <w:t xml:space="preserve"> </w:t>
            </w:r>
            <w:r>
              <w:rPr>
                <w:spacing w:val="5"/>
                <w:sz w:val="20"/>
                <w:szCs w:val="20"/>
              </w:rPr>
              <w:t>由有</w:t>
            </w:r>
            <w:r>
              <w:rPr>
                <w:sz w:val="20"/>
                <w:szCs w:val="20"/>
              </w:rPr>
              <w:t xml:space="preserve"> </w:t>
            </w:r>
            <w:r>
              <w:rPr>
                <w:spacing w:val="-3"/>
                <w:sz w:val="20"/>
                <w:szCs w:val="20"/>
              </w:rPr>
              <w:t>资质单位处理；燃料罐、</w:t>
            </w:r>
            <w:r>
              <w:rPr>
                <w:spacing w:val="2"/>
                <w:sz w:val="20"/>
                <w:szCs w:val="20"/>
              </w:rPr>
              <w:t xml:space="preserve"> </w:t>
            </w:r>
            <w:r>
              <w:rPr>
                <w:spacing w:val="10"/>
                <w:sz w:val="20"/>
                <w:szCs w:val="20"/>
              </w:rPr>
              <w:t>液压油管、催化器、废</w:t>
            </w:r>
            <w:r>
              <w:rPr>
                <w:sz w:val="20"/>
                <w:szCs w:val="20"/>
              </w:rPr>
              <w:t xml:space="preserve"> </w:t>
            </w:r>
            <w:r>
              <w:rPr>
                <w:spacing w:val="10"/>
                <w:sz w:val="20"/>
                <w:szCs w:val="20"/>
              </w:rPr>
              <w:t>活性炭、含油抹布、拖</w:t>
            </w:r>
            <w:r>
              <w:rPr>
                <w:sz w:val="20"/>
                <w:szCs w:val="20"/>
              </w:rPr>
              <w:t xml:space="preserve"> </w:t>
            </w:r>
            <w:r>
              <w:rPr>
                <w:spacing w:val="9"/>
                <w:sz w:val="20"/>
                <w:szCs w:val="20"/>
              </w:rPr>
              <w:t>布和手套分类暂存于</w:t>
            </w:r>
            <w:r>
              <w:rPr>
                <w:rFonts w:ascii="Times New Roman" w:hAnsi="Times New Roman" w:eastAsia="Times New Roman" w:cs="Times New Roman"/>
                <w:spacing w:val="9"/>
                <w:sz w:val="20"/>
                <w:szCs w:val="20"/>
              </w:rPr>
              <w:t>1#</w:t>
            </w:r>
            <w:r>
              <w:rPr>
                <w:rFonts w:ascii="Times New Roman" w:hAnsi="Times New Roman" w:eastAsia="Times New Roman" w:cs="Times New Roman"/>
                <w:sz w:val="20"/>
                <w:szCs w:val="20"/>
              </w:rPr>
              <w:t xml:space="preserve">  </w:t>
            </w:r>
            <w:r>
              <w:rPr>
                <w:spacing w:val="11"/>
                <w:sz w:val="20"/>
                <w:szCs w:val="20"/>
              </w:rPr>
              <w:t>其他危险废物暂存区，</w:t>
            </w:r>
            <w:r>
              <w:rPr>
                <w:spacing w:val="5"/>
                <w:sz w:val="20"/>
                <w:szCs w:val="20"/>
              </w:rPr>
              <w:t xml:space="preserve"> </w:t>
            </w:r>
            <w:r>
              <w:rPr>
                <w:spacing w:val="7"/>
                <w:sz w:val="20"/>
                <w:szCs w:val="20"/>
              </w:rPr>
              <w:t>由有资质单位处理。</w:t>
            </w:r>
          </w:p>
          <w:p w14:paraId="0A07E6D6">
            <w:pPr>
              <w:pStyle w:val="6"/>
              <w:spacing w:before="30" w:line="254" w:lineRule="auto"/>
              <w:ind w:left="117" w:right="97" w:firstLine="422"/>
              <w:rPr>
                <w:sz w:val="20"/>
                <w:szCs w:val="20"/>
              </w:rPr>
            </w:pPr>
            <w:r>
              <w:rPr>
                <w:spacing w:val="9"/>
                <w:sz w:val="20"/>
                <w:szCs w:val="20"/>
              </w:rPr>
              <w:t>不进行蓄电池和电</w:t>
            </w:r>
            <w:r>
              <w:rPr>
                <w:spacing w:val="2"/>
                <w:sz w:val="20"/>
                <w:szCs w:val="20"/>
              </w:rPr>
              <w:t xml:space="preserve"> </w:t>
            </w:r>
            <w:r>
              <w:rPr>
                <w:spacing w:val="8"/>
                <w:sz w:val="20"/>
                <w:szCs w:val="20"/>
              </w:rPr>
              <w:t>子元器件进一步拆解</w:t>
            </w:r>
          </w:p>
        </w:tc>
        <w:tc>
          <w:tcPr>
            <w:tcW w:w="1145" w:type="dxa"/>
            <w:tcBorders>
              <w:left w:val="single" w:color="000000" w:sz="2" w:space="0"/>
            </w:tcBorders>
            <w:vAlign w:val="top"/>
          </w:tcPr>
          <w:p w14:paraId="17BBF9FD">
            <w:pPr>
              <w:rPr>
                <w:rFonts w:ascii="Arial"/>
                <w:sz w:val="21"/>
              </w:rPr>
            </w:pPr>
          </w:p>
        </w:tc>
      </w:tr>
      <w:tr w14:paraId="7FF3C1ED">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251" w:hRule="atLeast"/>
        </w:trPr>
        <w:tc>
          <w:tcPr>
            <w:tcW w:w="494" w:type="dxa"/>
            <w:vMerge w:val="continue"/>
            <w:tcBorders>
              <w:top w:val="nil"/>
              <w:right w:val="single" w:color="000000" w:sz="2" w:space="0"/>
            </w:tcBorders>
            <w:vAlign w:val="top"/>
          </w:tcPr>
          <w:p w14:paraId="7D59935B">
            <w:pPr>
              <w:rPr>
                <w:rFonts w:ascii="Arial"/>
                <w:sz w:val="21"/>
              </w:rPr>
            </w:pPr>
          </w:p>
        </w:tc>
        <w:tc>
          <w:tcPr>
            <w:tcW w:w="8428" w:type="dxa"/>
            <w:gridSpan w:val="5"/>
            <w:tcBorders>
              <w:left w:val="single" w:color="000000" w:sz="2" w:space="0"/>
            </w:tcBorders>
            <w:vAlign w:val="top"/>
          </w:tcPr>
          <w:p w14:paraId="2F01EAA7">
            <w:pPr>
              <w:pStyle w:val="6"/>
              <w:spacing w:before="122" w:line="352" w:lineRule="auto"/>
              <w:ind w:left="101" w:right="95" w:firstLine="481"/>
            </w:pPr>
            <w:r>
              <w:rPr>
                <w:spacing w:val="1"/>
              </w:rPr>
              <w:t>本项目配备专业安全生产管理人员和环保人员，持证上岗；拆解后分类存</w:t>
            </w:r>
            <w:r>
              <w:rPr>
                <w:spacing w:val="18"/>
              </w:rPr>
              <w:t xml:space="preserve"> </w:t>
            </w:r>
            <w:r>
              <w:rPr>
                <w:spacing w:val="1"/>
              </w:rPr>
              <w:t>放。拆解车间，地面均进行了硬化和防渗，配套建设导流槽和收集池，同时配</w:t>
            </w:r>
            <w:r>
              <w:rPr>
                <w:spacing w:val="18"/>
              </w:rPr>
              <w:t xml:space="preserve"> </w:t>
            </w:r>
            <w:r>
              <w:rPr>
                <w:spacing w:val="2"/>
              </w:rPr>
              <w:t>备农业机械拆解线、切割设备、破碎设备、专用</w:t>
            </w:r>
            <w:r>
              <w:rPr>
                <w:spacing w:val="1"/>
              </w:rPr>
              <w:t>容器等，工作环境安全可靠，</w:t>
            </w:r>
            <w:r>
              <w:t xml:space="preserve"> </w:t>
            </w:r>
            <w:r>
              <w:rPr>
                <w:spacing w:val="1"/>
              </w:rPr>
              <w:t>无危险拆解工位。本项目拆解区切割工段设置集气罩，</w:t>
            </w:r>
            <w:r>
              <w:t>收集的废气经</w:t>
            </w:r>
            <w:r>
              <w:rPr>
                <w:spacing w:val="-29"/>
              </w:rPr>
              <w:t xml:space="preserve"> </w:t>
            </w:r>
            <w:r>
              <w:rPr>
                <w:rFonts w:ascii="Times New Roman" w:hAnsi="Times New Roman" w:eastAsia="Times New Roman" w:cs="Times New Roman"/>
              </w:rPr>
              <w:t xml:space="preserve">1 </w:t>
            </w:r>
            <w:r>
              <w:t xml:space="preserve">套布袋 </w:t>
            </w:r>
            <w:r>
              <w:rPr>
                <w:spacing w:val="-2"/>
              </w:rPr>
              <w:t>除尘器处理后由</w:t>
            </w:r>
            <w:r>
              <w:rPr>
                <w:spacing w:val="-31"/>
              </w:rPr>
              <w:t xml:space="preserve"> </w:t>
            </w:r>
            <w:r>
              <w:rPr>
                <w:rFonts w:ascii="Times New Roman" w:hAnsi="Times New Roman" w:eastAsia="Times New Roman" w:cs="Times New Roman"/>
                <w:spacing w:val="-2"/>
              </w:rPr>
              <w:t>15m</w:t>
            </w:r>
            <w:r>
              <w:rPr>
                <w:rFonts w:ascii="Times New Roman" w:hAnsi="Times New Roman" w:eastAsia="Times New Roman" w:cs="Times New Roman"/>
                <w:spacing w:val="17"/>
              </w:rPr>
              <w:t xml:space="preserve"> </w:t>
            </w:r>
            <w:r>
              <w:rPr>
                <w:spacing w:val="-2"/>
              </w:rPr>
              <w:t>高排气筒排放（</w:t>
            </w:r>
            <w:r>
              <w:rPr>
                <w:rFonts w:ascii="Times New Roman" w:hAnsi="Times New Roman" w:eastAsia="Times New Roman" w:cs="Times New Roman"/>
                <w:spacing w:val="-2"/>
              </w:rPr>
              <w:t>DA001</w:t>
            </w:r>
            <w:r>
              <w:rPr>
                <w:spacing w:val="13"/>
              </w:rPr>
              <w:t>）；</w:t>
            </w:r>
            <w:r>
              <w:rPr>
                <w:spacing w:val="-2"/>
              </w:rPr>
              <w:t>抽油液工段与危险废物贮存库</w:t>
            </w:r>
            <w:r>
              <w:t xml:space="preserve"> </w:t>
            </w:r>
            <w:r>
              <w:rPr>
                <w:spacing w:val="-3"/>
              </w:rPr>
              <w:t>共用</w:t>
            </w:r>
            <w:r>
              <w:rPr>
                <w:spacing w:val="-32"/>
              </w:rPr>
              <w:t xml:space="preserve"> </w:t>
            </w:r>
            <w:r>
              <w:rPr>
                <w:rFonts w:ascii="Times New Roman" w:hAnsi="Times New Roman" w:eastAsia="Times New Roman" w:cs="Times New Roman"/>
                <w:spacing w:val="-3"/>
              </w:rPr>
              <w:t xml:space="preserve">1 </w:t>
            </w:r>
            <w:r>
              <w:rPr>
                <w:spacing w:val="-3"/>
              </w:rPr>
              <w:t>套设置集气装置，收集的废气经</w:t>
            </w:r>
            <w:r>
              <w:rPr>
                <w:spacing w:val="-32"/>
              </w:rPr>
              <w:t xml:space="preserve"> </w:t>
            </w:r>
            <w:r>
              <w:rPr>
                <w:rFonts w:ascii="Times New Roman" w:hAnsi="Times New Roman" w:eastAsia="Times New Roman" w:cs="Times New Roman"/>
                <w:spacing w:val="-3"/>
              </w:rPr>
              <w:t xml:space="preserve">1 </w:t>
            </w:r>
            <w:r>
              <w:rPr>
                <w:spacing w:val="-3"/>
              </w:rPr>
              <w:t>套活性碳吸附装置处理后由</w:t>
            </w:r>
            <w:r>
              <w:rPr>
                <w:spacing w:val="-32"/>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4"/>
              </w:rPr>
              <w:t>5m</w:t>
            </w:r>
            <w:r>
              <w:rPr>
                <w:rFonts w:ascii="Times New Roman" w:hAnsi="Times New Roman" w:eastAsia="Times New Roman" w:cs="Times New Roman"/>
                <w:spacing w:val="17"/>
              </w:rPr>
              <w:t xml:space="preserve"> </w:t>
            </w:r>
            <w:r>
              <w:rPr>
                <w:spacing w:val="-4"/>
              </w:rPr>
              <w:t>高排</w:t>
            </w:r>
            <w:r>
              <w:t xml:space="preserve"> </w:t>
            </w:r>
            <w:r>
              <w:rPr>
                <w:spacing w:val="2"/>
              </w:rPr>
              <w:t>气筒排放（</w:t>
            </w:r>
            <w:r>
              <w:rPr>
                <w:rFonts w:ascii="Times New Roman" w:hAnsi="Times New Roman" w:eastAsia="Times New Roman" w:cs="Times New Roman"/>
              </w:rPr>
              <w:t>DA</w:t>
            </w:r>
            <w:r>
              <w:rPr>
                <w:rFonts w:ascii="Times New Roman" w:hAnsi="Times New Roman" w:eastAsia="Times New Roman" w:cs="Times New Roman"/>
                <w:spacing w:val="2"/>
              </w:rPr>
              <w:t>002</w:t>
            </w:r>
            <w:r>
              <w:rPr>
                <w:spacing w:val="2"/>
              </w:rPr>
              <w:t>）。本项目在对农机进行拆解过程中，均进行了拍照，</w:t>
            </w:r>
            <w:r>
              <w:rPr>
                <w:spacing w:val="1"/>
              </w:rPr>
              <w:t>逐台</w:t>
            </w:r>
            <w:r>
              <w:t xml:space="preserve"> </w:t>
            </w:r>
            <w:r>
              <w:rPr>
                <w:spacing w:val="1"/>
              </w:rPr>
              <w:t>登记并记录流向。本项目拆解所得零部件和废物分类存储和妥善处置，并进行</w:t>
            </w:r>
            <w:r>
              <w:rPr>
                <w:spacing w:val="18"/>
              </w:rPr>
              <w:t xml:space="preserve"> </w:t>
            </w:r>
            <w:r>
              <w:t>标识。本项目固体废物和危险废物均按相关要求妥</w:t>
            </w:r>
            <w:r>
              <w:rPr>
                <w:spacing w:val="-1"/>
              </w:rPr>
              <w:t>善收集、存储和处理。</w:t>
            </w:r>
          </w:p>
        </w:tc>
      </w:tr>
    </w:tbl>
    <w:p w14:paraId="751DB42F">
      <w:pPr>
        <w:pStyle w:val="2"/>
      </w:pPr>
    </w:p>
    <w:p w14:paraId="5D90742A">
      <w:pPr>
        <w:sectPr>
          <w:footerReference r:id="rId25"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43EFDA58">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84" w:hRule="atLeast"/>
        </w:trPr>
        <w:tc>
          <w:tcPr>
            <w:tcW w:w="494" w:type="dxa"/>
            <w:tcBorders>
              <w:right w:val="single" w:color="000000" w:sz="2" w:space="0"/>
            </w:tcBorders>
            <w:vAlign w:val="top"/>
          </w:tcPr>
          <w:p w14:paraId="4DCDA396">
            <w:pPr>
              <w:rPr>
                <w:rFonts w:ascii="Arial"/>
                <w:sz w:val="21"/>
              </w:rPr>
            </w:pPr>
          </w:p>
        </w:tc>
        <w:tc>
          <w:tcPr>
            <w:tcW w:w="8428" w:type="dxa"/>
            <w:tcBorders>
              <w:left w:val="single" w:color="000000" w:sz="2" w:space="0"/>
            </w:tcBorders>
            <w:vAlign w:val="top"/>
          </w:tcPr>
          <w:p w14:paraId="2D359165">
            <w:pPr>
              <w:pStyle w:val="6"/>
              <w:spacing w:before="100" w:line="219" w:lineRule="auto"/>
              <w:jc w:val="right"/>
            </w:pPr>
            <w:r>
              <w:rPr>
                <w:spacing w:val="-2"/>
              </w:rPr>
              <w:t>综上，本项目符合《报废农业机械回收拆解技术规范》（</w:t>
            </w:r>
            <w:r>
              <w:rPr>
                <w:rFonts w:ascii="Times New Roman" w:hAnsi="Times New Roman" w:eastAsia="Times New Roman" w:cs="Times New Roman"/>
                <w:spacing w:val="-2"/>
              </w:rPr>
              <w:t>NY/T 2900-2022</w:t>
            </w:r>
            <w:r>
              <w:rPr>
                <w:spacing w:val="-2"/>
              </w:rPr>
              <w:t>）</w:t>
            </w:r>
          </w:p>
          <w:p w14:paraId="1A45C435">
            <w:pPr>
              <w:pStyle w:val="6"/>
              <w:spacing w:before="183" w:line="220" w:lineRule="auto"/>
              <w:ind w:left="122"/>
            </w:pPr>
            <w:r>
              <w:rPr>
                <w:spacing w:val="-5"/>
              </w:rPr>
              <w:t>的相关要求。</w:t>
            </w:r>
          </w:p>
          <w:p w14:paraId="648CCFC3">
            <w:pPr>
              <w:pStyle w:val="6"/>
              <w:spacing w:before="181" w:line="219" w:lineRule="auto"/>
              <w:ind w:left="589"/>
            </w:pPr>
            <w:r>
              <w:rPr>
                <w:rFonts w:ascii="Times New Roman" w:hAnsi="Times New Roman" w:eastAsia="Times New Roman" w:cs="Times New Roman"/>
                <w:b/>
                <w:bCs/>
                <w:spacing w:val="-3"/>
              </w:rPr>
              <w:t>10</w:t>
            </w:r>
            <w:r>
              <w:rPr>
                <w:rFonts w:ascii="Times New Roman" w:hAnsi="Times New Roman" w:eastAsia="Times New Roman" w:cs="Times New Roman"/>
                <w:b/>
                <w:bCs/>
                <w:spacing w:val="-28"/>
              </w:rPr>
              <w:t xml:space="preserve"> </w:t>
            </w:r>
            <w:r>
              <w:rPr>
                <w:b/>
                <w:bCs/>
                <w:spacing w:val="-3"/>
              </w:rPr>
              <w:t>、与《报废机动车回收拆解企业技术规范》（</w:t>
            </w:r>
            <w:r>
              <w:rPr>
                <w:rFonts w:ascii="Times New Roman" w:hAnsi="Times New Roman" w:eastAsia="Times New Roman" w:cs="Times New Roman"/>
                <w:b/>
                <w:bCs/>
                <w:spacing w:val="-3"/>
              </w:rPr>
              <w:t>GB22128-2019</w:t>
            </w:r>
            <w:r>
              <w:rPr>
                <w:b/>
                <w:bCs/>
                <w:spacing w:val="-3"/>
              </w:rPr>
              <w:t>）符合性分</w:t>
            </w:r>
          </w:p>
          <w:p w14:paraId="7FE8315A">
            <w:pPr>
              <w:pStyle w:val="6"/>
              <w:spacing w:before="183" w:line="220" w:lineRule="auto"/>
              <w:ind w:left="104"/>
            </w:pPr>
            <w:r>
              <w:rPr>
                <w:b/>
                <w:bCs/>
                <w:spacing w:val="-3"/>
              </w:rPr>
              <w:t>析</w:t>
            </w:r>
          </w:p>
          <w:p w14:paraId="03801C0A">
            <w:pPr>
              <w:pStyle w:val="6"/>
              <w:spacing w:before="181" w:line="316" w:lineRule="auto"/>
              <w:ind w:left="3491" w:right="97" w:hanging="3390"/>
            </w:pPr>
            <w:r>
              <w:rPr>
                <w:b/>
                <w:bCs/>
                <w:spacing w:val="-4"/>
              </w:rPr>
              <w:t>表</w:t>
            </w:r>
            <w:r>
              <w:rPr>
                <w:spacing w:val="-44"/>
              </w:rPr>
              <w:t xml:space="preserve"> </w:t>
            </w:r>
            <w:r>
              <w:rPr>
                <w:rFonts w:ascii="Times New Roman" w:hAnsi="Times New Roman" w:eastAsia="Times New Roman" w:cs="Times New Roman"/>
                <w:b/>
                <w:bCs/>
                <w:spacing w:val="-4"/>
              </w:rPr>
              <w:t xml:space="preserve">1-11 </w:t>
            </w:r>
            <w:r>
              <w:rPr>
                <w:b/>
                <w:bCs/>
                <w:spacing w:val="-4"/>
              </w:rPr>
              <w:t>与《报废机动车回收拆解企业技术规范》（</w:t>
            </w:r>
            <w:r>
              <w:rPr>
                <w:rFonts w:ascii="Times New Roman" w:hAnsi="Times New Roman" w:eastAsia="Times New Roman" w:cs="Times New Roman"/>
                <w:b/>
                <w:bCs/>
                <w:spacing w:val="-4"/>
              </w:rPr>
              <w:t>GB22128-2019</w:t>
            </w:r>
            <w:r>
              <w:rPr>
                <w:b/>
                <w:bCs/>
                <w:spacing w:val="-4"/>
              </w:rPr>
              <w:t>）中</w:t>
            </w:r>
            <w:r>
              <w:rPr>
                <w:b/>
                <w:bCs/>
                <w:spacing w:val="-5"/>
              </w:rPr>
              <w:t>强制性条</w:t>
            </w:r>
            <w:r>
              <w:t xml:space="preserve"> </w:t>
            </w:r>
            <w:r>
              <w:rPr>
                <w:b/>
                <w:bCs/>
                <w:spacing w:val="-4"/>
              </w:rPr>
              <w:t>款相符性分析</w:t>
            </w:r>
          </w:p>
          <w:tbl>
            <w:tblPr>
              <w:tblStyle w:val="5"/>
              <w:tblW w:w="8222"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93"/>
              <w:gridCol w:w="3466"/>
              <w:gridCol w:w="863"/>
            </w:tblGrid>
            <w:tr w14:paraId="620CE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3893" w:type="dxa"/>
                  <w:tcBorders>
                    <w:top w:val="single" w:color="000000" w:sz="10" w:space="0"/>
                    <w:left w:val="nil"/>
                  </w:tcBorders>
                  <w:vAlign w:val="top"/>
                </w:tcPr>
                <w:p w14:paraId="6CA1C836">
                  <w:pPr>
                    <w:pStyle w:val="6"/>
                    <w:spacing w:before="241" w:line="229" w:lineRule="auto"/>
                    <w:ind w:left="1534"/>
                    <w:rPr>
                      <w:sz w:val="20"/>
                      <w:szCs w:val="20"/>
                    </w:rPr>
                  </w:pPr>
                  <w:r>
                    <w:rPr>
                      <w:spacing w:val="7"/>
                      <w:sz w:val="20"/>
                      <w:szCs w:val="20"/>
                    </w:rPr>
                    <w:t>规范要求</w:t>
                  </w:r>
                </w:p>
              </w:tc>
              <w:tc>
                <w:tcPr>
                  <w:tcW w:w="3466" w:type="dxa"/>
                  <w:tcBorders>
                    <w:top w:val="single" w:color="000000" w:sz="10" w:space="0"/>
                  </w:tcBorders>
                  <w:vAlign w:val="top"/>
                </w:tcPr>
                <w:p w14:paraId="7714DB29">
                  <w:pPr>
                    <w:pStyle w:val="6"/>
                    <w:spacing w:before="241" w:line="227" w:lineRule="auto"/>
                    <w:ind w:left="1214"/>
                    <w:rPr>
                      <w:sz w:val="20"/>
                      <w:szCs w:val="20"/>
                    </w:rPr>
                  </w:pPr>
                  <w:r>
                    <w:rPr>
                      <w:spacing w:val="7"/>
                      <w:sz w:val="20"/>
                      <w:szCs w:val="20"/>
                    </w:rPr>
                    <w:t>本项目情况</w:t>
                  </w:r>
                </w:p>
              </w:tc>
              <w:tc>
                <w:tcPr>
                  <w:tcW w:w="863" w:type="dxa"/>
                  <w:tcBorders>
                    <w:top w:val="single" w:color="000000" w:sz="10" w:space="0"/>
                    <w:right w:val="nil"/>
                  </w:tcBorders>
                  <w:vAlign w:val="top"/>
                </w:tcPr>
                <w:p w14:paraId="1D3BE390">
                  <w:pPr>
                    <w:pStyle w:val="6"/>
                    <w:spacing w:before="81" w:line="257" w:lineRule="auto"/>
                    <w:ind w:left="122" w:right="118" w:firstLine="2"/>
                    <w:rPr>
                      <w:sz w:val="20"/>
                      <w:szCs w:val="20"/>
                    </w:rPr>
                  </w:pPr>
                  <w:r>
                    <w:rPr>
                      <w:spacing w:val="5"/>
                      <w:sz w:val="20"/>
                      <w:szCs w:val="20"/>
                    </w:rPr>
                    <w:t>是否符</w:t>
                  </w:r>
                  <w:r>
                    <w:rPr>
                      <w:spacing w:val="1"/>
                      <w:sz w:val="20"/>
                      <w:szCs w:val="20"/>
                    </w:rPr>
                    <w:t xml:space="preserve"> </w:t>
                  </w:r>
                  <w:r>
                    <w:rPr>
                      <w:spacing w:val="6"/>
                      <w:sz w:val="20"/>
                      <w:szCs w:val="20"/>
                    </w:rPr>
                    <w:t>合要求</w:t>
                  </w:r>
                </w:p>
              </w:tc>
            </w:tr>
            <w:tr w14:paraId="6EB46B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8" w:hRule="atLeast"/>
              </w:trPr>
              <w:tc>
                <w:tcPr>
                  <w:tcW w:w="3893" w:type="dxa"/>
                  <w:tcBorders>
                    <w:left w:val="nil"/>
                  </w:tcBorders>
                  <w:vAlign w:val="top"/>
                </w:tcPr>
                <w:p w14:paraId="4E2A49EF">
                  <w:pPr>
                    <w:spacing w:line="251" w:lineRule="auto"/>
                    <w:rPr>
                      <w:rFonts w:ascii="Arial"/>
                      <w:sz w:val="21"/>
                    </w:rPr>
                  </w:pPr>
                </w:p>
                <w:p w14:paraId="4273B88D">
                  <w:pPr>
                    <w:spacing w:line="251" w:lineRule="auto"/>
                    <w:rPr>
                      <w:rFonts w:ascii="Arial"/>
                      <w:sz w:val="21"/>
                    </w:rPr>
                  </w:pPr>
                </w:p>
                <w:p w14:paraId="56786385">
                  <w:pPr>
                    <w:spacing w:line="251" w:lineRule="auto"/>
                    <w:rPr>
                      <w:rFonts w:ascii="Arial"/>
                      <w:sz w:val="21"/>
                    </w:rPr>
                  </w:pPr>
                </w:p>
                <w:p w14:paraId="0059AF53">
                  <w:pPr>
                    <w:spacing w:line="251" w:lineRule="auto"/>
                    <w:rPr>
                      <w:rFonts w:ascii="Arial"/>
                      <w:sz w:val="21"/>
                    </w:rPr>
                  </w:pPr>
                </w:p>
                <w:p w14:paraId="1ACEF6C3">
                  <w:pPr>
                    <w:spacing w:line="251" w:lineRule="auto"/>
                    <w:rPr>
                      <w:rFonts w:ascii="Arial"/>
                      <w:sz w:val="21"/>
                    </w:rPr>
                  </w:pPr>
                </w:p>
                <w:p w14:paraId="061E168C">
                  <w:pPr>
                    <w:spacing w:line="252" w:lineRule="auto"/>
                    <w:rPr>
                      <w:rFonts w:ascii="Arial"/>
                      <w:sz w:val="21"/>
                    </w:rPr>
                  </w:pPr>
                </w:p>
                <w:p w14:paraId="19BDC89A">
                  <w:pPr>
                    <w:spacing w:line="252" w:lineRule="auto"/>
                    <w:rPr>
                      <w:rFonts w:ascii="Arial"/>
                      <w:sz w:val="21"/>
                    </w:rPr>
                  </w:pPr>
                </w:p>
                <w:p w14:paraId="6351F737">
                  <w:pPr>
                    <w:pStyle w:val="6"/>
                    <w:spacing w:before="65" w:line="228" w:lineRule="auto"/>
                    <w:ind w:right="14"/>
                    <w:jc w:val="right"/>
                    <w:rPr>
                      <w:sz w:val="20"/>
                      <w:szCs w:val="20"/>
                    </w:rPr>
                  </w:pPr>
                  <w:r>
                    <w:rPr>
                      <w:rFonts w:ascii="Times New Roman" w:hAnsi="Times New Roman" w:eastAsia="Times New Roman" w:cs="Times New Roman"/>
                      <w:spacing w:val="6"/>
                      <w:sz w:val="20"/>
                      <w:szCs w:val="20"/>
                    </w:rPr>
                    <w:t>4.2.</w:t>
                  </w:r>
                  <w:r>
                    <w:rPr>
                      <w:rFonts w:ascii="Times New Roman" w:hAnsi="Times New Roman" w:eastAsia="Times New Roman" w:cs="Times New Roman"/>
                      <w:spacing w:val="-12"/>
                      <w:sz w:val="20"/>
                      <w:szCs w:val="20"/>
                    </w:rPr>
                    <w:t xml:space="preserve"> </w:t>
                  </w:r>
                  <w:r>
                    <w:rPr>
                      <w:rFonts w:ascii="Times New Roman" w:hAnsi="Times New Roman" w:eastAsia="Times New Roman" w:cs="Times New Roman"/>
                      <w:spacing w:val="6"/>
                      <w:sz w:val="20"/>
                      <w:szCs w:val="20"/>
                    </w:rPr>
                    <w:t>1</w:t>
                  </w:r>
                  <w:r>
                    <w:rPr>
                      <w:spacing w:val="6"/>
                      <w:sz w:val="20"/>
                      <w:szCs w:val="20"/>
                    </w:rPr>
                    <w:t>企业建设项目选址应满足如下要求：</w:t>
                  </w:r>
                </w:p>
                <w:p w14:paraId="6A2FA14D">
                  <w:pPr>
                    <w:pStyle w:val="6"/>
                    <w:spacing w:before="74" w:line="281" w:lineRule="auto"/>
                    <w:ind w:left="1639" w:right="114" w:hanging="1518"/>
                    <w:rPr>
                      <w:sz w:val="20"/>
                      <w:szCs w:val="20"/>
                    </w:rPr>
                  </w:pPr>
                  <w:r>
                    <w:rPr>
                      <w:rFonts w:ascii="Times New Roman" w:hAnsi="Times New Roman" w:eastAsia="Times New Roman" w:cs="Times New Roman"/>
                      <w:spacing w:val="9"/>
                      <w:sz w:val="20"/>
                      <w:szCs w:val="20"/>
                    </w:rPr>
                    <w:t>a</w:t>
                  </w:r>
                  <w:r>
                    <w:rPr>
                      <w:spacing w:val="9"/>
                      <w:sz w:val="20"/>
                      <w:szCs w:val="20"/>
                    </w:rPr>
                    <w:t>）符合所在地城市总体规划或国土空间</w:t>
                  </w:r>
                  <w:r>
                    <w:rPr>
                      <w:spacing w:val="3"/>
                      <w:sz w:val="20"/>
                      <w:szCs w:val="20"/>
                    </w:rPr>
                    <w:t xml:space="preserve"> </w:t>
                  </w:r>
                  <w:r>
                    <w:rPr>
                      <w:spacing w:val="2"/>
                      <w:sz w:val="20"/>
                      <w:szCs w:val="20"/>
                    </w:rPr>
                    <w:t>规划；</w:t>
                  </w:r>
                </w:p>
                <w:p w14:paraId="475F87C2">
                  <w:pPr>
                    <w:pStyle w:val="6"/>
                    <w:spacing w:before="28" w:line="286" w:lineRule="auto"/>
                    <w:ind w:left="115" w:right="106" w:hanging="9"/>
                    <w:jc w:val="both"/>
                    <w:rPr>
                      <w:sz w:val="20"/>
                      <w:szCs w:val="20"/>
                    </w:rPr>
                  </w:pPr>
                  <w:r>
                    <w:rPr>
                      <w:rFonts w:ascii="Times New Roman" w:hAnsi="Times New Roman" w:eastAsia="Times New Roman" w:cs="Times New Roman"/>
                      <w:spacing w:val="3"/>
                      <w:sz w:val="20"/>
                      <w:szCs w:val="20"/>
                    </w:rPr>
                    <w:t>b</w:t>
                  </w:r>
                  <w:r>
                    <w:rPr>
                      <w:spacing w:val="3"/>
                      <w:sz w:val="20"/>
                      <w:szCs w:val="20"/>
                    </w:rPr>
                    <w:t>）符合</w:t>
                  </w:r>
                  <w:r>
                    <w:rPr>
                      <w:rFonts w:ascii="Times New Roman" w:hAnsi="Times New Roman" w:eastAsia="Times New Roman" w:cs="Times New Roman"/>
                      <w:sz w:val="20"/>
                      <w:szCs w:val="20"/>
                    </w:rPr>
                    <w:t>GB</w:t>
                  </w:r>
                  <w:r>
                    <w:rPr>
                      <w:rFonts w:ascii="Times New Roman" w:hAnsi="Times New Roman" w:eastAsia="Times New Roman" w:cs="Times New Roman"/>
                      <w:spacing w:val="3"/>
                      <w:sz w:val="20"/>
                      <w:szCs w:val="20"/>
                    </w:rPr>
                    <w:t>50187</w:t>
                  </w:r>
                  <w:r>
                    <w:rPr>
                      <w:spacing w:val="3"/>
                      <w:sz w:val="20"/>
                      <w:szCs w:val="20"/>
                    </w:rPr>
                    <w:t>、</w:t>
                  </w:r>
                  <w:r>
                    <w:rPr>
                      <w:rFonts w:ascii="Times New Roman" w:hAnsi="Times New Roman" w:eastAsia="Times New Roman" w:cs="Times New Roman"/>
                      <w:sz w:val="20"/>
                      <w:szCs w:val="20"/>
                    </w:rPr>
                    <w:t>HJ</w:t>
                  </w:r>
                  <w:r>
                    <w:rPr>
                      <w:rFonts w:ascii="Times New Roman" w:hAnsi="Times New Roman" w:eastAsia="Times New Roman" w:cs="Times New Roman"/>
                      <w:spacing w:val="3"/>
                      <w:sz w:val="20"/>
                      <w:szCs w:val="20"/>
                    </w:rPr>
                    <w:t>348</w:t>
                  </w:r>
                  <w:r>
                    <w:rPr>
                      <w:spacing w:val="3"/>
                      <w:sz w:val="20"/>
                      <w:szCs w:val="20"/>
                    </w:rPr>
                    <w:t>的选址要求，不</w:t>
                  </w:r>
                  <w:r>
                    <w:rPr>
                      <w:spacing w:val="16"/>
                      <w:sz w:val="20"/>
                      <w:szCs w:val="20"/>
                    </w:rPr>
                    <w:t xml:space="preserve"> </w:t>
                  </w:r>
                  <w:r>
                    <w:rPr>
                      <w:spacing w:val="3"/>
                      <w:sz w:val="20"/>
                      <w:szCs w:val="20"/>
                    </w:rPr>
                    <w:t>得建在城市居民区、商业区、饮用水水源</w:t>
                  </w:r>
                  <w:r>
                    <w:rPr>
                      <w:spacing w:val="12"/>
                      <w:sz w:val="20"/>
                      <w:szCs w:val="20"/>
                    </w:rPr>
                    <w:t xml:space="preserve"> </w:t>
                  </w:r>
                  <w:r>
                    <w:rPr>
                      <w:spacing w:val="3"/>
                      <w:sz w:val="20"/>
                      <w:szCs w:val="20"/>
                    </w:rPr>
                    <w:t>保护区及其他环境敏感区内，且避开受环</w:t>
                  </w:r>
                </w:p>
                <w:p w14:paraId="2880A9BB">
                  <w:pPr>
                    <w:pStyle w:val="6"/>
                    <w:spacing w:before="30" w:line="228" w:lineRule="auto"/>
                    <w:ind w:left="590"/>
                    <w:rPr>
                      <w:sz w:val="20"/>
                      <w:szCs w:val="20"/>
                    </w:rPr>
                  </w:pPr>
                  <w:r>
                    <w:rPr>
                      <w:spacing w:val="8"/>
                      <w:sz w:val="20"/>
                      <w:szCs w:val="20"/>
                    </w:rPr>
                    <w:t>境威胁的地带、地段和地区；</w:t>
                  </w:r>
                </w:p>
              </w:tc>
              <w:tc>
                <w:tcPr>
                  <w:tcW w:w="3466" w:type="dxa"/>
                  <w:vAlign w:val="top"/>
                </w:tcPr>
                <w:p w14:paraId="6BE38AEF">
                  <w:pPr>
                    <w:pStyle w:val="6"/>
                    <w:spacing w:before="76" w:line="293" w:lineRule="auto"/>
                    <w:ind w:left="113" w:right="36" w:firstLine="1"/>
                    <w:rPr>
                      <w:sz w:val="20"/>
                      <w:szCs w:val="20"/>
                    </w:rPr>
                  </w:pPr>
                  <w:r>
                    <w:rPr>
                      <w:spacing w:val="9"/>
                      <w:sz w:val="20"/>
                      <w:szCs w:val="20"/>
                    </w:rPr>
                    <w:t>本项目位于黑龙江省大庆市林甸县</w:t>
                  </w:r>
                  <w:r>
                    <w:rPr>
                      <w:spacing w:val="1"/>
                      <w:sz w:val="20"/>
                      <w:szCs w:val="20"/>
                    </w:rPr>
                    <w:t xml:space="preserve">  </w:t>
                  </w:r>
                  <w:r>
                    <w:rPr>
                      <w:spacing w:val="9"/>
                      <w:sz w:val="20"/>
                      <w:szCs w:val="20"/>
                    </w:rPr>
                    <w:t>红旗镇永胜村，根据《林甸县红旗</w:t>
                  </w:r>
                  <w:r>
                    <w:rPr>
                      <w:spacing w:val="2"/>
                      <w:sz w:val="20"/>
                      <w:szCs w:val="20"/>
                    </w:rPr>
                    <w:t xml:space="preserve">  </w:t>
                  </w:r>
                  <w:r>
                    <w:rPr>
                      <w:spacing w:val="9"/>
                      <w:sz w:val="20"/>
                      <w:szCs w:val="20"/>
                    </w:rPr>
                    <w:t>镇（含巨浪牧场）国土空间总体规</w:t>
                  </w:r>
                  <w:r>
                    <w:rPr>
                      <w:spacing w:val="2"/>
                      <w:sz w:val="20"/>
                      <w:szCs w:val="20"/>
                    </w:rPr>
                    <w:t xml:space="preserve">  </w:t>
                  </w:r>
                  <w:r>
                    <w:rPr>
                      <w:spacing w:val="-2"/>
                      <w:sz w:val="20"/>
                      <w:szCs w:val="20"/>
                    </w:rPr>
                    <w:t>划（</w:t>
                  </w:r>
                  <w:r>
                    <w:rPr>
                      <w:rFonts w:ascii="Times New Roman" w:hAnsi="Times New Roman" w:eastAsia="Times New Roman" w:cs="Times New Roman"/>
                      <w:spacing w:val="-2"/>
                      <w:sz w:val="20"/>
                      <w:szCs w:val="20"/>
                    </w:rPr>
                    <w:t>2021-2035</w:t>
                  </w:r>
                  <w:r>
                    <w:rPr>
                      <w:spacing w:val="-2"/>
                      <w:sz w:val="20"/>
                      <w:szCs w:val="20"/>
                    </w:rPr>
                    <w:t>年）》，项目位于“一</w:t>
                  </w:r>
                  <w:r>
                    <w:rPr>
                      <w:spacing w:val="14"/>
                      <w:sz w:val="20"/>
                      <w:szCs w:val="20"/>
                    </w:rPr>
                    <w:t xml:space="preserve"> </w:t>
                  </w:r>
                  <w:r>
                    <w:rPr>
                      <w:spacing w:val="6"/>
                      <w:sz w:val="20"/>
                      <w:szCs w:val="20"/>
                    </w:rPr>
                    <w:t>轴</w:t>
                  </w:r>
                  <w:r>
                    <w:rPr>
                      <w:spacing w:val="-63"/>
                      <w:sz w:val="20"/>
                      <w:szCs w:val="20"/>
                    </w:rPr>
                    <w:t xml:space="preserve"> </w:t>
                  </w:r>
                  <w:r>
                    <w:rPr>
                      <w:spacing w:val="6"/>
                      <w:sz w:val="20"/>
                      <w:szCs w:val="20"/>
                    </w:rPr>
                    <w:t>”——沿</w:t>
                  </w:r>
                  <w:r>
                    <w:rPr>
                      <w:rFonts w:ascii="Times New Roman" w:hAnsi="Times New Roman" w:eastAsia="Times New Roman" w:cs="Times New Roman"/>
                      <w:spacing w:val="6"/>
                      <w:sz w:val="20"/>
                      <w:szCs w:val="20"/>
                    </w:rPr>
                    <w:t>S214</w:t>
                  </w:r>
                  <w:r>
                    <w:rPr>
                      <w:spacing w:val="6"/>
                      <w:sz w:val="20"/>
                      <w:szCs w:val="20"/>
                    </w:rPr>
                    <w:t>省道促进城乡产业</w:t>
                  </w:r>
                  <w:r>
                    <w:rPr>
                      <w:sz w:val="20"/>
                      <w:szCs w:val="20"/>
                    </w:rPr>
                    <w:t xml:space="preserve">  </w:t>
                  </w:r>
                  <w:r>
                    <w:rPr>
                      <w:spacing w:val="9"/>
                      <w:sz w:val="20"/>
                      <w:szCs w:val="20"/>
                    </w:rPr>
                    <w:t>融合一体化发展轴上，为农业发展</w:t>
                  </w:r>
                  <w:r>
                    <w:rPr>
                      <w:spacing w:val="2"/>
                      <w:sz w:val="20"/>
                      <w:szCs w:val="20"/>
                    </w:rPr>
                    <w:t xml:space="preserve">  </w:t>
                  </w:r>
                  <w:r>
                    <w:rPr>
                      <w:spacing w:val="9"/>
                      <w:sz w:val="20"/>
                      <w:szCs w:val="20"/>
                    </w:rPr>
                    <w:t>配套产业，优化农机设备，该区域</w:t>
                  </w:r>
                  <w:r>
                    <w:rPr>
                      <w:spacing w:val="2"/>
                      <w:sz w:val="20"/>
                      <w:szCs w:val="20"/>
                    </w:rPr>
                    <w:t xml:space="preserve">  </w:t>
                  </w:r>
                  <w:r>
                    <w:rPr>
                      <w:spacing w:val="9"/>
                      <w:sz w:val="20"/>
                      <w:szCs w:val="20"/>
                    </w:rPr>
                    <w:t>既不是饮用水源保护区等经规划确</w:t>
                  </w:r>
                  <w:r>
                    <w:rPr>
                      <w:spacing w:val="2"/>
                      <w:sz w:val="20"/>
                      <w:szCs w:val="20"/>
                    </w:rPr>
                    <w:t xml:space="preserve">  </w:t>
                  </w:r>
                  <w:r>
                    <w:rPr>
                      <w:spacing w:val="9"/>
                      <w:sz w:val="20"/>
                      <w:szCs w:val="20"/>
                    </w:rPr>
                    <w:t>定或县级以上政府批准的需特殊保</w:t>
                  </w:r>
                  <w:r>
                    <w:rPr>
                      <w:spacing w:val="2"/>
                      <w:sz w:val="20"/>
                      <w:szCs w:val="20"/>
                    </w:rPr>
                    <w:t xml:space="preserve">  </w:t>
                  </w:r>
                  <w:r>
                    <w:rPr>
                      <w:spacing w:val="9"/>
                      <w:sz w:val="20"/>
                      <w:szCs w:val="20"/>
                    </w:rPr>
                    <w:t>护地区，也不是严重缺水区、重要</w:t>
                  </w:r>
                  <w:r>
                    <w:rPr>
                      <w:spacing w:val="2"/>
                      <w:sz w:val="20"/>
                      <w:szCs w:val="20"/>
                    </w:rPr>
                    <w:t xml:space="preserve">  </w:t>
                  </w:r>
                  <w:r>
                    <w:rPr>
                      <w:spacing w:val="9"/>
                      <w:sz w:val="20"/>
                      <w:szCs w:val="20"/>
                    </w:rPr>
                    <w:t>湿地等生态敏感与脆弱区，同时也</w:t>
                  </w:r>
                  <w:r>
                    <w:rPr>
                      <w:spacing w:val="2"/>
                      <w:sz w:val="20"/>
                      <w:szCs w:val="20"/>
                    </w:rPr>
                    <w:t xml:space="preserve">  </w:t>
                  </w:r>
                  <w:r>
                    <w:rPr>
                      <w:spacing w:val="6"/>
                      <w:sz w:val="20"/>
                      <w:szCs w:val="20"/>
                    </w:rPr>
                    <w:t>不是文教区及具历史、文化、科学、</w:t>
                  </w:r>
                  <w:r>
                    <w:rPr>
                      <w:spacing w:val="13"/>
                      <w:sz w:val="20"/>
                      <w:szCs w:val="20"/>
                    </w:rPr>
                    <w:t xml:space="preserve"> </w:t>
                  </w:r>
                  <w:r>
                    <w:rPr>
                      <w:spacing w:val="8"/>
                      <w:sz w:val="20"/>
                      <w:szCs w:val="20"/>
                    </w:rPr>
                    <w:t>民族意义的保护区等社会关注区，</w:t>
                  </w:r>
                </w:p>
                <w:p w14:paraId="0713D4F3">
                  <w:pPr>
                    <w:pStyle w:val="6"/>
                    <w:spacing w:before="31" w:line="228" w:lineRule="auto"/>
                    <w:ind w:left="116"/>
                    <w:rPr>
                      <w:sz w:val="20"/>
                      <w:szCs w:val="20"/>
                    </w:rPr>
                  </w:pPr>
                  <w:r>
                    <w:rPr>
                      <w:spacing w:val="7"/>
                      <w:sz w:val="20"/>
                      <w:szCs w:val="20"/>
                    </w:rPr>
                    <w:t>符国土空间总体规划。</w:t>
                  </w:r>
                </w:p>
                <w:p w14:paraId="652FA6A3">
                  <w:pPr>
                    <w:pStyle w:val="6"/>
                    <w:spacing w:before="73" w:line="273" w:lineRule="auto"/>
                    <w:ind w:left="113" w:right="205" w:firstLine="2"/>
                    <w:jc w:val="both"/>
                    <w:rPr>
                      <w:sz w:val="20"/>
                      <w:szCs w:val="20"/>
                    </w:rPr>
                  </w:pPr>
                  <w:r>
                    <w:rPr>
                      <w:spacing w:val="9"/>
                      <w:sz w:val="20"/>
                      <w:szCs w:val="20"/>
                    </w:rPr>
                    <w:t>租用兴海肉业有限公司的空地，不</w:t>
                  </w:r>
                  <w:r>
                    <w:rPr>
                      <w:spacing w:val="3"/>
                      <w:sz w:val="20"/>
                      <w:szCs w:val="20"/>
                    </w:rPr>
                    <w:t xml:space="preserve"> </w:t>
                  </w:r>
                  <w:r>
                    <w:rPr>
                      <w:spacing w:val="9"/>
                      <w:sz w:val="20"/>
                      <w:szCs w:val="20"/>
                    </w:rPr>
                    <w:t>在城市居民区、商业区、饮用水水</w:t>
                  </w:r>
                  <w:r>
                    <w:rPr>
                      <w:spacing w:val="5"/>
                      <w:sz w:val="20"/>
                      <w:szCs w:val="20"/>
                    </w:rPr>
                    <w:t xml:space="preserve"> </w:t>
                  </w:r>
                  <w:r>
                    <w:rPr>
                      <w:spacing w:val="9"/>
                      <w:sz w:val="20"/>
                      <w:szCs w:val="20"/>
                    </w:rPr>
                    <w:t>源保护区及其他环境敏感区内，该</w:t>
                  </w:r>
                  <w:r>
                    <w:rPr>
                      <w:spacing w:val="5"/>
                      <w:sz w:val="20"/>
                      <w:szCs w:val="20"/>
                    </w:rPr>
                    <w:t xml:space="preserve"> </w:t>
                  </w:r>
                  <w:r>
                    <w:rPr>
                      <w:spacing w:val="8"/>
                      <w:sz w:val="20"/>
                      <w:szCs w:val="20"/>
                    </w:rPr>
                    <w:t>地块现状用地类型为工业用地。</w:t>
                  </w:r>
                </w:p>
              </w:tc>
              <w:tc>
                <w:tcPr>
                  <w:tcW w:w="863" w:type="dxa"/>
                  <w:tcBorders>
                    <w:right w:val="nil"/>
                  </w:tcBorders>
                  <w:vAlign w:val="top"/>
                </w:tcPr>
                <w:p w14:paraId="6A4A8B6F">
                  <w:pPr>
                    <w:spacing w:line="246" w:lineRule="auto"/>
                    <w:rPr>
                      <w:rFonts w:ascii="Arial"/>
                      <w:sz w:val="21"/>
                    </w:rPr>
                  </w:pPr>
                </w:p>
                <w:p w14:paraId="171E6E7B">
                  <w:pPr>
                    <w:spacing w:line="246" w:lineRule="auto"/>
                    <w:rPr>
                      <w:rFonts w:ascii="Arial"/>
                      <w:sz w:val="21"/>
                    </w:rPr>
                  </w:pPr>
                </w:p>
                <w:p w14:paraId="703C2C4F">
                  <w:pPr>
                    <w:spacing w:line="246" w:lineRule="auto"/>
                    <w:rPr>
                      <w:rFonts w:ascii="Arial"/>
                      <w:sz w:val="21"/>
                    </w:rPr>
                  </w:pPr>
                </w:p>
                <w:p w14:paraId="58692F22">
                  <w:pPr>
                    <w:spacing w:line="246" w:lineRule="auto"/>
                    <w:rPr>
                      <w:rFonts w:ascii="Arial"/>
                      <w:sz w:val="21"/>
                    </w:rPr>
                  </w:pPr>
                </w:p>
                <w:p w14:paraId="5FF3F83D">
                  <w:pPr>
                    <w:spacing w:line="247" w:lineRule="auto"/>
                    <w:rPr>
                      <w:rFonts w:ascii="Arial"/>
                      <w:sz w:val="21"/>
                    </w:rPr>
                  </w:pPr>
                </w:p>
                <w:p w14:paraId="30BC46F7">
                  <w:pPr>
                    <w:spacing w:line="247" w:lineRule="auto"/>
                    <w:rPr>
                      <w:rFonts w:ascii="Arial"/>
                      <w:sz w:val="21"/>
                    </w:rPr>
                  </w:pPr>
                </w:p>
                <w:p w14:paraId="67B3FD3D">
                  <w:pPr>
                    <w:spacing w:line="247" w:lineRule="auto"/>
                    <w:rPr>
                      <w:rFonts w:ascii="Arial"/>
                      <w:sz w:val="21"/>
                    </w:rPr>
                  </w:pPr>
                </w:p>
                <w:p w14:paraId="5F3AED6A">
                  <w:pPr>
                    <w:spacing w:line="247" w:lineRule="auto"/>
                    <w:rPr>
                      <w:rFonts w:ascii="Arial"/>
                      <w:sz w:val="21"/>
                    </w:rPr>
                  </w:pPr>
                </w:p>
                <w:p w14:paraId="2F1D5449">
                  <w:pPr>
                    <w:spacing w:line="247" w:lineRule="auto"/>
                    <w:rPr>
                      <w:rFonts w:ascii="Arial"/>
                      <w:sz w:val="21"/>
                    </w:rPr>
                  </w:pPr>
                </w:p>
                <w:p w14:paraId="5B430ACC">
                  <w:pPr>
                    <w:spacing w:line="247" w:lineRule="auto"/>
                    <w:rPr>
                      <w:rFonts w:ascii="Arial"/>
                      <w:sz w:val="21"/>
                    </w:rPr>
                  </w:pPr>
                </w:p>
                <w:p w14:paraId="596C7DEB">
                  <w:pPr>
                    <w:spacing w:line="247" w:lineRule="auto"/>
                    <w:rPr>
                      <w:rFonts w:ascii="Arial"/>
                      <w:sz w:val="21"/>
                    </w:rPr>
                  </w:pPr>
                </w:p>
                <w:p w14:paraId="657B3925">
                  <w:pPr>
                    <w:pStyle w:val="6"/>
                    <w:spacing w:before="65" w:line="228" w:lineRule="auto"/>
                    <w:ind w:left="228"/>
                    <w:rPr>
                      <w:sz w:val="20"/>
                      <w:szCs w:val="20"/>
                    </w:rPr>
                  </w:pPr>
                  <w:r>
                    <w:rPr>
                      <w:spacing w:val="3"/>
                      <w:sz w:val="20"/>
                      <w:szCs w:val="20"/>
                    </w:rPr>
                    <w:t>符合</w:t>
                  </w:r>
                </w:p>
              </w:tc>
            </w:tr>
            <w:tr w14:paraId="1552BF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2" w:hRule="atLeast"/>
              </w:trPr>
              <w:tc>
                <w:tcPr>
                  <w:tcW w:w="3893" w:type="dxa"/>
                  <w:tcBorders>
                    <w:left w:val="nil"/>
                  </w:tcBorders>
                  <w:vAlign w:val="top"/>
                </w:tcPr>
                <w:p w14:paraId="6AFCCCD9">
                  <w:pPr>
                    <w:pStyle w:val="6"/>
                    <w:spacing w:before="90" w:line="228" w:lineRule="auto"/>
                    <w:ind w:left="110"/>
                    <w:rPr>
                      <w:sz w:val="20"/>
                      <w:szCs w:val="20"/>
                    </w:rPr>
                  </w:pPr>
                  <w:r>
                    <w:rPr>
                      <w:rFonts w:ascii="Times New Roman" w:hAnsi="Times New Roman" w:eastAsia="Times New Roman" w:cs="Times New Roman"/>
                      <w:spacing w:val="3"/>
                      <w:sz w:val="20"/>
                      <w:szCs w:val="20"/>
                    </w:rPr>
                    <w:t>4.2.3</w:t>
                  </w:r>
                  <w:r>
                    <w:rPr>
                      <w:spacing w:val="3"/>
                      <w:sz w:val="20"/>
                      <w:szCs w:val="20"/>
                    </w:rPr>
                    <w:t>企业应严格执行《工业项目建设用地</w:t>
                  </w:r>
                </w:p>
                <w:p w14:paraId="49283903">
                  <w:pPr>
                    <w:pStyle w:val="6"/>
                    <w:spacing w:before="71" w:line="228" w:lineRule="auto"/>
                    <w:ind w:left="114"/>
                    <w:rPr>
                      <w:sz w:val="20"/>
                      <w:szCs w:val="20"/>
                    </w:rPr>
                  </w:pPr>
                  <w:r>
                    <w:rPr>
                      <w:spacing w:val="3"/>
                      <w:sz w:val="20"/>
                      <w:szCs w:val="20"/>
                    </w:rPr>
                    <w:t>控制指标》建设用地标准，且场地建设符</w:t>
                  </w:r>
                </w:p>
                <w:p w14:paraId="3137EC21">
                  <w:pPr>
                    <w:pStyle w:val="6"/>
                    <w:spacing w:before="74" w:line="204" w:lineRule="auto"/>
                    <w:ind w:left="420"/>
                    <w:rPr>
                      <w:sz w:val="20"/>
                      <w:szCs w:val="20"/>
                    </w:rPr>
                  </w:pPr>
                  <w:r>
                    <w:rPr>
                      <w:spacing w:val="9"/>
                      <w:sz w:val="20"/>
                      <w:szCs w:val="20"/>
                    </w:rPr>
                    <w:t>合</w:t>
                  </w:r>
                  <w:r>
                    <w:rPr>
                      <w:rFonts w:ascii="Times New Roman" w:hAnsi="Times New Roman" w:eastAsia="Times New Roman" w:cs="Times New Roman"/>
                      <w:sz w:val="20"/>
                      <w:szCs w:val="20"/>
                    </w:rPr>
                    <w:t>HJ</w:t>
                  </w:r>
                  <w:r>
                    <w:rPr>
                      <w:rFonts w:ascii="Times New Roman" w:hAnsi="Times New Roman" w:eastAsia="Times New Roman" w:cs="Times New Roman"/>
                      <w:spacing w:val="9"/>
                      <w:sz w:val="20"/>
                      <w:szCs w:val="20"/>
                    </w:rPr>
                    <w:t>348</w:t>
                  </w:r>
                  <w:r>
                    <w:rPr>
                      <w:spacing w:val="9"/>
                      <w:sz w:val="20"/>
                      <w:szCs w:val="20"/>
                    </w:rPr>
                    <w:t>的企业建设环境保护要求</w:t>
                  </w:r>
                </w:p>
              </w:tc>
              <w:tc>
                <w:tcPr>
                  <w:tcW w:w="3466" w:type="dxa"/>
                  <w:vAlign w:val="top"/>
                </w:tcPr>
                <w:p w14:paraId="29E6A73E">
                  <w:pPr>
                    <w:pStyle w:val="6"/>
                    <w:spacing w:before="252" w:line="280" w:lineRule="auto"/>
                    <w:ind w:left="478" w:right="157" w:hanging="315"/>
                    <w:rPr>
                      <w:sz w:val="20"/>
                      <w:szCs w:val="20"/>
                    </w:rPr>
                  </w:pPr>
                  <w:r>
                    <w:rPr>
                      <w:spacing w:val="9"/>
                      <w:sz w:val="20"/>
                      <w:szCs w:val="20"/>
                    </w:rPr>
                    <w:t>本项目租用兴海肉业有限公司的空</w:t>
                  </w:r>
                  <w:r>
                    <w:rPr>
                      <w:spacing w:val="3"/>
                      <w:sz w:val="20"/>
                      <w:szCs w:val="20"/>
                    </w:rPr>
                    <w:t xml:space="preserve"> </w:t>
                  </w:r>
                  <w:r>
                    <w:rPr>
                      <w:spacing w:val="8"/>
                      <w:sz w:val="20"/>
                      <w:szCs w:val="20"/>
                    </w:rPr>
                    <w:t>地，用地性质为工业用地。</w:t>
                  </w:r>
                </w:p>
              </w:tc>
              <w:tc>
                <w:tcPr>
                  <w:tcW w:w="863" w:type="dxa"/>
                  <w:tcBorders>
                    <w:right w:val="nil"/>
                  </w:tcBorders>
                  <w:vAlign w:val="top"/>
                </w:tcPr>
                <w:p w14:paraId="00E0CE38">
                  <w:pPr>
                    <w:spacing w:line="342" w:lineRule="auto"/>
                    <w:rPr>
                      <w:rFonts w:ascii="Arial"/>
                      <w:sz w:val="21"/>
                    </w:rPr>
                  </w:pPr>
                </w:p>
                <w:p w14:paraId="35040634">
                  <w:pPr>
                    <w:pStyle w:val="6"/>
                    <w:spacing w:before="65" w:line="228" w:lineRule="auto"/>
                    <w:ind w:left="228"/>
                    <w:rPr>
                      <w:sz w:val="20"/>
                      <w:szCs w:val="20"/>
                    </w:rPr>
                  </w:pPr>
                  <w:r>
                    <w:rPr>
                      <w:spacing w:val="3"/>
                      <w:sz w:val="20"/>
                      <w:szCs w:val="20"/>
                    </w:rPr>
                    <w:t>符合</w:t>
                  </w:r>
                </w:p>
              </w:tc>
            </w:tr>
            <w:tr w14:paraId="3667CD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56" w:hRule="atLeast"/>
              </w:trPr>
              <w:tc>
                <w:tcPr>
                  <w:tcW w:w="3893" w:type="dxa"/>
                  <w:tcBorders>
                    <w:left w:val="nil"/>
                    <w:bottom w:val="single" w:color="000000" w:sz="10" w:space="0"/>
                  </w:tcBorders>
                  <w:vAlign w:val="top"/>
                </w:tcPr>
                <w:p w14:paraId="71CFF149">
                  <w:pPr>
                    <w:spacing w:line="260" w:lineRule="auto"/>
                    <w:rPr>
                      <w:rFonts w:ascii="Arial"/>
                      <w:sz w:val="21"/>
                    </w:rPr>
                  </w:pPr>
                </w:p>
                <w:p w14:paraId="3F0BB3AF">
                  <w:pPr>
                    <w:spacing w:line="260" w:lineRule="auto"/>
                    <w:rPr>
                      <w:rFonts w:ascii="Arial"/>
                      <w:sz w:val="21"/>
                    </w:rPr>
                  </w:pPr>
                </w:p>
                <w:p w14:paraId="22474819">
                  <w:pPr>
                    <w:spacing w:line="260" w:lineRule="auto"/>
                    <w:rPr>
                      <w:rFonts w:ascii="Arial"/>
                      <w:sz w:val="21"/>
                    </w:rPr>
                  </w:pPr>
                </w:p>
                <w:p w14:paraId="4D8D236F">
                  <w:pPr>
                    <w:spacing w:line="260" w:lineRule="auto"/>
                    <w:rPr>
                      <w:rFonts w:ascii="Arial"/>
                      <w:sz w:val="21"/>
                    </w:rPr>
                  </w:pPr>
                </w:p>
                <w:p w14:paraId="14B4E376">
                  <w:pPr>
                    <w:spacing w:line="260" w:lineRule="auto"/>
                    <w:rPr>
                      <w:rFonts w:ascii="Arial"/>
                      <w:sz w:val="21"/>
                    </w:rPr>
                  </w:pPr>
                </w:p>
                <w:p w14:paraId="47608CAC">
                  <w:pPr>
                    <w:pStyle w:val="6"/>
                    <w:spacing w:before="65" w:line="228" w:lineRule="auto"/>
                    <w:ind w:left="110"/>
                    <w:rPr>
                      <w:sz w:val="20"/>
                      <w:szCs w:val="20"/>
                    </w:rPr>
                  </w:pPr>
                  <w:r>
                    <w:rPr>
                      <w:rFonts w:ascii="Times New Roman" w:hAnsi="Times New Roman" w:eastAsia="Times New Roman" w:cs="Times New Roman"/>
                      <w:spacing w:val="3"/>
                      <w:sz w:val="20"/>
                      <w:szCs w:val="20"/>
                    </w:rPr>
                    <w:t>4.2.4</w:t>
                  </w:r>
                  <w:r>
                    <w:rPr>
                      <w:spacing w:val="3"/>
                      <w:sz w:val="20"/>
                      <w:szCs w:val="20"/>
                    </w:rPr>
                    <w:t>企业场地应具备拆解场地、贮存场地</w:t>
                  </w:r>
                </w:p>
                <w:p w14:paraId="1D4DD062">
                  <w:pPr>
                    <w:pStyle w:val="6"/>
                    <w:spacing w:before="72" w:line="280" w:lineRule="auto"/>
                    <w:ind w:left="179" w:right="106" w:hanging="64"/>
                    <w:rPr>
                      <w:sz w:val="20"/>
                      <w:szCs w:val="20"/>
                    </w:rPr>
                  </w:pPr>
                  <w:r>
                    <w:rPr>
                      <w:spacing w:val="3"/>
                      <w:sz w:val="20"/>
                      <w:szCs w:val="20"/>
                    </w:rPr>
                    <w:t>和办公场地。其中，拆解场地和贮存场地</w:t>
                  </w:r>
                  <w:r>
                    <w:rPr>
                      <w:spacing w:val="12"/>
                      <w:sz w:val="20"/>
                      <w:szCs w:val="20"/>
                    </w:rPr>
                    <w:t xml:space="preserve"> </w:t>
                  </w:r>
                  <w:r>
                    <w:rPr>
                      <w:spacing w:val="8"/>
                      <w:sz w:val="20"/>
                      <w:szCs w:val="20"/>
                    </w:rPr>
                    <w:t>（包括临时贮存）的地面应硬化并防渗</w:t>
                  </w:r>
                </w:p>
                <w:p w14:paraId="122788B5">
                  <w:pPr>
                    <w:pStyle w:val="6"/>
                    <w:spacing w:before="33" w:line="228" w:lineRule="auto"/>
                    <w:ind w:left="285"/>
                    <w:rPr>
                      <w:sz w:val="20"/>
                      <w:szCs w:val="20"/>
                    </w:rPr>
                  </w:pPr>
                  <w:r>
                    <w:rPr>
                      <w:spacing w:val="8"/>
                      <w:sz w:val="20"/>
                      <w:szCs w:val="20"/>
                    </w:rPr>
                    <w:t>漏，满足</w:t>
                  </w:r>
                  <w:r>
                    <w:rPr>
                      <w:rFonts w:ascii="Times New Roman" w:hAnsi="Times New Roman" w:eastAsia="Times New Roman" w:cs="Times New Roman"/>
                      <w:sz w:val="20"/>
                      <w:szCs w:val="20"/>
                    </w:rPr>
                    <w:t>GB</w:t>
                  </w:r>
                  <w:r>
                    <w:rPr>
                      <w:rFonts w:ascii="Times New Roman" w:hAnsi="Times New Roman" w:eastAsia="Times New Roman" w:cs="Times New Roman"/>
                      <w:spacing w:val="8"/>
                      <w:sz w:val="20"/>
                      <w:szCs w:val="20"/>
                    </w:rPr>
                    <w:t>50037</w:t>
                  </w:r>
                  <w:r>
                    <w:rPr>
                      <w:spacing w:val="8"/>
                      <w:sz w:val="20"/>
                      <w:szCs w:val="20"/>
                    </w:rPr>
                    <w:t>的防油渗地面要求</w:t>
                  </w:r>
                </w:p>
              </w:tc>
              <w:tc>
                <w:tcPr>
                  <w:tcW w:w="3466" w:type="dxa"/>
                  <w:tcBorders>
                    <w:bottom w:val="single" w:color="000000" w:sz="10" w:space="0"/>
                  </w:tcBorders>
                  <w:vAlign w:val="top"/>
                </w:tcPr>
                <w:p w14:paraId="3622A5CD">
                  <w:pPr>
                    <w:pStyle w:val="6"/>
                    <w:spacing w:before="91" w:line="290" w:lineRule="auto"/>
                    <w:ind w:left="115" w:right="205" w:firstLine="2"/>
                    <w:jc w:val="both"/>
                    <w:rPr>
                      <w:sz w:val="20"/>
                      <w:szCs w:val="20"/>
                    </w:rPr>
                  </w:pPr>
                  <w:r>
                    <w:rPr>
                      <w:spacing w:val="9"/>
                      <w:sz w:val="20"/>
                      <w:szCs w:val="20"/>
                    </w:rPr>
                    <w:t>项目危险废物贮存库、拆解区为重</w:t>
                  </w:r>
                  <w:r>
                    <w:rPr>
                      <w:spacing w:val="1"/>
                      <w:sz w:val="20"/>
                      <w:szCs w:val="20"/>
                    </w:rPr>
                    <w:t xml:space="preserve"> </w:t>
                  </w:r>
                  <w:r>
                    <w:rPr>
                      <w:spacing w:val="9"/>
                      <w:sz w:val="20"/>
                      <w:szCs w:val="20"/>
                    </w:rPr>
                    <w:t>点污染防渗区，防渗性能不应低于</w:t>
                  </w:r>
                  <w:r>
                    <w:rPr>
                      <w:spacing w:val="3"/>
                      <w:sz w:val="20"/>
                      <w:szCs w:val="20"/>
                    </w:rPr>
                    <w:t xml:space="preserve"> </w:t>
                  </w:r>
                  <w:r>
                    <w:rPr>
                      <w:rFonts w:ascii="Times New Roman" w:hAnsi="Times New Roman" w:eastAsia="Times New Roman" w:cs="Times New Roman"/>
                      <w:spacing w:val="6"/>
                      <w:sz w:val="20"/>
                      <w:szCs w:val="20"/>
                    </w:rPr>
                    <w:t>6.0m</w:t>
                  </w:r>
                  <w:r>
                    <w:rPr>
                      <w:spacing w:val="6"/>
                      <w:sz w:val="20"/>
                      <w:szCs w:val="20"/>
                    </w:rPr>
                    <w:t>厚渗透系数为</w:t>
                  </w:r>
                  <w:r>
                    <w:rPr>
                      <w:rFonts w:ascii="Times New Roman" w:hAnsi="Times New Roman" w:eastAsia="Times New Roman" w:cs="Times New Roman"/>
                      <w:spacing w:val="6"/>
                      <w:sz w:val="20"/>
                      <w:szCs w:val="20"/>
                    </w:rPr>
                    <w:t>1.0</w:t>
                  </w:r>
                  <w:r>
                    <w:rPr>
                      <w:spacing w:val="6"/>
                      <w:sz w:val="20"/>
                      <w:szCs w:val="20"/>
                    </w:rPr>
                    <w:t>×</w:t>
                  </w:r>
                  <w:r>
                    <w:rPr>
                      <w:rFonts w:ascii="Times New Roman" w:hAnsi="Times New Roman" w:eastAsia="Times New Roman" w:cs="Times New Roman"/>
                      <w:spacing w:val="6"/>
                      <w:sz w:val="20"/>
                      <w:szCs w:val="20"/>
                    </w:rPr>
                    <w:t>10</w:t>
                  </w:r>
                  <w:r>
                    <w:rPr>
                      <w:rFonts w:ascii="Times New Roman" w:hAnsi="Times New Roman" w:eastAsia="Times New Roman" w:cs="Times New Roman"/>
                      <w:spacing w:val="6"/>
                      <w:position w:val="6"/>
                      <w:sz w:val="13"/>
                      <w:szCs w:val="13"/>
                    </w:rPr>
                    <w:t>-7</w:t>
                  </w:r>
                  <w:r>
                    <w:rPr>
                      <w:rFonts w:ascii="Times New Roman" w:hAnsi="Times New Roman" w:eastAsia="Times New Roman" w:cs="Times New Roman"/>
                      <w:sz w:val="20"/>
                      <w:szCs w:val="20"/>
                    </w:rPr>
                    <w:t>cm</w:t>
                  </w:r>
                  <w:r>
                    <w:rPr>
                      <w:rFonts w:ascii="Times New Roman" w:hAnsi="Times New Roman" w:eastAsia="Times New Roman" w:cs="Times New Roman"/>
                      <w:spacing w:val="6"/>
                      <w:sz w:val="20"/>
                      <w:szCs w:val="20"/>
                    </w:rPr>
                    <w:t>/s</w:t>
                  </w:r>
                  <w:r>
                    <w:rPr>
                      <w:spacing w:val="6"/>
                      <w:sz w:val="20"/>
                      <w:szCs w:val="20"/>
                    </w:rPr>
                    <w:t>的</w:t>
                  </w:r>
                  <w:r>
                    <w:rPr>
                      <w:spacing w:val="9"/>
                      <w:sz w:val="20"/>
                      <w:szCs w:val="20"/>
                    </w:rPr>
                    <w:t xml:space="preserve"> 黏土层的防渗性能，混凝土采用防</w:t>
                  </w:r>
                  <w:r>
                    <w:rPr>
                      <w:spacing w:val="3"/>
                      <w:sz w:val="20"/>
                      <w:szCs w:val="20"/>
                    </w:rPr>
                    <w:t xml:space="preserve"> </w:t>
                  </w:r>
                  <w:r>
                    <w:rPr>
                      <w:spacing w:val="7"/>
                      <w:sz w:val="20"/>
                      <w:szCs w:val="20"/>
                    </w:rPr>
                    <w:t>油渗混凝土面层。</w:t>
                  </w:r>
                </w:p>
                <w:p w14:paraId="6B944EE2">
                  <w:pPr>
                    <w:pStyle w:val="6"/>
                    <w:spacing w:before="30" w:line="227" w:lineRule="auto"/>
                    <w:ind w:left="160"/>
                    <w:rPr>
                      <w:sz w:val="20"/>
                      <w:szCs w:val="20"/>
                    </w:rPr>
                  </w:pPr>
                  <w:r>
                    <w:rPr>
                      <w:spacing w:val="9"/>
                      <w:sz w:val="20"/>
                      <w:szCs w:val="20"/>
                    </w:rPr>
                    <w:t>报废农机暂存区、拆解后物料存储</w:t>
                  </w:r>
                </w:p>
                <w:p w14:paraId="70A6B8F7">
                  <w:pPr>
                    <w:pStyle w:val="6"/>
                    <w:spacing w:before="73" w:line="227" w:lineRule="auto"/>
                    <w:ind w:left="178"/>
                    <w:rPr>
                      <w:sz w:val="20"/>
                      <w:szCs w:val="20"/>
                    </w:rPr>
                  </w:pPr>
                  <w:r>
                    <w:rPr>
                      <w:spacing w:val="8"/>
                      <w:sz w:val="20"/>
                      <w:szCs w:val="20"/>
                    </w:rPr>
                    <w:t>区作为一般防渗区，采用防渗混凝</w:t>
                  </w:r>
                </w:p>
                <w:p w14:paraId="25480E38">
                  <w:pPr>
                    <w:pStyle w:val="6"/>
                    <w:spacing w:before="75" w:line="227" w:lineRule="auto"/>
                    <w:ind w:left="115"/>
                    <w:rPr>
                      <w:sz w:val="20"/>
                      <w:szCs w:val="20"/>
                    </w:rPr>
                  </w:pPr>
                  <w:r>
                    <w:rPr>
                      <w:spacing w:val="8"/>
                      <w:sz w:val="20"/>
                      <w:szCs w:val="20"/>
                    </w:rPr>
                    <w:t>土或</w:t>
                  </w:r>
                  <w:r>
                    <w:rPr>
                      <w:rFonts w:ascii="Times New Roman" w:hAnsi="Times New Roman" w:eastAsia="Times New Roman" w:cs="Times New Roman"/>
                      <w:sz w:val="20"/>
                      <w:szCs w:val="20"/>
                    </w:rPr>
                    <w:t>HDPE</w:t>
                  </w:r>
                  <w:r>
                    <w:rPr>
                      <w:spacing w:val="8"/>
                      <w:sz w:val="20"/>
                      <w:szCs w:val="20"/>
                    </w:rPr>
                    <w:t>膜进行防渗，混凝土采用</w:t>
                  </w:r>
                </w:p>
                <w:p w14:paraId="242C928B">
                  <w:pPr>
                    <w:pStyle w:val="6"/>
                    <w:spacing w:before="72" w:line="228" w:lineRule="auto"/>
                    <w:ind w:left="175"/>
                    <w:rPr>
                      <w:sz w:val="20"/>
                      <w:szCs w:val="20"/>
                    </w:rPr>
                  </w:pPr>
                  <w:r>
                    <w:rPr>
                      <w:spacing w:val="8"/>
                      <w:sz w:val="20"/>
                      <w:szCs w:val="20"/>
                    </w:rPr>
                    <w:t>防油渗混凝土面层，其防渗技术要</w:t>
                  </w:r>
                </w:p>
                <w:p w14:paraId="3FFC76C9">
                  <w:pPr>
                    <w:pStyle w:val="6"/>
                    <w:spacing w:before="72" w:line="228" w:lineRule="auto"/>
                    <w:ind w:left="334"/>
                    <w:rPr>
                      <w:sz w:val="20"/>
                      <w:szCs w:val="20"/>
                    </w:rPr>
                  </w:pPr>
                  <w:r>
                    <w:rPr>
                      <w:spacing w:val="10"/>
                      <w:sz w:val="20"/>
                      <w:szCs w:val="20"/>
                    </w:rPr>
                    <w:t>求可满足等效黏土防渗层</w:t>
                  </w:r>
                  <w:r>
                    <w:rPr>
                      <w:rFonts w:ascii="Times New Roman" w:hAnsi="Times New Roman" w:eastAsia="Times New Roman" w:cs="Times New Roman"/>
                      <w:sz w:val="20"/>
                      <w:szCs w:val="20"/>
                    </w:rPr>
                    <w:t>Mb</w:t>
                  </w:r>
                  <w:r>
                    <w:rPr>
                      <w:spacing w:val="10"/>
                      <w:sz w:val="20"/>
                      <w:szCs w:val="20"/>
                    </w:rPr>
                    <w:t>≥</w:t>
                  </w:r>
                </w:p>
                <w:p w14:paraId="5CD24BC5">
                  <w:pPr>
                    <w:pStyle w:val="6"/>
                    <w:spacing w:before="74" w:line="228" w:lineRule="auto"/>
                    <w:ind w:left="130"/>
                    <w:rPr>
                      <w:sz w:val="20"/>
                      <w:szCs w:val="20"/>
                    </w:rPr>
                  </w:pPr>
                  <w:r>
                    <w:rPr>
                      <w:rFonts w:ascii="Times New Roman" w:hAnsi="Times New Roman" w:eastAsia="Times New Roman" w:cs="Times New Roman"/>
                      <w:spacing w:val="4"/>
                      <w:sz w:val="20"/>
                      <w:szCs w:val="20"/>
                    </w:rPr>
                    <w:t>1.5m</w:t>
                  </w:r>
                  <w:r>
                    <w:rPr>
                      <w:spacing w:val="4"/>
                      <w:sz w:val="20"/>
                      <w:szCs w:val="20"/>
                    </w:rPr>
                    <w:t>，</w:t>
                  </w:r>
                  <w:r>
                    <w:rPr>
                      <w:rFonts w:ascii="Times New Roman" w:hAnsi="Times New Roman" w:eastAsia="Times New Roman" w:cs="Times New Roman"/>
                      <w:spacing w:val="4"/>
                      <w:sz w:val="20"/>
                      <w:szCs w:val="20"/>
                    </w:rPr>
                    <w:t>K</w:t>
                  </w:r>
                  <w:r>
                    <w:rPr>
                      <w:spacing w:val="4"/>
                      <w:sz w:val="20"/>
                      <w:szCs w:val="20"/>
                    </w:rPr>
                    <w:t>≤</w:t>
                  </w:r>
                  <w:r>
                    <w:rPr>
                      <w:rFonts w:ascii="Times New Roman" w:hAnsi="Times New Roman" w:eastAsia="Times New Roman" w:cs="Times New Roman"/>
                      <w:spacing w:val="4"/>
                      <w:sz w:val="20"/>
                      <w:szCs w:val="20"/>
                    </w:rPr>
                    <w:t>1</w:t>
                  </w:r>
                  <w:r>
                    <w:rPr>
                      <w:spacing w:val="4"/>
                      <w:sz w:val="20"/>
                      <w:szCs w:val="20"/>
                    </w:rPr>
                    <w:t>×</w:t>
                  </w:r>
                  <w:r>
                    <w:rPr>
                      <w:rFonts w:ascii="Times New Roman" w:hAnsi="Times New Roman" w:eastAsia="Times New Roman" w:cs="Times New Roman"/>
                      <w:spacing w:val="4"/>
                      <w:sz w:val="20"/>
                      <w:szCs w:val="20"/>
                    </w:rPr>
                    <w:t>10</w:t>
                  </w:r>
                  <w:r>
                    <w:rPr>
                      <w:rFonts w:ascii="Times New Roman" w:hAnsi="Times New Roman" w:eastAsia="Times New Roman" w:cs="Times New Roman"/>
                      <w:spacing w:val="4"/>
                      <w:position w:val="6"/>
                      <w:sz w:val="13"/>
                      <w:szCs w:val="13"/>
                    </w:rPr>
                    <w:t>-7</w:t>
                  </w:r>
                  <w:r>
                    <w:rPr>
                      <w:rFonts w:ascii="Times New Roman" w:hAnsi="Times New Roman" w:eastAsia="Times New Roman" w:cs="Times New Roman"/>
                      <w:sz w:val="20"/>
                      <w:szCs w:val="20"/>
                    </w:rPr>
                    <w:t>cm</w:t>
                  </w:r>
                  <w:r>
                    <w:rPr>
                      <w:rFonts w:ascii="Times New Roman" w:hAnsi="Times New Roman" w:eastAsia="Times New Roman" w:cs="Times New Roman"/>
                      <w:spacing w:val="4"/>
                      <w:sz w:val="20"/>
                      <w:szCs w:val="20"/>
                    </w:rPr>
                    <w:t>/s</w:t>
                  </w:r>
                  <w:r>
                    <w:rPr>
                      <w:spacing w:val="4"/>
                      <w:sz w:val="20"/>
                      <w:szCs w:val="20"/>
                    </w:rPr>
                    <w:t>的要求。满足</w:t>
                  </w:r>
                </w:p>
                <w:p w14:paraId="3F80C035">
                  <w:pPr>
                    <w:pStyle w:val="6"/>
                    <w:spacing w:before="73" w:line="216" w:lineRule="auto"/>
                    <w:ind w:left="488"/>
                    <w:rPr>
                      <w:sz w:val="20"/>
                      <w:szCs w:val="20"/>
                    </w:rPr>
                  </w:pP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50037</w:t>
                  </w:r>
                  <w:r>
                    <w:rPr>
                      <w:spacing w:val="7"/>
                      <w:sz w:val="20"/>
                      <w:szCs w:val="20"/>
                    </w:rPr>
                    <w:t>的防渗地面要求。</w:t>
                  </w:r>
                </w:p>
              </w:tc>
              <w:tc>
                <w:tcPr>
                  <w:tcW w:w="863" w:type="dxa"/>
                  <w:tcBorders>
                    <w:bottom w:val="single" w:color="000000" w:sz="10" w:space="0"/>
                    <w:right w:val="nil"/>
                  </w:tcBorders>
                  <w:vAlign w:val="top"/>
                </w:tcPr>
                <w:p w14:paraId="66491A71">
                  <w:pPr>
                    <w:spacing w:line="253" w:lineRule="auto"/>
                    <w:rPr>
                      <w:rFonts w:ascii="Arial"/>
                      <w:sz w:val="21"/>
                    </w:rPr>
                  </w:pPr>
                </w:p>
                <w:p w14:paraId="6A58CC8E">
                  <w:pPr>
                    <w:spacing w:line="254" w:lineRule="auto"/>
                    <w:rPr>
                      <w:rFonts w:ascii="Arial"/>
                      <w:sz w:val="21"/>
                    </w:rPr>
                  </w:pPr>
                </w:p>
                <w:p w14:paraId="643B07A2">
                  <w:pPr>
                    <w:spacing w:line="254" w:lineRule="auto"/>
                    <w:rPr>
                      <w:rFonts w:ascii="Arial"/>
                      <w:sz w:val="21"/>
                    </w:rPr>
                  </w:pPr>
                </w:p>
                <w:p w14:paraId="1C0CF7F9">
                  <w:pPr>
                    <w:spacing w:line="254" w:lineRule="auto"/>
                    <w:rPr>
                      <w:rFonts w:ascii="Arial"/>
                      <w:sz w:val="21"/>
                    </w:rPr>
                  </w:pPr>
                </w:p>
                <w:p w14:paraId="67D206EB">
                  <w:pPr>
                    <w:spacing w:line="254" w:lineRule="auto"/>
                    <w:rPr>
                      <w:rFonts w:ascii="Arial"/>
                      <w:sz w:val="21"/>
                    </w:rPr>
                  </w:pPr>
                </w:p>
                <w:p w14:paraId="34231F67">
                  <w:pPr>
                    <w:spacing w:line="254" w:lineRule="auto"/>
                    <w:rPr>
                      <w:rFonts w:ascii="Arial"/>
                      <w:sz w:val="21"/>
                    </w:rPr>
                  </w:pPr>
                </w:p>
                <w:p w14:paraId="3CB54DEA">
                  <w:pPr>
                    <w:spacing w:line="254" w:lineRule="auto"/>
                    <w:rPr>
                      <w:rFonts w:ascii="Arial"/>
                      <w:sz w:val="21"/>
                    </w:rPr>
                  </w:pPr>
                </w:p>
                <w:p w14:paraId="376E9123">
                  <w:pPr>
                    <w:pStyle w:val="6"/>
                    <w:spacing w:before="65" w:line="228" w:lineRule="auto"/>
                    <w:ind w:left="228"/>
                    <w:rPr>
                      <w:sz w:val="20"/>
                      <w:szCs w:val="20"/>
                    </w:rPr>
                  </w:pPr>
                  <w:r>
                    <w:rPr>
                      <w:spacing w:val="3"/>
                      <w:sz w:val="20"/>
                      <w:szCs w:val="20"/>
                    </w:rPr>
                    <w:t>符合</w:t>
                  </w:r>
                </w:p>
              </w:tc>
            </w:tr>
          </w:tbl>
          <w:p w14:paraId="1793810E">
            <w:pPr>
              <w:spacing w:line="14" w:lineRule="auto"/>
              <w:rPr>
                <w:rFonts w:ascii="Arial"/>
                <w:sz w:val="2"/>
              </w:rPr>
            </w:pPr>
          </w:p>
        </w:tc>
      </w:tr>
    </w:tbl>
    <w:p w14:paraId="3014509D">
      <w:pPr>
        <w:pStyle w:val="2"/>
        <w:spacing w:line="160" w:lineRule="exact"/>
        <w:rPr>
          <w:sz w:val="13"/>
        </w:rPr>
      </w:pPr>
    </w:p>
    <w:p w14:paraId="6C136556">
      <w:pPr>
        <w:spacing w:line="160" w:lineRule="exact"/>
        <w:rPr>
          <w:sz w:val="13"/>
          <w:szCs w:val="13"/>
        </w:rPr>
        <w:sectPr>
          <w:footerReference r:id="rId26"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3990"/>
        <w:gridCol w:w="3456"/>
        <w:gridCol w:w="982"/>
      </w:tblGrid>
      <w:tr w14:paraId="3C8321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 w:hRule="atLeast"/>
        </w:trPr>
        <w:tc>
          <w:tcPr>
            <w:tcW w:w="494" w:type="dxa"/>
            <w:vMerge w:val="restart"/>
            <w:tcBorders>
              <w:top w:val="single" w:color="000000" w:sz="10" w:space="0"/>
              <w:left w:val="single" w:color="000000" w:sz="10" w:space="0"/>
              <w:bottom w:val="nil"/>
            </w:tcBorders>
            <w:vAlign w:val="top"/>
          </w:tcPr>
          <w:p w14:paraId="715C6DFE">
            <w:pPr>
              <w:rPr>
                <w:rFonts w:ascii="Arial"/>
                <w:sz w:val="21"/>
              </w:rPr>
            </w:pPr>
            <w:r>
              <w:pict>
                <v:shape id="_x0000_s1033" o:spid="_x0000_s1033" style="position:absolute;left:0pt;margin-left:104.1pt;margin-top:756.9pt;height:1.45pt;width:411.15pt;mso-position-horizontal-relative:page;mso-position-vertical-relative:page;z-index:251667456;mso-width-relative:page;mso-height-relative:page;" filled="f" stroked="t" coordsize="8222,29" o:allowincell="f" path="m0,14l8222,14e">
                  <v:fill on="f" focussize="0,0"/>
                  <v:stroke weight="1.44pt" color="#000000" miterlimit="2" joinstyle="bevel"/>
                  <v:imagedata o:title=""/>
                  <o:lock v:ext="edit"/>
                </v:shape>
              </w:pict>
            </w:r>
          </w:p>
        </w:tc>
        <w:tc>
          <w:tcPr>
            <w:tcW w:w="3990" w:type="dxa"/>
            <w:tcBorders>
              <w:top w:val="single" w:color="000000" w:sz="10" w:space="0"/>
            </w:tcBorders>
            <w:vAlign w:val="top"/>
          </w:tcPr>
          <w:p w14:paraId="62C1B2FF">
            <w:pPr>
              <w:pStyle w:val="6"/>
              <w:spacing w:before="90" w:line="259" w:lineRule="auto"/>
              <w:ind w:left="208" w:right="106" w:hanging="2"/>
              <w:rPr>
                <w:sz w:val="20"/>
                <w:szCs w:val="20"/>
              </w:rPr>
            </w:pPr>
            <w:r>
              <w:rPr>
                <w:rFonts w:ascii="Calibri" w:hAnsi="Calibri" w:eastAsia="Calibri" w:cs="Calibri"/>
                <w:spacing w:val="9"/>
              </w:rPr>
              <w:t>4.2.5</w:t>
            </w:r>
            <w:r>
              <w:rPr>
                <w:spacing w:val="9"/>
                <w:sz w:val="20"/>
                <w:szCs w:val="20"/>
              </w:rPr>
              <w:t>拆解场地应为封闭或半封闭车间，</w:t>
            </w:r>
            <w:r>
              <w:rPr>
                <w:spacing w:val="4"/>
                <w:sz w:val="20"/>
                <w:szCs w:val="20"/>
              </w:rPr>
              <w:t xml:space="preserve"> </w:t>
            </w:r>
            <w:r>
              <w:rPr>
                <w:spacing w:val="3"/>
                <w:sz w:val="20"/>
                <w:szCs w:val="20"/>
              </w:rPr>
              <w:t>应通风、光线良好，安全环保设施设备齐</w:t>
            </w:r>
            <w:r>
              <w:rPr>
                <w:spacing w:val="13"/>
                <w:sz w:val="20"/>
                <w:szCs w:val="20"/>
              </w:rPr>
              <w:t xml:space="preserve"> </w:t>
            </w:r>
            <w:r>
              <w:rPr>
                <w:sz w:val="20"/>
                <w:szCs w:val="20"/>
              </w:rPr>
              <w:t>全。</w:t>
            </w:r>
          </w:p>
        </w:tc>
        <w:tc>
          <w:tcPr>
            <w:tcW w:w="3456" w:type="dxa"/>
            <w:tcBorders>
              <w:top w:val="single" w:color="000000" w:sz="10" w:space="0"/>
            </w:tcBorders>
            <w:vAlign w:val="top"/>
          </w:tcPr>
          <w:p w14:paraId="29530248">
            <w:pPr>
              <w:pStyle w:val="6"/>
              <w:spacing w:before="252" w:line="280" w:lineRule="auto"/>
              <w:ind w:left="114" w:right="94"/>
              <w:rPr>
                <w:sz w:val="20"/>
                <w:szCs w:val="20"/>
              </w:rPr>
            </w:pPr>
            <w:r>
              <w:rPr>
                <w:spacing w:val="16"/>
                <w:sz w:val="20"/>
                <w:szCs w:val="20"/>
              </w:rPr>
              <w:t>拆解车间为封闭车间，通风、光线</w:t>
            </w:r>
            <w:r>
              <w:rPr>
                <w:sz w:val="20"/>
                <w:szCs w:val="20"/>
              </w:rPr>
              <w:t xml:space="preserve"> </w:t>
            </w:r>
            <w:r>
              <w:rPr>
                <w:spacing w:val="8"/>
                <w:sz w:val="20"/>
                <w:szCs w:val="20"/>
              </w:rPr>
              <w:t>好，并配备了安全、环保设施。</w:t>
            </w:r>
          </w:p>
        </w:tc>
        <w:tc>
          <w:tcPr>
            <w:tcW w:w="982" w:type="dxa"/>
            <w:tcBorders>
              <w:top w:val="single" w:color="000000" w:sz="10" w:space="0"/>
              <w:right w:val="single" w:color="000000" w:sz="10" w:space="0"/>
            </w:tcBorders>
            <w:vAlign w:val="top"/>
          </w:tcPr>
          <w:p w14:paraId="4C989189">
            <w:pPr>
              <w:spacing w:line="342" w:lineRule="auto"/>
              <w:rPr>
                <w:rFonts w:ascii="Arial"/>
                <w:sz w:val="21"/>
              </w:rPr>
            </w:pPr>
          </w:p>
          <w:p w14:paraId="4A728E58">
            <w:pPr>
              <w:pStyle w:val="6"/>
              <w:spacing w:before="65" w:line="228" w:lineRule="auto"/>
              <w:ind w:left="238"/>
              <w:rPr>
                <w:sz w:val="20"/>
                <w:szCs w:val="20"/>
              </w:rPr>
            </w:pPr>
            <w:r>
              <w:rPr>
                <w:spacing w:val="3"/>
                <w:sz w:val="20"/>
                <w:szCs w:val="20"/>
              </w:rPr>
              <w:t>符合</w:t>
            </w:r>
          </w:p>
        </w:tc>
      </w:tr>
      <w:tr w14:paraId="5B7B7B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1" w:hRule="atLeast"/>
        </w:trPr>
        <w:tc>
          <w:tcPr>
            <w:tcW w:w="494" w:type="dxa"/>
            <w:vMerge w:val="continue"/>
            <w:tcBorders>
              <w:top w:val="nil"/>
              <w:left w:val="single" w:color="000000" w:sz="10" w:space="0"/>
              <w:bottom w:val="nil"/>
            </w:tcBorders>
            <w:vAlign w:val="top"/>
          </w:tcPr>
          <w:p w14:paraId="4639A4DA">
            <w:pPr>
              <w:rPr>
                <w:rFonts w:ascii="Arial"/>
                <w:sz w:val="21"/>
              </w:rPr>
            </w:pPr>
          </w:p>
        </w:tc>
        <w:tc>
          <w:tcPr>
            <w:tcW w:w="3990" w:type="dxa"/>
            <w:vAlign w:val="top"/>
          </w:tcPr>
          <w:p w14:paraId="27AA58C9">
            <w:pPr>
              <w:pStyle w:val="6"/>
              <w:spacing w:before="236" w:line="285" w:lineRule="auto"/>
              <w:ind w:left="207" w:right="106" w:hanging="1"/>
              <w:jc w:val="both"/>
              <w:rPr>
                <w:sz w:val="20"/>
                <w:szCs w:val="20"/>
              </w:rPr>
            </w:pPr>
            <w:r>
              <w:rPr>
                <w:rFonts w:ascii="Calibri" w:hAnsi="Calibri" w:eastAsia="Calibri" w:cs="Calibri"/>
                <w:spacing w:val="9"/>
              </w:rPr>
              <w:t>4.2.6</w:t>
            </w:r>
            <w:r>
              <w:rPr>
                <w:spacing w:val="9"/>
                <w:sz w:val="20"/>
                <w:szCs w:val="20"/>
              </w:rPr>
              <w:t>贮存场地应分为报废机动车贮存场</w:t>
            </w:r>
            <w:r>
              <w:rPr>
                <w:spacing w:val="4"/>
                <w:sz w:val="20"/>
                <w:szCs w:val="20"/>
              </w:rPr>
              <w:t xml:space="preserve"> </w:t>
            </w:r>
            <w:r>
              <w:rPr>
                <w:spacing w:val="13"/>
                <w:sz w:val="20"/>
                <w:szCs w:val="20"/>
              </w:rPr>
              <w:t>地、</w:t>
            </w:r>
            <w:r>
              <w:rPr>
                <w:spacing w:val="-53"/>
                <w:sz w:val="20"/>
                <w:szCs w:val="20"/>
              </w:rPr>
              <w:t xml:space="preserve"> </w:t>
            </w:r>
            <w:r>
              <w:rPr>
                <w:spacing w:val="13"/>
                <w:sz w:val="20"/>
                <w:szCs w:val="20"/>
              </w:rPr>
              <w:t>回用件贮存场地及固体废物贮存场</w:t>
            </w:r>
            <w:r>
              <w:rPr>
                <w:sz w:val="20"/>
                <w:szCs w:val="20"/>
              </w:rPr>
              <w:t xml:space="preserve"> </w:t>
            </w:r>
            <w:r>
              <w:rPr>
                <w:spacing w:val="35"/>
                <w:sz w:val="20"/>
                <w:szCs w:val="20"/>
              </w:rPr>
              <w:t>地</w:t>
            </w:r>
            <w:r>
              <w:rPr>
                <w:spacing w:val="-27"/>
                <w:sz w:val="20"/>
                <w:szCs w:val="20"/>
              </w:rPr>
              <w:t xml:space="preserve"> </w:t>
            </w:r>
            <w:r>
              <w:rPr>
                <w:spacing w:val="35"/>
                <w:sz w:val="20"/>
                <w:szCs w:val="20"/>
              </w:rPr>
              <w:t>。</w:t>
            </w:r>
            <w:r>
              <w:rPr>
                <w:spacing w:val="-30"/>
                <w:sz w:val="20"/>
                <w:szCs w:val="20"/>
              </w:rPr>
              <w:t xml:space="preserve"> </w:t>
            </w:r>
            <w:r>
              <w:rPr>
                <w:spacing w:val="35"/>
                <w:sz w:val="20"/>
                <w:szCs w:val="20"/>
              </w:rPr>
              <w:t>固体废物贮存场地应具有满足</w:t>
            </w:r>
            <w:r>
              <w:rPr>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10"/>
                <w:sz w:val="20"/>
                <w:szCs w:val="20"/>
              </w:rPr>
              <w:t>18599-2020</w:t>
            </w:r>
            <w:r>
              <w:rPr>
                <w:spacing w:val="10"/>
                <w:sz w:val="20"/>
                <w:szCs w:val="20"/>
              </w:rPr>
              <w:t>要求的一般工业固体废物</w:t>
            </w:r>
            <w:r>
              <w:rPr>
                <w:spacing w:val="14"/>
                <w:sz w:val="20"/>
                <w:szCs w:val="20"/>
              </w:rPr>
              <w:t xml:space="preserve"> </w:t>
            </w:r>
            <w:r>
              <w:rPr>
                <w:spacing w:val="10"/>
                <w:sz w:val="20"/>
                <w:szCs w:val="20"/>
              </w:rPr>
              <w:t>贮存设施和满足</w:t>
            </w:r>
            <w:r>
              <w:rPr>
                <w:rFonts w:ascii="Times New Roman" w:hAnsi="Times New Roman" w:eastAsia="Times New Roman" w:cs="Times New Roman"/>
                <w:sz w:val="20"/>
                <w:szCs w:val="20"/>
              </w:rPr>
              <w:t>GB</w:t>
            </w:r>
            <w:r>
              <w:rPr>
                <w:rFonts w:ascii="Times New Roman" w:hAnsi="Times New Roman" w:eastAsia="Times New Roman" w:cs="Times New Roman"/>
                <w:spacing w:val="10"/>
                <w:sz w:val="20"/>
                <w:szCs w:val="20"/>
              </w:rPr>
              <w:t>18597-2023</w:t>
            </w:r>
            <w:r>
              <w:rPr>
                <w:spacing w:val="10"/>
                <w:sz w:val="20"/>
                <w:szCs w:val="20"/>
              </w:rPr>
              <w:t>要求的危</w:t>
            </w:r>
            <w:r>
              <w:rPr>
                <w:spacing w:val="11"/>
                <w:sz w:val="20"/>
                <w:szCs w:val="20"/>
              </w:rPr>
              <w:t xml:space="preserve"> </w:t>
            </w:r>
            <w:r>
              <w:rPr>
                <w:spacing w:val="7"/>
                <w:sz w:val="20"/>
                <w:szCs w:val="20"/>
              </w:rPr>
              <w:t>险废物贮存设施。</w:t>
            </w:r>
          </w:p>
        </w:tc>
        <w:tc>
          <w:tcPr>
            <w:tcW w:w="3456" w:type="dxa"/>
            <w:vAlign w:val="top"/>
          </w:tcPr>
          <w:p w14:paraId="02924273">
            <w:pPr>
              <w:pStyle w:val="6"/>
              <w:spacing w:before="77" w:line="284" w:lineRule="auto"/>
              <w:ind w:left="113" w:right="94" w:firstLine="1"/>
              <w:jc w:val="both"/>
              <w:rPr>
                <w:sz w:val="20"/>
                <w:szCs w:val="20"/>
              </w:rPr>
            </w:pPr>
            <w:r>
              <w:rPr>
                <w:spacing w:val="15"/>
                <w:sz w:val="20"/>
                <w:szCs w:val="20"/>
              </w:rPr>
              <w:t>贮存场地分为报废农机暂存区、拆</w:t>
            </w:r>
            <w:r>
              <w:rPr>
                <w:spacing w:val="12"/>
                <w:sz w:val="20"/>
                <w:szCs w:val="20"/>
              </w:rPr>
              <w:t xml:space="preserve"> </w:t>
            </w:r>
            <w:r>
              <w:rPr>
                <w:spacing w:val="27"/>
                <w:sz w:val="20"/>
                <w:szCs w:val="20"/>
              </w:rPr>
              <w:t>解后物料存储</w:t>
            </w:r>
            <w:r>
              <w:rPr>
                <w:spacing w:val="-39"/>
                <w:sz w:val="20"/>
                <w:szCs w:val="20"/>
              </w:rPr>
              <w:t xml:space="preserve"> </w:t>
            </w:r>
            <w:r>
              <w:rPr>
                <w:spacing w:val="27"/>
                <w:sz w:val="20"/>
                <w:szCs w:val="20"/>
              </w:rPr>
              <w:t>区和危险废物贮存</w:t>
            </w:r>
            <w:r>
              <w:rPr>
                <w:sz w:val="20"/>
                <w:szCs w:val="20"/>
              </w:rPr>
              <w:t xml:space="preserve"> </w:t>
            </w:r>
            <w:r>
              <w:rPr>
                <w:spacing w:val="16"/>
                <w:sz w:val="20"/>
                <w:szCs w:val="20"/>
              </w:rPr>
              <w:t>库。各类危废分区存放，位于车间</w:t>
            </w:r>
            <w:r>
              <w:rPr>
                <w:sz w:val="20"/>
                <w:szCs w:val="20"/>
              </w:rPr>
              <w:t xml:space="preserve"> </w:t>
            </w:r>
            <w:r>
              <w:rPr>
                <w:spacing w:val="16"/>
                <w:sz w:val="20"/>
                <w:szCs w:val="20"/>
              </w:rPr>
              <w:t>内的独立、封闭的区域内，一般工</w:t>
            </w:r>
            <w:r>
              <w:rPr>
                <w:spacing w:val="1"/>
                <w:sz w:val="20"/>
                <w:szCs w:val="20"/>
              </w:rPr>
              <w:t xml:space="preserve"> </w:t>
            </w:r>
            <w:r>
              <w:rPr>
                <w:spacing w:val="16"/>
                <w:sz w:val="20"/>
                <w:szCs w:val="20"/>
              </w:rPr>
              <w:t>业固体废物贮存设施和危险废物贮</w:t>
            </w:r>
            <w:r>
              <w:rPr>
                <w:spacing w:val="1"/>
                <w:sz w:val="20"/>
                <w:szCs w:val="20"/>
              </w:rPr>
              <w:t xml:space="preserve"> </w:t>
            </w:r>
            <w:r>
              <w:rPr>
                <w:spacing w:val="10"/>
                <w:sz w:val="20"/>
                <w:szCs w:val="20"/>
              </w:rPr>
              <w:t>存设施，分别满足</w:t>
            </w:r>
            <w:r>
              <w:rPr>
                <w:rFonts w:ascii="Times New Roman" w:hAnsi="Times New Roman" w:eastAsia="Times New Roman" w:cs="Times New Roman"/>
                <w:sz w:val="20"/>
                <w:szCs w:val="20"/>
              </w:rPr>
              <w:t>GB</w:t>
            </w:r>
            <w:r>
              <w:rPr>
                <w:rFonts w:ascii="Times New Roman" w:hAnsi="Times New Roman" w:eastAsia="Times New Roman" w:cs="Times New Roman"/>
                <w:spacing w:val="10"/>
                <w:sz w:val="20"/>
                <w:szCs w:val="20"/>
              </w:rPr>
              <w:t>18599-2020</w:t>
            </w:r>
            <w:r>
              <w:rPr>
                <w:spacing w:val="10"/>
                <w:sz w:val="20"/>
                <w:szCs w:val="20"/>
              </w:rPr>
              <w:t>和</w:t>
            </w:r>
            <w:r>
              <w:rPr>
                <w:spacing w:val="4"/>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18597-2023</w:t>
            </w:r>
            <w:r>
              <w:rPr>
                <w:spacing w:val="5"/>
                <w:sz w:val="20"/>
                <w:szCs w:val="20"/>
              </w:rPr>
              <w:t>的要求。</w:t>
            </w:r>
          </w:p>
        </w:tc>
        <w:tc>
          <w:tcPr>
            <w:tcW w:w="982" w:type="dxa"/>
            <w:tcBorders>
              <w:right w:val="single" w:color="000000" w:sz="10" w:space="0"/>
            </w:tcBorders>
            <w:vAlign w:val="top"/>
          </w:tcPr>
          <w:p w14:paraId="2287373A">
            <w:pPr>
              <w:spacing w:line="241" w:lineRule="auto"/>
              <w:rPr>
                <w:rFonts w:ascii="Arial"/>
                <w:sz w:val="21"/>
              </w:rPr>
            </w:pPr>
          </w:p>
          <w:p w14:paraId="445C7AEB">
            <w:pPr>
              <w:spacing w:line="241" w:lineRule="auto"/>
              <w:rPr>
                <w:rFonts w:ascii="Arial"/>
                <w:sz w:val="21"/>
              </w:rPr>
            </w:pPr>
          </w:p>
          <w:p w14:paraId="5FDD2A71">
            <w:pPr>
              <w:spacing w:line="242" w:lineRule="auto"/>
              <w:rPr>
                <w:rFonts w:ascii="Arial"/>
                <w:sz w:val="21"/>
              </w:rPr>
            </w:pPr>
          </w:p>
          <w:p w14:paraId="655939DF">
            <w:pPr>
              <w:spacing w:line="242" w:lineRule="auto"/>
              <w:rPr>
                <w:rFonts w:ascii="Arial"/>
                <w:sz w:val="21"/>
              </w:rPr>
            </w:pPr>
          </w:p>
          <w:p w14:paraId="4720B0E9">
            <w:pPr>
              <w:pStyle w:val="6"/>
              <w:spacing w:before="65" w:line="228" w:lineRule="auto"/>
              <w:ind w:left="238"/>
              <w:rPr>
                <w:sz w:val="20"/>
                <w:szCs w:val="20"/>
              </w:rPr>
            </w:pPr>
            <w:r>
              <w:rPr>
                <w:spacing w:val="3"/>
                <w:sz w:val="20"/>
                <w:szCs w:val="20"/>
              </w:rPr>
              <w:t>符合</w:t>
            </w:r>
          </w:p>
        </w:tc>
      </w:tr>
      <w:tr w14:paraId="4A9436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94" w:type="dxa"/>
            <w:vMerge w:val="continue"/>
            <w:tcBorders>
              <w:top w:val="nil"/>
              <w:left w:val="single" w:color="000000" w:sz="10" w:space="0"/>
              <w:bottom w:val="nil"/>
            </w:tcBorders>
            <w:vAlign w:val="top"/>
          </w:tcPr>
          <w:p w14:paraId="13670F4D">
            <w:pPr>
              <w:rPr>
                <w:rFonts w:ascii="Arial"/>
                <w:sz w:val="21"/>
              </w:rPr>
            </w:pPr>
          </w:p>
        </w:tc>
        <w:tc>
          <w:tcPr>
            <w:tcW w:w="3990" w:type="dxa"/>
            <w:vAlign w:val="top"/>
          </w:tcPr>
          <w:p w14:paraId="1819B3C8">
            <w:pPr>
              <w:pStyle w:val="6"/>
              <w:spacing w:before="83" w:line="254" w:lineRule="auto"/>
              <w:ind w:left="1311" w:right="159" w:hanging="1052"/>
              <w:rPr>
                <w:sz w:val="20"/>
                <w:szCs w:val="20"/>
              </w:rPr>
            </w:pPr>
            <w:r>
              <w:rPr>
                <w:rFonts w:ascii="Times New Roman" w:hAnsi="Times New Roman" w:eastAsia="Times New Roman" w:cs="Times New Roman"/>
                <w:spacing w:val="8"/>
                <w:sz w:val="20"/>
                <w:szCs w:val="20"/>
              </w:rPr>
              <w:t>4.2.7</w:t>
            </w:r>
            <w:r>
              <w:rPr>
                <w:spacing w:val="8"/>
                <w:sz w:val="20"/>
                <w:szCs w:val="20"/>
              </w:rPr>
              <w:t>拆解电动汽车的企业还应满足以下</w:t>
            </w:r>
            <w:r>
              <w:rPr>
                <w:spacing w:val="4"/>
                <w:sz w:val="20"/>
                <w:szCs w:val="20"/>
              </w:rPr>
              <w:t xml:space="preserve"> </w:t>
            </w:r>
            <w:r>
              <w:rPr>
                <w:spacing w:val="7"/>
                <w:sz w:val="20"/>
                <w:szCs w:val="20"/>
              </w:rPr>
              <w:t>场地建设要求。</w:t>
            </w:r>
          </w:p>
        </w:tc>
        <w:tc>
          <w:tcPr>
            <w:tcW w:w="3456" w:type="dxa"/>
            <w:vAlign w:val="top"/>
          </w:tcPr>
          <w:p w14:paraId="08873EDA">
            <w:pPr>
              <w:pStyle w:val="6"/>
              <w:spacing w:before="241" w:line="227" w:lineRule="auto"/>
              <w:ind w:left="374"/>
              <w:rPr>
                <w:sz w:val="20"/>
                <w:szCs w:val="20"/>
              </w:rPr>
            </w:pPr>
            <w:r>
              <w:rPr>
                <w:spacing w:val="8"/>
                <w:sz w:val="20"/>
                <w:szCs w:val="20"/>
              </w:rPr>
              <w:t>本项目不进行电动汽车拆解。</w:t>
            </w:r>
          </w:p>
        </w:tc>
        <w:tc>
          <w:tcPr>
            <w:tcW w:w="982" w:type="dxa"/>
            <w:tcBorders>
              <w:right w:val="single" w:color="000000" w:sz="10" w:space="0"/>
            </w:tcBorders>
            <w:vAlign w:val="top"/>
          </w:tcPr>
          <w:p w14:paraId="40F4157B">
            <w:pPr>
              <w:pStyle w:val="6"/>
              <w:spacing w:before="241" w:line="228" w:lineRule="auto"/>
              <w:ind w:left="238"/>
              <w:rPr>
                <w:sz w:val="20"/>
                <w:szCs w:val="20"/>
              </w:rPr>
            </w:pPr>
            <w:r>
              <w:rPr>
                <w:spacing w:val="3"/>
                <w:sz w:val="20"/>
                <w:szCs w:val="20"/>
              </w:rPr>
              <w:t>符合</w:t>
            </w:r>
          </w:p>
        </w:tc>
      </w:tr>
      <w:tr w14:paraId="60682D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0" w:hRule="atLeast"/>
        </w:trPr>
        <w:tc>
          <w:tcPr>
            <w:tcW w:w="494" w:type="dxa"/>
            <w:vMerge w:val="continue"/>
            <w:tcBorders>
              <w:top w:val="nil"/>
              <w:left w:val="single" w:color="000000" w:sz="10" w:space="0"/>
              <w:bottom w:val="nil"/>
            </w:tcBorders>
            <w:vAlign w:val="top"/>
          </w:tcPr>
          <w:p w14:paraId="29617621">
            <w:pPr>
              <w:rPr>
                <w:rFonts w:ascii="Arial"/>
                <w:sz w:val="21"/>
              </w:rPr>
            </w:pPr>
          </w:p>
        </w:tc>
        <w:tc>
          <w:tcPr>
            <w:tcW w:w="3990" w:type="dxa"/>
            <w:vAlign w:val="top"/>
          </w:tcPr>
          <w:p w14:paraId="4DC32D6E">
            <w:pPr>
              <w:spacing w:line="248" w:lineRule="auto"/>
              <w:rPr>
                <w:rFonts w:ascii="Arial"/>
                <w:sz w:val="21"/>
              </w:rPr>
            </w:pPr>
          </w:p>
          <w:p w14:paraId="36D27D08">
            <w:pPr>
              <w:spacing w:line="248" w:lineRule="auto"/>
              <w:rPr>
                <w:rFonts w:ascii="Arial"/>
                <w:sz w:val="21"/>
              </w:rPr>
            </w:pPr>
          </w:p>
          <w:p w14:paraId="4BCCDF87">
            <w:pPr>
              <w:pStyle w:val="6"/>
              <w:spacing w:before="65" w:line="228" w:lineRule="auto"/>
              <w:ind w:left="204"/>
              <w:rPr>
                <w:sz w:val="20"/>
                <w:szCs w:val="20"/>
              </w:rPr>
            </w:pPr>
            <w:r>
              <w:rPr>
                <w:rFonts w:ascii="Times New Roman" w:hAnsi="Times New Roman" w:eastAsia="Times New Roman" w:cs="Times New Roman"/>
                <w:spacing w:val="6"/>
                <w:sz w:val="20"/>
                <w:szCs w:val="20"/>
              </w:rPr>
              <w:t>4.3.</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6"/>
                <w:sz w:val="20"/>
                <w:szCs w:val="20"/>
              </w:rPr>
              <w:t>1</w:t>
            </w:r>
            <w:r>
              <w:rPr>
                <w:spacing w:val="6"/>
                <w:sz w:val="20"/>
                <w:szCs w:val="20"/>
              </w:rPr>
              <w:t>应具备以下一般拆解设施设备：</w:t>
            </w:r>
          </w:p>
          <w:p w14:paraId="61ED9CAE">
            <w:pPr>
              <w:pStyle w:val="6"/>
              <w:spacing w:before="72" w:line="262" w:lineRule="auto"/>
              <w:ind w:left="224" w:right="106" w:hanging="24"/>
              <w:rPr>
                <w:sz w:val="20"/>
                <w:szCs w:val="20"/>
              </w:rPr>
            </w:pPr>
            <w:r>
              <w:rPr>
                <w:rFonts w:ascii="Times New Roman" w:hAnsi="Times New Roman" w:eastAsia="Times New Roman" w:cs="Times New Roman"/>
                <w:spacing w:val="21"/>
                <w:sz w:val="20"/>
                <w:szCs w:val="20"/>
              </w:rPr>
              <w:t xml:space="preserve">b)  </w:t>
            </w:r>
            <w:r>
              <w:rPr>
                <w:spacing w:val="21"/>
                <w:sz w:val="20"/>
                <w:szCs w:val="20"/>
              </w:rPr>
              <w:t>室内或有防雨顶棚的拆解预处理平</w:t>
            </w:r>
            <w:r>
              <w:rPr>
                <w:spacing w:val="10"/>
                <w:sz w:val="20"/>
                <w:szCs w:val="20"/>
              </w:rPr>
              <w:t xml:space="preserve"> </w:t>
            </w:r>
            <w:r>
              <w:rPr>
                <w:spacing w:val="-8"/>
                <w:sz w:val="20"/>
                <w:szCs w:val="20"/>
              </w:rPr>
              <w:t>台；</w:t>
            </w:r>
          </w:p>
          <w:p w14:paraId="105D2CFE">
            <w:pPr>
              <w:pStyle w:val="6"/>
              <w:spacing w:before="72" w:line="261" w:lineRule="auto"/>
              <w:ind w:left="212" w:right="106" w:hanging="4"/>
              <w:rPr>
                <w:sz w:val="20"/>
                <w:szCs w:val="20"/>
              </w:rPr>
            </w:pPr>
            <w:r>
              <w:rPr>
                <w:rFonts w:ascii="Times New Roman" w:hAnsi="Times New Roman" w:eastAsia="Times New Roman" w:cs="Times New Roman"/>
                <w:spacing w:val="10"/>
                <w:sz w:val="20"/>
                <w:szCs w:val="20"/>
              </w:rPr>
              <w:t xml:space="preserve">c)  </w:t>
            </w:r>
            <w:r>
              <w:rPr>
                <w:spacing w:val="10"/>
                <w:sz w:val="20"/>
                <w:szCs w:val="20"/>
              </w:rPr>
              <w:t>车架（车身）剪断、切割设备或压扁</w:t>
            </w:r>
            <w:r>
              <w:rPr>
                <w:spacing w:val="13"/>
                <w:sz w:val="20"/>
                <w:szCs w:val="20"/>
              </w:rPr>
              <w:t xml:space="preserve"> </w:t>
            </w:r>
            <w:r>
              <w:rPr>
                <w:spacing w:val="8"/>
                <w:sz w:val="20"/>
                <w:szCs w:val="20"/>
              </w:rPr>
              <w:t>设备，不得以氧割设备代替；</w:t>
            </w:r>
          </w:p>
        </w:tc>
        <w:tc>
          <w:tcPr>
            <w:tcW w:w="3456" w:type="dxa"/>
            <w:vAlign w:val="top"/>
          </w:tcPr>
          <w:p w14:paraId="0834180B">
            <w:pPr>
              <w:pStyle w:val="6"/>
              <w:spacing w:before="88" w:line="284" w:lineRule="auto"/>
              <w:ind w:left="110" w:right="94" w:firstLine="4"/>
              <w:rPr>
                <w:sz w:val="20"/>
                <w:szCs w:val="20"/>
              </w:rPr>
            </w:pPr>
            <w:r>
              <w:rPr>
                <w:spacing w:val="-6"/>
                <w:sz w:val="20"/>
                <w:szCs w:val="20"/>
              </w:rPr>
              <w:t>本</w:t>
            </w:r>
            <w:r>
              <w:rPr>
                <w:spacing w:val="-44"/>
                <w:sz w:val="20"/>
                <w:szCs w:val="20"/>
              </w:rPr>
              <w:t xml:space="preserve"> </w:t>
            </w:r>
            <w:r>
              <w:rPr>
                <w:spacing w:val="-6"/>
                <w:sz w:val="20"/>
                <w:szCs w:val="20"/>
              </w:rPr>
              <w:t>项 目</w:t>
            </w:r>
            <w:r>
              <w:rPr>
                <w:spacing w:val="-52"/>
                <w:sz w:val="20"/>
                <w:szCs w:val="20"/>
              </w:rPr>
              <w:t xml:space="preserve"> </w:t>
            </w:r>
            <w:r>
              <w:rPr>
                <w:spacing w:val="-6"/>
                <w:sz w:val="20"/>
                <w:szCs w:val="20"/>
              </w:rPr>
              <w:t>为</w:t>
            </w:r>
            <w:r>
              <w:rPr>
                <w:spacing w:val="-52"/>
                <w:sz w:val="20"/>
                <w:szCs w:val="20"/>
              </w:rPr>
              <w:t xml:space="preserve"> </w:t>
            </w:r>
            <w:r>
              <w:rPr>
                <w:spacing w:val="-6"/>
                <w:sz w:val="20"/>
                <w:szCs w:val="20"/>
              </w:rPr>
              <w:t>新</w:t>
            </w:r>
            <w:r>
              <w:rPr>
                <w:spacing w:val="-52"/>
                <w:sz w:val="20"/>
                <w:szCs w:val="20"/>
              </w:rPr>
              <w:t xml:space="preserve"> </w:t>
            </w:r>
            <w:r>
              <w:rPr>
                <w:spacing w:val="-6"/>
                <w:sz w:val="20"/>
                <w:szCs w:val="20"/>
              </w:rPr>
              <w:t>建</w:t>
            </w:r>
            <w:r>
              <w:rPr>
                <w:spacing w:val="-52"/>
                <w:sz w:val="20"/>
                <w:szCs w:val="20"/>
              </w:rPr>
              <w:t xml:space="preserve"> </w:t>
            </w:r>
            <w:r>
              <w:rPr>
                <w:spacing w:val="-6"/>
                <w:sz w:val="20"/>
                <w:szCs w:val="20"/>
              </w:rPr>
              <w:t>项</w:t>
            </w:r>
            <w:r>
              <w:rPr>
                <w:spacing w:val="-14"/>
                <w:sz w:val="20"/>
                <w:szCs w:val="20"/>
              </w:rPr>
              <w:t xml:space="preserve"> </w:t>
            </w:r>
            <w:r>
              <w:rPr>
                <w:spacing w:val="-6"/>
                <w:sz w:val="20"/>
                <w:szCs w:val="20"/>
              </w:rPr>
              <w:t>目</w:t>
            </w:r>
            <w:r>
              <w:rPr>
                <w:spacing w:val="-36"/>
                <w:sz w:val="20"/>
                <w:szCs w:val="20"/>
              </w:rPr>
              <w:t xml:space="preserve"> </w:t>
            </w:r>
            <w:r>
              <w:rPr>
                <w:spacing w:val="-6"/>
                <w:sz w:val="20"/>
                <w:szCs w:val="20"/>
              </w:rPr>
              <w:t>，</w:t>
            </w:r>
            <w:r>
              <w:rPr>
                <w:spacing w:val="-50"/>
                <w:sz w:val="20"/>
                <w:szCs w:val="20"/>
              </w:rPr>
              <w:t xml:space="preserve"> </w:t>
            </w:r>
            <w:r>
              <w:rPr>
                <w:spacing w:val="-6"/>
                <w:sz w:val="20"/>
                <w:szCs w:val="20"/>
              </w:rPr>
              <w:t>拟</w:t>
            </w:r>
            <w:r>
              <w:rPr>
                <w:spacing w:val="-52"/>
                <w:sz w:val="20"/>
                <w:szCs w:val="20"/>
              </w:rPr>
              <w:t xml:space="preserve"> </w:t>
            </w:r>
            <w:r>
              <w:rPr>
                <w:spacing w:val="-6"/>
                <w:sz w:val="20"/>
                <w:szCs w:val="20"/>
              </w:rPr>
              <w:t>按</w:t>
            </w:r>
            <w:r>
              <w:rPr>
                <w:spacing w:val="-47"/>
                <w:sz w:val="20"/>
                <w:szCs w:val="20"/>
              </w:rPr>
              <w:t xml:space="preserve"> </w:t>
            </w:r>
            <w:r>
              <w:rPr>
                <w:spacing w:val="-6"/>
                <w:sz w:val="20"/>
                <w:szCs w:val="20"/>
              </w:rPr>
              <w:t>照</w:t>
            </w:r>
            <w:r>
              <w:rPr>
                <w:rFonts w:ascii="Times New Roman" w:hAnsi="Times New Roman" w:eastAsia="Times New Roman" w:cs="Times New Roman"/>
                <w:spacing w:val="-6"/>
                <w:sz w:val="20"/>
                <w:szCs w:val="20"/>
              </w:rPr>
              <w:t>GB</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7"/>
                <w:sz w:val="20"/>
                <w:szCs w:val="20"/>
              </w:rPr>
              <w:t>22128</w:t>
            </w:r>
            <w:r>
              <w:rPr>
                <w:spacing w:val="7"/>
                <w:sz w:val="20"/>
                <w:szCs w:val="20"/>
              </w:rPr>
              <w:t>要求配备一般拆解设施设备：</w:t>
            </w:r>
            <w:r>
              <w:rPr>
                <w:spacing w:val="9"/>
                <w:sz w:val="20"/>
                <w:szCs w:val="20"/>
              </w:rPr>
              <w:t xml:space="preserve"> </w:t>
            </w:r>
            <w:r>
              <w:rPr>
                <w:spacing w:val="16"/>
                <w:sz w:val="20"/>
                <w:szCs w:val="20"/>
              </w:rPr>
              <w:t>车辆称重设备、室内或有防雨顶棚</w:t>
            </w:r>
            <w:r>
              <w:rPr>
                <w:spacing w:val="4"/>
                <w:sz w:val="20"/>
                <w:szCs w:val="20"/>
              </w:rPr>
              <w:t xml:space="preserve"> </w:t>
            </w:r>
            <w:r>
              <w:rPr>
                <w:spacing w:val="15"/>
                <w:sz w:val="20"/>
                <w:szCs w:val="20"/>
              </w:rPr>
              <w:t>的拆解预处理平台、车架（车身）</w:t>
            </w:r>
            <w:r>
              <w:rPr>
                <w:spacing w:val="1"/>
                <w:sz w:val="20"/>
                <w:szCs w:val="20"/>
              </w:rPr>
              <w:t xml:space="preserve"> </w:t>
            </w:r>
            <w:r>
              <w:rPr>
                <w:spacing w:val="16"/>
                <w:sz w:val="20"/>
                <w:szCs w:val="20"/>
              </w:rPr>
              <w:t>剪断、切割设备或压扁设备，不得</w:t>
            </w:r>
            <w:r>
              <w:rPr>
                <w:spacing w:val="4"/>
                <w:sz w:val="20"/>
                <w:szCs w:val="20"/>
              </w:rPr>
              <w:t xml:space="preserve"> </w:t>
            </w:r>
            <w:r>
              <w:rPr>
                <w:spacing w:val="16"/>
                <w:sz w:val="20"/>
                <w:szCs w:val="20"/>
              </w:rPr>
              <w:t>以氧割设备代替、起重、运输或专</w:t>
            </w:r>
            <w:r>
              <w:rPr>
                <w:spacing w:val="4"/>
                <w:sz w:val="20"/>
                <w:szCs w:val="20"/>
              </w:rPr>
              <w:t xml:space="preserve"> </w:t>
            </w:r>
            <w:r>
              <w:rPr>
                <w:spacing w:val="16"/>
                <w:sz w:val="20"/>
                <w:szCs w:val="20"/>
              </w:rPr>
              <w:t>用拖车等设备、总成拆解平台、气</w:t>
            </w:r>
            <w:r>
              <w:rPr>
                <w:spacing w:val="4"/>
                <w:sz w:val="20"/>
                <w:szCs w:val="20"/>
              </w:rPr>
              <w:t xml:space="preserve"> </w:t>
            </w:r>
            <w:r>
              <w:rPr>
                <w:spacing w:val="8"/>
                <w:sz w:val="20"/>
                <w:szCs w:val="20"/>
              </w:rPr>
              <w:t>动拆解工具、简易拆解工具。</w:t>
            </w:r>
          </w:p>
        </w:tc>
        <w:tc>
          <w:tcPr>
            <w:tcW w:w="982" w:type="dxa"/>
            <w:tcBorders>
              <w:right w:val="single" w:color="000000" w:sz="10" w:space="0"/>
            </w:tcBorders>
            <w:vAlign w:val="top"/>
          </w:tcPr>
          <w:p w14:paraId="44D3CB5C">
            <w:pPr>
              <w:spacing w:line="282" w:lineRule="auto"/>
              <w:rPr>
                <w:rFonts w:ascii="Arial"/>
                <w:sz w:val="21"/>
              </w:rPr>
            </w:pPr>
          </w:p>
          <w:p w14:paraId="27CFCE42">
            <w:pPr>
              <w:spacing w:line="282" w:lineRule="auto"/>
              <w:rPr>
                <w:rFonts w:ascii="Arial"/>
                <w:sz w:val="21"/>
              </w:rPr>
            </w:pPr>
          </w:p>
          <w:p w14:paraId="71860527">
            <w:pPr>
              <w:spacing w:line="283" w:lineRule="auto"/>
              <w:rPr>
                <w:rFonts w:ascii="Arial"/>
                <w:sz w:val="21"/>
              </w:rPr>
            </w:pPr>
          </w:p>
          <w:p w14:paraId="34E75F8D">
            <w:pPr>
              <w:spacing w:line="283" w:lineRule="auto"/>
              <w:rPr>
                <w:rFonts w:ascii="Arial"/>
                <w:sz w:val="21"/>
              </w:rPr>
            </w:pPr>
          </w:p>
          <w:p w14:paraId="2DDDD7F8">
            <w:pPr>
              <w:pStyle w:val="6"/>
              <w:spacing w:before="65" w:line="228" w:lineRule="auto"/>
              <w:ind w:left="238"/>
              <w:rPr>
                <w:sz w:val="20"/>
                <w:szCs w:val="20"/>
              </w:rPr>
            </w:pPr>
            <w:r>
              <w:rPr>
                <w:spacing w:val="3"/>
                <w:sz w:val="20"/>
                <w:szCs w:val="20"/>
              </w:rPr>
              <w:t>符合</w:t>
            </w:r>
          </w:p>
        </w:tc>
      </w:tr>
      <w:tr w14:paraId="6A979F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21" w:hRule="atLeast"/>
        </w:trPr>
        <w:tc>
          <w:tcPr>
            <w:tcW w:w="494" w:type="dxa"/>
            <w:vMerge w:val="continue"/>
            <w:tcBorders>
              <w:top w:val="nil"/>
              <w:left w:val="single" w:color="000000" w:sz="10" w:space="0"/>
              <w:bottom w:val="nil"/>
            </w:tcBorders>
            <w:vAlign w:val="top"/>
          </w:tcPr>
          <w:p w14:paraId="6C3F467B">
            <w:pPr>
              <w:rPr>
                <w:rFonts w:ascii="Arial"/>
                <w:sz w:val="21"/>
              </w:rPr>
            </w:pPr>
          </w:p>
        </w:tc>
        <w:tc>
          <w:tcPr>
            <w:tcW w:w="3990" w:type="dxa"/>
            <w:vAlign w:val="top"/>
          </w:tcPr>
          <w:p w14:paraId="657A2A83">
            <w:pPr>
              <w:pStyle w:val="6"/>
              <w:spacing w:before="88" w:line="208" w:lineRule="auto"/>
              <w:ind w:left="206"/>
              <w:rPr>
                <w:sz w:val="20"/>
                <w:szCs w:val="20"/>
              </w:rPr>
            </w:pPr>
            <w:r>
              <w:rPr>
                <w:rFonts w:ascii="Calibri" w:hAnsi="Calibri" w:eastAsia="Calibri" w:cs="Calibri"/>
                <w:spacing w:val="6"/>
              </w:rPr>
              <w:t>4.3.2</w:t>
            </w:r>
            <w:r>
              <w:rPr>
                <w:spacing w:val="6"/>
                <w:sz w:val="20"/>
                <w:szCs w:val="20"/>
              </w:rPr>
              <w:t>应具备以下安全设施设备：</w:t>
            </w:r>
          </w:p>
          <w:p w14:paraId="7991268A">
            <w:pPr>
              <w:pStyle w:val="6"/>
              <w:spacing w:before="67" w:line="270" w:lineRule="auto"/>
              <w:ind w:left="208" w:right="106"/>
              <w:rPr>
                <w:sz w:val="20"/>
                <w:szCs w:val="20"/>
              </w:rPr>
            </w:pPr>
            <w:r>
              <w:rPr>
                <w:rFonts w:ascii="Times New Roman" w:hAnsi="Times New Roman" w:eastAsia="Times New Roman" w:cs="Times New Roman"/>
                <w:spacing w:val="17"/>
                <w:sz w:val="20"/>
                <w:szCs w:val="20"/>
              </w:rPr>
              <w:t>a)</w:t>
            </w:r>
            <w:r>
              <w:rPr>
                <w:spacing w:val="17"/>
                <w:sz w:val="20"/>
                <w:szCs w:val="20"/>
              </w:rPr>
              <w:t>安全气囊直接引爆装置或者拆除、贮</w:t>
            </w:r>
            <w:r>
              <w:rPr>
                <w:spacing w:val="7"/>
                <w:sz w:val="20"/>
                <w:szCs w:val="20"/>
              </w:rPr>
              <w:t xml:space="preserve"> 存、引爆装置；</w:t>
            </w:r>
          </w:p>
          <w:p w14:paraId="37795812">
            <w:pPr>
              <w:pStyle w:val="6"/>
              <w:spacing w:before="52" w:line="263" w:lineRule="auto"/>
              <w:ind w:left="210" w:right="109" w:hanging="10"/>
              <w:rPr>
                <w:sz w:val="20"/>
                <w:szCs w:val="20"/>
              </w:rPr>
            </w:pPr>
            <w:r>
              <w:rPr>
                <w:rFonts w:ascii="Times New Roman" w:hAnsi="Times New Roman" w:eastAsia="Times New Roman" w:cs="Times New Roman"/>
                <w:spacing w:val="14"/>
                <w:sz w:val="20"/>
                <w:szCs w:val="20"/>
              </w:rPr>
              <w:t xml:space="preserve">b)  </w:t>
            </w:r>
            <w:r>
              <w:rPr>
                <w:spacing w:val="14"/>
                <w:sz w:val="20"/>
                <w:szCs w:val="20"/>
              </w:rPr>
              <w:t>满足</w:t>
            </w:r>
            <w:r>
              <w:rPr>
                <w:spacing w:val="53"/>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30"/>
                <w:sz w:val="20"/>
                <w:szCs w:val="20"/>
              </w:rPr>
              <w:t xml:space="preserve"> </w:t>
            </w:r>
            <w:r>
              <w:rPr>
                <w:rFonts w:ascii="Times New Roman" w:hAnsi="Times New Roman" w:eastAsia="Times New Roman" w:cs="Times New Roman"/>
                <w:spacing w:val="14"/>
                <w:sz w:val="20"/>
                <w:szCs w:val="20"/>
              </w:rPr>
              <w:t>50016</w:t>
            </w:r>
            <w:r>
              <w:rPr>
                <w:rFonts w:ascii="Times New Roman" w:hAnsi="Times New Roman" w:eastAsia="Times New Roman" w:cs="Times New Roman"/>
                <w:spacing w:val="15"/>
                <w:sz w:val="20"/>
                <w:szCs w:val="20"/>
              </w:rPr>
              <w:t xml:space="preserve">  </w:t>
            </w:r>
            <w:r>
              <w:rPr>
                <w:spacing w:val="14"/>
                <w:sz w:val="20"/>
                <w:szCs w:val="20"/>
              </w:rPr>
              <w:t>规定的消防设施设</w:t>
            </w:r>
            <w:r>
              <w:rPr>
                <w:sz w:val="20"/>
                <w:szCs w:val="20"/>
              </w:rPr>
              <w:t xml:space="preserve"> </w:t>
            </w:r>
            <w:r>
              <w:rPr>
                <w:spacing w:val="-1"/>
                <w:sz w:val="20"/>
                <w:szCs w:val="20"/>
              </w:rPr>
              <w:t>备；</w:t>
            </w:r>
          </w:p>
          <w:p w14:paraId="2038B4DA">
            <w:pPr>
              <w:pStyle w:val="6"/>
              <w:spacing w:before="70" w:line="206" w:lineRule="auto"/>
              <w:ind w:left="208"/>
              <w:rPr>
                <w:sz w:val="20"/>
                <w:szCs w:val="20"/>
              </w:rPr>
            </w:pPr>
            <w:r>
              <w:rPr>
                <w:rFonts w:ascii="Times New Roman" w:hAnsi="Times New Roman" w:eastAsia="Times New Roman" w:cs="Times New Roman"/>
                <w:spacing w:val="7"/>
                <w:sz w:val="20"/>
                <w:szCs w:val="20"/>
              </w:rPr>
              <w:t>C</w:t>
            </w:r>
            <w:r>
              <w:rPr>
                <w:spacing w:val="7"/>
                <w:sz w:val="20"/>
                <w:szCs w:val="20"/>
              </w:rPr>
              <w:t>）应急救援设备。</w:t>
            </w:r>
          </w:p>
        </w:tc>
        <w:tc>
          <w:tcPr>
            <w:tcW w:w="3456" w:type="dxa"/>
            <w:vAlign w:val="top"/>
          </w:tcPr>
          <w:p w14:paraId="2E6404A7">
            <w:pPr>
              <w:pStyle w:val="6"/>
              <w:spacing w:before="250" w:line="289" w:lineRule="auto"/>
              <w:ind w:left="114" w:right="96"/>
              <w:rPr>
                <w:sz w:val="20"/>
                <w:szCs w:val="20"/>
              </w:rPr>
            </w:pPr>
            <w:r>
              <w:rPr>
                <w:spacing w:val="12"/>
                <w:sz w:val="20"/>
                <w:szCs w:val="20"/>
              </w:rPr>
              <w:t>本项目为新建项目，按照</w:t>
            </w:r>
            <w:r>
              <w:rPr>
                <w:rFonts w:ascii="Times New Roman" w:hAnsi="Times New Roman" w:eastAsia="Times New Roman" w:cs="Times New Roman"/>
                <w:sz w:val="20"/>
                <w:szCs w:val="20"/>
              </w:rPr>
              <w:t>GB</w:t>
            </w:r>
            <w:r>
              <w:rPr>
                <w:rFonts w:ascii="Times New Roman" w:hAnsi="Times New Roman" w:eastAsia="Times New Roman" w:cs="Times New Roman"/>
                <w:spacing w:val="12"/>
                <w:sz w:val="20"/>
                <w:szCs w:val="20"/>
              </w:rPr>
              <w:t xml:space="preserve"> 22128</w:t>
            </w:r>
            <w:r>
              <w:rPr>
                <w:rFonts w:ascii="Times New Roman" w:hAnsi="Times New Roman" w:eastAsia="Times New Roman" w:cs="Times New Roman"/>
                <w:spacing w:val="6"/>
                <w:sz w:val="20"/>
                <w:szCs w:val="20"/>
              </w:rPr>
              <w:t xml:space="preserve"> </w:t>
            </w:r>
            <w:r>
              <w:rPr>
                <w:spacing w:val="15"/>
                <w:sz w:val="20"/>
                <w:szCs w:val="20"/>
              </w:rPr>
              <w:t>要求配备安全环保设施设备；项目</w:t>
            </w:r>
            <w:r>
              <w:rPr>
                <w:spacing w:val="10"/>
                <w:sz w:val="20"/>
                <w:szCs w:val="20"/>
              </w:rPr>
              <w:t xml:space="preserve"> </w:t>
            </w:r>
            <w:r>
              <w:rPr>
                <w:spacing w:val="14"/>
                <w:sz w:val="20"/>
                <w:szCs w:val="20"/>
              </w:rPr>
              <w:t>拆解的农机具中不涉及安全气囊；</w:t>
            </w:r>
            <w:r>
              <w:rPr>
                <w:spacing w:val="9"/>
                <w:sz w:val="20"/>
                <w:szCs w:val="20"/>
              </w:rPr>
              <w:t xml:space="preserve"> </w:t>
            </w:r>
            <w:r>
              <w:rPr>
                <w:spacing w:val="10"/>
                <w:sz w:val="20"/>
                <w:szCs w:val="20"/>
              </w:rPr>
              <w:t xml:space="preserve">满足 </w:t>
            </w:r>
            <w:r>
              <w:rPr>
                <w:rFonts w:ascii="Times New Roman" w:hAnsi="Times New Roman" w:eastAsia="Times New Roman" w:cs="Times New Roman"/>
                <w:sz w:val="20"/>
                <w:szCs w:val="20"/>
              </w:rPr>
              <w:t>GB</w:t>
            </w:r>
            <w:r>
              <w:rPr>
                <w:rFonts w:ascii="Times New Roman" w:hAnsi="Times New Roman" w:eastAsia="Times New Roman" w:cs="Times New Roman"/>
                <w:spacing w:val="29"/>
                <w:w w:val="101"/>
                <w:sz w:val="20"/>
                <w:szCs w:val="20"/>
              </w:rPr>
              <w:t xml:space="preserve"> </w:t>
            </w:r>
            <w:r>
              <w:rPr>
                <w:rFonts w:ascii="Times New Roman" w:hAnsi="Times New Roman" w:eastAsia="Times New Roman" w:cs="Times New Roman"/>
                <w:spacing w:val="10"/>
                <w:sz w:val="20"/>
                <w:szCs w:val="20"/>
              </w:rPr>
              <w:t xml:space="preserve">50016  </w:t>
            </w:r>
            <w:r>
              <w:rPr>
                <w:spacing w:val="10"/>
                <w:sz w:val="20"/>
                <w:szCs w:val="20"/>
              </w:rPr>
              <w:t>规定的消防设施设</w:t>
            </w:r>
            <w:r>
              <w:rPr>
                <w:sz w:val="20"/>
                <w:szCs w:val="20"/>
              </w:rPr>
              <w:t xml:space="preserve"> </w:t>
            </w:r>
            <w:r>
              <w:rPr>
                <w:spacing w:val="8"/>
                <w:sz w:val="20"/>
                <w:szCs w:val="20"/>
              </w:rPr>
              <w:t>备及相应应急救援设备。</w:t>
            </w:r>
          </w:p>
        </w:tc>
        <w:tc>
          <w:tcPr>
            <w:tcW w:w="982" w:type="dxa"/>
            <w:tcBorders>
              <w:right w:val="single" w:color="000000" w:sz="10" w:space="0"/>
            </w:tcBorders>
            <w:vAlign w:val="top"/>
          </w:tcPr>
          <w:p w14:paraId="22048B0C">
            <w:pPr>
              <w:spacing w:line="272" w:lineRule="auto"/>
              <w:rPr>
                <w:rFonts w:ascii="Arial"/>
                <w:sz w:val="21"/>
              </w:rPr>
            </w:pPr>
          </w:p>
          <w:p w14:paraId="2ED3B991">
            <w:pPr>
              <w:spacing w:line="273" w:lineRule="auto"/>
              <w:rPr>
                <w:rFonts w:ascii="Arial"/>
                <w:sz w:val="21"/>
              </w:rPr>
            </w:pPr>
          </w:p>
          <w:p w14:paraId="1DF1A2B8">
            <w:pPr>
              <w:spacing w:line="273" w:lineRule="auto"/>
              <w:rPr>
                <w:rFonts w:ascii="Arial"/>
                <w:sz w:val="21"/>
              </w:rPr>
            </w:pPr>
          </w:p>
          <w:p w14:paraId="12244DBF">
            <w:pPr>
              <w:pStyle w:val="6"/>
              <w:spacing w:before="65" w:line="228" w:lineRule="auto"/>
              <w:ind w:left="238"/>
              <w:rPr>
                <w:sz w:val="20"/>
                <w:szCs w:val="20"/>
              </w:rPr>
            </w:pPr>
            <w:r>
              <w:rPr>
                <w:spacing w:val="3"/>
                <w:sz w:val="20"/>
                <w:szCs w:val="20"/>
              </w:rPr>
              <w:t>符合</w:t>
            </w:r>
          </w:p>
        </w:tc>
      </w:tr>
      <w:tr w14:paraId="2F946C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0" w:hRule="atLeast"/>
        </w:trPr>
        <w:tc>
          <w:tcPr>
            <w:tcW w:w="494" w:type="dxa"/>
            <w:vMerge w:val="continue"/>
            <w:tcBorders>
              <w:top w:val="nil"/>
              <w:left w:val="single" w:color="000000" w:sz="10" w:space="0"/>
              <w:bottom w:val="nil"/>
            </w:tcBorders>
            <w:vAlign w:val="top"/>
          </w:tcPr>
          <w:p w14:paraId="66F13FBD">
            <w:pPr>
              <w:rPr>
                <w:rFonts w:ascii="Arial"/>
                <w:sz w:val="21"/>
              </w:rPr>
            </w:pPr>
          </w:p>
        </w:tc>
        <w:tc>
          <w:tcPr>
            <w:tcW w:w="3990" w:type="dxa"/>
            <w:vAlign w:val="top"/>
          </w:tcPr>
          <w:p w14:paraId="18DF2D0E">
            <w:pPr>
              <w:pStyle w:val="6"/>
              <w:spacing w:before="93" w:line="208" w:lineRule="auto"/>
              <w:ind w:left="206"/>
              <w:rPr>
                <w:sz w:val="20"/>
                <w:szCs w:val="20"/>
              </w:rPr>
            </w:pPr>
            <w:r>
              <w:rPr>
                <w:rFonts w:ascii="Calibri" w:hAnsi="Calibri" w:eastAsia="Calibri" w:cs="Calibri"/>
                <w:spacing w:val="6"/>
              </w:rPr>
              <w:t>4.3.3</w:t>
            </w:r>
            <w:r>
              <w:rPr>
                <w:spacing w:val="6"/>
                <w:sz w:val="20"/>
                <w:szCs w:val="20"/>
              </w:rPr>
              <w:t>应具备以下环保设施设备：</w:t>
            </w:r>
          </w:p>
          <w:p w14:paraId="0FE7FA5F">
            <w:pPr>
              <w:pStyle w:val="6"/>
              <w:spacing w:before="64" w:line="262" w:lineRule="auto"/>
              <w:ind w:left="208" w:right="106"/>
              <w:rPr>
                <w:sz w:val="20"/>
                <w:szCs w:val="20"/>
              </w:rPr>
            </w:pPr>
            <w:r>
              <w:rPr>
                <w:rFonts w:ascii="Times New Roman" w:hAnsi="Times New Roman" w:eastAsia="Times New Roman" w:cs="Times New Roman"/>
                <w:spacing w:val="10"/>
                <w:sz w:val="20"/>
                <w:szCs w:val="20"/>
              </w:rPr>
              <w:t xml:space="preserve">a)  </w:t>
            </w:r>
            <w:r>
              <w:rPr>
                <w:spacing w:val="10"/>
                <w:sz w:val="20"/>
                <w:szCs w:val="20"/>
              </w:rPr>
              <w:t xml:space="preserve">满足 </w:t>
            </w:r>
            <w:r>
              <w:rPr>
                <w:rFonts w:ascii="Times New Roman" w:hAnsi="Times New Roman" w:eastAsia="Times New Roman" w:cs="Times New Roman"/>
                <w:sz w:val="20"/>
                <w:szCs w:val="20"/>
              </w:rPr>
              <w:t>HJ</w:t>
            </w:r>
            <w:r>
              <w:rPr>
                <w:rFonts w:ascii="Times New Roman" w:hAnsi="Times New Roman" w:eastAsia="Times New Roman" w:cs="Times New Roman"/>
                <w:spacing w:val="22"/>
                <w:w w:val="101"/>
                <w:sz w:val="20"/>
                <w:szCs w:val="20"/>
              </w:rPr>
              <w:t xml:space="preserve"> </w:t>
            </w:r>
            <w:r>
              <w:rPr>
                <w:rFonts w:ascii="Times New Roman" w:hAnsi="Times New Roman" w:eastAsia="Times New Roman" w:cs="Times New Roman"/>
                <w:spacing w:val="10"/>
                <w:sz w:val="20"/>
                <w:szCs w:val="20"/>
              </w:rPr>
              <w:t>348</w:t>
            </w:r>
            <w:r>
              <w:rPr>
                <w:rFonts w:ascii="Times New Roman" w:hAnsi="Times New Roman" w:eastAsia="Times New Roman" w:cs="Times New Roman"/>
                <w:spacing w:val="9"/>
                <w:sz w:val="20"/>
                <w:szCs w:val="20"/>
              </w:rPr>
              <w:t xml:space="preserve">  </w:t>
            </w:r>
            <w:r>
              <w:rPr>
                <w:spacing w:val="10"/>
                <w:sz w:val="20"/>
                <w:szCs w:val="20"/>
              </w:rPr>
              <w:t>要求的油水分离器等企</w:t>
            </w:r>
            <w:r>
              <w:rPr>
                <w:sz w:val="20"/>
                <w:szCs w:val="20"/>
              </w:rPr>
              <w:t xml:space="preserve"> </w:t>
            </w:r>
            <w:r>
              <w:rPr>
                <w:spacing w:val="8"/>
                <w:sz w:val="20"/>
                <w:szCs w:val="20"/>
              </w:rPr>
              <w:t>业建设环境保护设备；</w:t>
            </w:r>
          </w:p>
          <w:p w14:paraId="4B1575E6">
            <w:pPr>
              <w:pStyle w:val="6"/>
              <w:spacing w:before="75" w:line="261" w:lineRule="auto"/>
              <w:ind w:left="208" w:right="106" w:hanging="8"/>
              <w:rPr>
                <w:sz w:val="20"/>
                <w:szCs w:val="20"/>
              </w:rPr>
            </w:pPr>
            <w:r>
              <w:rPr>
                <w:rFonts w:ascii="Times New Roman" w:hAnsi="Times New Roman" w:eastAsia="Times New Roman" w:cs="Times New Roman"/>
                <w:spacing w:val="10"/>
                <w:sz w:val="20"/>
                <w:szCs w:val="20"/>
              </w:rPr>
              <w:t xml:space="preserve">b)  </w:t>
            </w:r>
            <w:r>
              <w:rPr>
                <w:spacing w:val="10"/>
                <w:sz w:val="20"/>
                <w:szCs w:val="20"/>
              </w:rPr>
              <w:t>配有专用废液收集装置和分类存放各</w:t>
            </w:r>
            <w:r>
              <w:rPr>
                <w:spacing w:val="9"/>
                <w:sz w:val="20"/>
                <w:szCs w:val="20"/>
              </w:rPr>
              <w:t xml:space="preserve"> </w:t>
            </w:r>
            <w:r>
              <w:rPr>
                <w:spacing w:val="8"/>
                <w:sz w:val="20"/>
                <w:szCs w:val="20"/>
              </w:rPr>
              <w:t>种废液的专用密闭容器；</w:t>
            </w:r>
          </w:p>
          <w:p w14:paraId="403F3A95">
            <w:pPr>
              <w:pStyle w:val="6"/>
              <w:spacing w:before="71" w:line="262" w:lineRule="auto"/>
              <w:ind w:left="208" w:right="106"/>
              <w:rPr>
                <w:sz w:val="20"/>
                <w:szCs w:val="20"/>
              </w:rPr>
            </w:pPr>
            <w:r>
              <w:rPr>
                <w:rFonts w:ascii="Times New Roman" w:hAnsi="Times New Roman" w:eastAsia="Times New Roman" w:cs="Times New Roman"/>
                <w:spacing w:val="15"/>
                <w:sz w:val="20"/>
                <w:szCs w:val="20"/>
              </w:rPr>
              <w:t xml:space="preserve">c)    </w:t>
            </w:r>
            <w:r>
              <w:rPr>
                <w:spacing w:val="15"/>
                <w:sz w:val="20"/>
                <w:szCs w:val="20"/>
              </w:rPr>
              <w:t>机动车空调制冷剂收集装置和</w:t>
            </w:r>
            <w:r>
              <w:rPr>
                <w:spacing w:val="14"/>
                <w:sz w:val="20"/>
                <w:szCs w:val="20"/>
              </w:rPr>
              <w:t>分类</w:t>
            </w:r>
            <w:r>
              <w:rPr>
                <w:sz w:val="20"/>
                <w:szCs w:val="20"/>
              </w:rPr>
              <w:t xml:space="preserve"> </w:t>
            </w:r>
            <w:r>
              <w:rPr>
                <w:spacing w:val="8"/>
                <w:sz w:val="20"/>
                <w:szCs w:val="20"/>
              </w:rPr>
              <w:t>存放各种制冷剂的密闭容器；</w:t>
            </w:r>
          </w:p>
          <w:p w14:paraId="23F9A087">
            <w:pPr>
              <w:pStyle w:val="6"/>
              <w:spacing w:before="73" w:line="248" w:lineRule="auto"/>
              <w:ind w:left="211" w:right="106" w:hanging="3"/>
              <w:rPr>
                <w:sz w:val="20"/>
                <w:szCs w:val="20"/>
              </w:rPr>
            </w:pPr>
            <w:r>
              <w:rPr>
                <w:rFonts w:ascii="Times New Roman" w:hAnsi="Times New Roman" w:eastAsia="Times New Roman" w:cs="Times New Roman"/>
                <w:spacing w:val="16"/>
                <w:sz w:val="20"/>
                <w:szCs w:val="20"/>
              </w:rPr>
              <w:t>d)</w:t>
            </w:r>
            <w:r>
              <w:rPr>
                <w:spacing w:val="16"/>
                <w:sz w:val="20"/>
                <w:szCs w:val="20"/>
              </w:rPr>
              <w:t>分类存放机油滤清器和铅酸蓄电池的</w:t>
            </w:r>
            <w:r>
              <w:rPr>
                <w:spacing w:val="14"/>
                <w:sz w:val="20"/>
                <w:szCs w:val="20"/>
              </w:rPr>
              <w:t xml:space="preserve"> </w:t>
            </w:r>
            <w:r>
              <w:rPr>
                <w:spacing w:val="2"/>
                <w:sz w:val="20"/>
                <w:szCs w:val="20"/>
              </w:rPr>
              <w:t>容器。</w:t>
            </w:r>
          </w:p>
        </w:tc>
        <w:tc>
          <w:tcPr>
            <w:tcW w:w="3456" w:type="dxa"/>
            <w:vAlign w:val="top"/>
          </w:tcPr>
          <w:p w14:paraId="539FE2A1">
            <w:pPr>
              <w:spacing w:line="346" w:lineRule="auto"/>
              <w:rPr>
                <w:rFonts w:ascii="Arial"/>
                <w:sz w:val="21"/>
              </w:rPr>
            </w:pPr>
          </w:p>
          <w:p w14:paraId="6F1757CD">
            <w:pPr>
              <w:pStyle w:val="6"/>
              <w:spacing w:before="65" w:line="291" w:lineRule="auto"/>
              <w:ind w:left="113" w:right="94" w:firstLine="1"/>
              <w:jc w:val="both"/>
              <w:rPr>
                <w:sz w:val="20"/>
                <w:szCs w:val="20"/>
              </w:rPr>
            </w:pPr>
            <w:r>
              <w:rPr>
                <w:spacing w:val="12"/>
                <w:sz w:val="20"/>
                <w:szCs w:val="20"/>
              </w:rPr>
              <w:t>本项目为新建项目，按照</w:t>
            </w:r>
            <w:r>
              <w:rPr>
                <w:rFonts w:ascii="Times New Roman" w:hAnsi="Times New Roman" w:eastAsia="Times New Roman" w:cs="Times New Roman"/>
                <w:sz w:val="20"/>
                <w:szCs w:val="20"/>
              </w:rPr>
              <w:t>GB</w:t>
            </w:r>
            <w:r>
              <w:rPr>
                <w:rFonts w:ascii="Times New Roman" w:hAnsi="Times New Roman" w:eastAsia="Times New Roman" w:cs="Times New Roman"/>
                <w:spacing w:val="12"/>
                <w:sz w:val="20"/>
                <w:szCs w:val="20"/>
              </w:rPr>
              <w:t xml:space="preserve"> 22128</w:t>
            </w:r>
            <w:r>
              <w:rPr>
                <w:rFonts w:ascii="Times New Roman" w:hAnsi="Times New Roman" w:eastAsia="Times New Roman" w:cs="Times New Roman"/>
                <w:spacing w:val="6"/>
                <w:sz w:val="20"/>
                <w:szCs w:val="20"/>
              </w:rPr>
              <w:t xml:space="preserve"> </w:t>
            </w:r>
            <w:r>
              <w:rPr>
                <w:spacing w:val="16"/>
                <w:sz w:val="20"/>
                <w:szCs w:val="20"/>
              </w:rPr>
              <w:t>要求配备安全环保设施设备；配有</w:t>
            </w:r>
            <w:r>
              <w:rPr>
                <w:spacing w:val="1"/>
                <w:sz w:val="20"/>
                <w:szCs w:val="20"/>
              </w:rPr>
              <w:t xml:space="preserve"> </w:t>
            </w:r>
            <w:r>
              <w:rPr>
                <w:spacing w:val="16"/>
                <w:sz w:val="20"/>
                <w:szCs w:val="20"/>
              </w:rPr>
              <w:t>专用废液收集装置和分类存放各种</w:t>
            </w:r>
            <w:r>
              <w:rPr>
                <w:spacing w:val="1"/>
                <w:sz w:val="20"/>
                <w:szCs w:val="20"/>
              </w:rPr>
              <w:t xml:space="preserve"> </w:t>
            </w:r>
            <w:r>
              <w:rPr>
                <w:spacing w:val="16"/>
                <w:sz w:val="20"/>
                <w:szCs w:val="20"/>
              </w:rPr>
              <w:t>废液的专用密闭容器；机动车空调</w:t>
            </w:r>
            <w:r>
              <w:rPr>
                <w:spacing w:val="1"/>
                <w:sz w:val="20"/>
                <w:szCs w:val="20"/>
              </w:rPr>
              <w:t xml:space="preserve"> </w:t>
            </w:r>
            <w:r>
              <w:rPr>
                <w:spacing w:val="16"/>
                <w:sz w:val="20"/>
                <w:szCs w:val="20"/>
              </w:rPr>
              <w:t>制冷剂收集装置和分类存放各种制</w:t>
            </w:r>
            <w:r>
              <w:rPr>
                <w:spacing w:val="1"/>
                <w:sz w:val="20"/>
                <w:szCs w:val="20"/>
              </w:rPr>
              <w:t xml:space="preserve"> </w:t>
            </w:r>
            <w:r>
              <w:rPr>
                <w:spacing w:val="16"/>
                <w:sz w:val="20"/>
                <w:szCs w:val="20"/>
              </w:rPr>
              <w:t>冷剂的密闭容器；分类存放机油滤</w:t>
            </w:r>
            <w:r>
              <w:rPr>
                <w:spacing w:val="1"/>
                <w:sz w:val="20"/>
                <w:szCs w:val="20"/>
              </w:rPr>
              <w:t xml:space="preserve"> </w:t>
            </w:r>
            <w:r>
              <w:rPr>
                <w:spacing w:val="8"/>
                <w:sz w:val="20"/>
                <w:szCs w:val="20"/>
              </w:rPr>
              <w:t>清器和铅酸蓄电池的容器。</w:t>
            </w:r>
          </w:p>
        </w:tc>
        <w:tc>
          <w:tcPr>
            <w:tcW w:w="982" w:type="dxa"/>
            <w:tcBorders>
              <w:right w:val="single" w:color="000000" w:sz="10" w:space="0"/>
            </w:tcBorders>
            <w:vAlign w:val="top"/>
          </w:tcPr>
          <w:p w14:paraId="242C547E">
            <w:pPr>
              <w:spacing w:line="259" w:lineRule="auto"/>
              <w:rPr>
                <w:rFonts w:ascii="Arial"/>
                <w:sz w:val="21"/>
              </w:rPr>
            </w:pPr>
          </w:p>
          <w:p w14:paraId="0551D1EF">
            <w:pPr>
              <w:spacing w:line="260" w:lineRule="auto"/>
              <w:rPr>
                <w:rFonts w:ascii="Arial"/>
                <w:sz w:val="21"/>
              </w:rPr>
            </w:pPr>
          </w:p>
          <w:p w14:paraId="7ADE0606">
            <w:pPr>
              <w:spacing w:line="260" w:lineRule="auto"/>
              <w:rPr>
                <w:rFonts w:ascii="Arial"/>
                <w:sz w:val="21"/>
              </w:rPr>
            </w:pPr>
          </w:p>
          <w:p w14:paraId="684B1E58">
            <w:pPr>
              <w:spacing w:line="260" w:lineRule="auto"/>
              <w:rPr>
                <w:rFonts w:ascii="Arial"/>
                <w:sz w:val="21"/>
              </w:rPr>
            </w:pPr>
          </w:p>
          <w:p w14:paraId="458A3F1F">
            <w:pPr>
              <w:spacing w:line="260" w:lineRule="auto"/>
              <w:rPr>
                <w:rFonts w:ascii="Arial"/>
                <w:sz w:val="21"/>
              </w:rPr>
            </w:pPr>
          </w:p>
          <w:p w14:paraId="44A07B21">
            <w:pPr>
              <w:pStyle w:val="6"/>
              <w:spacing w:before="65" w:line="228" w:lineRule="auto"/>
              <w:ind w:left="238"/>
              <w:rPr>
                <w:sz w:val="20"/>
                <w:szCs w:val="20"/>
              </w:rPr>
            </w:pPr>
            <w:r>
              <w:rPr>
                <w:spacing w:val="3"/>
                <w:sz w:val="20"/>
                <w:szCs w:val="20"/>
              </w:rPr>
              <w:t>符合</w:t>
            </w:r>
          </w:p>
        </w:tc>
      </w:tr>
      <w:tr w14:paraId="3584F2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94" w:type="dxa"/>
            <w:vMerge w:val="continue"/>
            <w:tcBorders>
              <w:top w:val="nil"/>
              <w:left w:val="single" w:color="000000" w:sz="10" w:space="0"/>
              <w:bottom w:val="nil"/>
            </w:tcBorders>
            <w:vAlign w:val="top"/>
          </w:tcPr>
          <w:p w14:paraId="71F6DD77">
            <w:pPr>
              <w:rPr>
                <w:rFonts w:ascii="Arial"/>
                <w:sz w:val="21"/>
              </w:rPr>
            </w:pPr>
          </w:p>
        </w:tc>
        <w:tc>
          <w:tcPr>
            <w:tcW w:w="3990" w:type="dxa"/>
            <w:vAlign w:val="top"/>
          </w:tcPr>
          <w:p w14:paraId="4F324A1F">
            <w:pPr>
              <w:pStyle w:val="6"/>
              <w:spacing w:before="98" w:line="247" w:lineRule="auto"/>
              <w:ind w:left="212" w:right="106" w:hanging="8"/>
              <w:rPr>
                <w:sz w:val="20"/>
                <w:szCs w:val="20"/>
              </w:rPr>
            </w:pPr>
            <w:r>
              <w:rPr>
                <w:rFonts w:ascii="Times New Roman" w:hAnsi="Times New Roman" w:eastAsia="Times New Roman" w:cs="Times New Roman"/>
                <w:spacing w:val="13"/>
                <w:sz w:val="20"/>
                <w:szCs w:val="20"/>
              </w:rPr>
              <w:t>4.3.6</w:t>
            </w:r>
            <w:r>
              <w:rPr>
                <w:spacing w:val="13"/>
                <w:sz w:val="20"/>
                <w:szCs w:val="20"/>
              </w:rPr>
              <w:t>拆解电动汽车的企业还应具备以下</w:t>
            </w:r>
            <w:r>
              <w:rPr>
                <w:spacing w:val="12"/>
                <w:sz w:val="20"/>
                <w:szCs w:val="20"/>
              </w:rPr>
              <w:t xml:space="preserve"> </w:t>
            </w:r>
            <w:r>
              <w:rPr>
                <w:spacing w:val="8"/>
                <w:sz w:val="20"/>
                <w:szCs w:val="20"/>
              </w:rPr>
              <w:t>设施设备及材料</w:t>
            </w:r>
          </w:p>
        </w:tc>
        <w:tc>
          <w:tcPr>
            <w:tcW w:w="3456" w:type="dxa"/>
            <w:vAlign w:val="top"/>
          </w:tcPr>
          <w:p w14:paraId="1642429B">
            <w:pPr>
              <w:pStyle w:val="6"/>
              <w:spacing w:before="256" w:line="227" w:lineRule="auto"/>
              <w:ind w:left="374"/>
              <w:rPr>
                <w:sz w:val="20"/>
                <w:szCs w:val="20"/>
              </w:rPr>
            </w:pPr>
            <w:r>
              <w:rPr>
                <w:spacing w:val="8"/>
                <w:sz w:val="20"/>
                <w:szCs w:val="20"/>
              </w:rPr>
              <w:t>本项目不进行电动汽车拆解。</w:t>
            </w:r>
          </w:p>
        </w:tc>
        <w:tc>
          <w:tcPr>
            <w:tcW w:w="982" w:type="dxa"/>
            <w:tcBorders>
              <w:right w:val="single" w:color="000000" w:sz="10" w:space="0"/>
            </w:tcBorders>
            <w:vAlign w:val="top"/>
          </w:tcPr>
          <w:p w14:paraId="6B4F7C1C">
            <w:pPr>
              <w:pStyle w:val="6"/>
              <w:spacing w:before="256" w:line="228" w:lineRule="auto"/>
              <w:ind w:left="238"/>
              <w:rPr>
                <w:sz w:val="20"/>
                <w:szCs w:val="20"/>
              </w:rPr>
            </w:pPr>
            <w:r>
              <w:rPr>
                <w:spacing w:val="3"/>
                <w:sz w:val="20"/>
                <w:szCs w:val="20"/>
              </w:rPr>
              <w:t>符合</w:t>
            </w:r>
          </w:p>
        </w:tc>
      </w:tr>
      <w:tr w14:paraId="0D1E34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73" w:hRule="atLeast"/>
        </w:trPr>
        <w:tc>
          <w:tcPr>
            <w:tcW w:w="494" w:type="dxa"/>
            <w:vMerge w:val="continue"/>
            <w:tcBorders>
              <w:top w:val="nil"/>
              <w:left w:val="single" w:color="000000" w:sz="10" w:space="0"/>
              <w:bottom w:val="single" w:color="000000" w:sz="10" w:space="0"/>
            </w:tcBorders>
            <w:vAlign w:val="top"/>
          </w:tcPr>
          <w:p w14:paraId="1CCC31EB">
            <w:pPr>
              <w:rPr>
                <w:rFonts w:ascii="Arial"/>
                <w:sz w:val="21"/>
              </w:rPr>
            </w:pPr>
          </w:p>
        </w:tc>
        <w:tc>
          <w:tcPr>
            <w:tcW w:w="3990" w:type="dxa"/>
            <w:tcBorders>
              <w:bottom w:val="single" w:color="000000" w:sz="10" w:space="0"/>
            </w:tcBorders>
            <w:vAlign w:val="top"/>
          </w:tcPr>
          <w:p w14:paraId="58AD9B86">
            <w:pPr>
              <w:pStyle w:val="6"/>
              <w:spacing w:before="99" w:line="228" w:lineRule="auto"/>
              <w:ind w:left="204"/>
              <w:rPr>
                <w:sz w:val="20"/>
                <w:szCs w:val="20"/>
              </w:rPr>
            </w:pPr>
            <w:r>
              <w:rPr>
                <w:rFonts w:ascii="Times New Roman" w:hAnsi="Times New Roman" w:eastAsia="Times New Roman" w:cs="Times New Roman"/>
                <w:spacing w:val="7"/>
                <w:sz w:val="20"/>
                <w:szCs w:val="20"/>
              </w:rPr>
              <w:t>4.4</w:t>
            </w:r>
            <w:r>
              <w:rPr>
                <w:spacing w:val="7"/>
                <w:sz w:val="20"/>
                <w:szCs w:val="20"/>
              </w:rPr>
              <w:t>技术人员要求</w:t>
            </w:r>
          </w:p>
          <w:p w14:paraId="4C60DBC3">
            <w:pPr>
              <w:pStyle w:val="6"/>
              <w:spacing w:before="73" w:line="285" w:lineRule="auto"/>
              <w:ind w:left="207" w:right="106" w:hanging="3"/>
              <w:rPr>
                <w:sz w:val="20"/>
                <w:szCs w:val="20"/>
              </w:rPr>
            </w:pPr>
            <w:r>
              <w:rPr>
                <w:rFonts w:ascii="Times New Roman" w:hAnsi="Times New Roman" w:eastAsia="Times New Roman" w:cs="Times New Roman"/>
                <w:spacing w:val="2"/>
                <w:sz w:val="20"/>
                <w:szCs w:val="20"/>
              </w:rPr>
              <w:t>4.4.</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2"/>
                <w:sz w:val="20"/>
                <w:szCs w:val="20"/>
              </w:rPr>
              <w:t>1</w:t>
            </w:r>
            <w:r>
              <w:rPr>
                <w:spacing w:val="2"/>
                <w:sz w:val="20"/>
                <w:szCs w:val="20"/>
              </w:rPr>
              <w:t>企业技术人员应经过岗前培训，其专</w:t>
            </w:r>
            <w:r>
              <w:rPr>
                <w:sz w:val="20"/>
                <w:szCs w:val="20"/>
              </w:rPr>
              <w:t xml:space="preserve"> </w:t>
            </w:r>
            <w:r>
              <w:rPr>
                <w:spacing w:val="3"/>
                <w:sz w:val="20"/>
                <w:szCs w:val="20"/>
              </w:rPr>
              <w:t>业技能应能满足规范拆解、环保作业、安</w:t>
            </w:r>
            <w:r>
              <w:rPr>
                <w:spacing w:val="14"/>
                <w:sz w:val="20"/>
                <w:szCs w:val="20"/>
              </w:rPr>
              <w:t xml:space="preserve"> </w:t>
            </w:r>
            <w:r>
              <w:rPr>
                <w:spacing w:val="3"/>
                <w:sz w:val="20"/>
                <w:szCs w:val="20"/>
              </w:rPr>
              <w:t>全操作等相应要求，并配备专业安全生产</w:t>
            </w:r>
            <w:r>
              <w:rPr>
                <w:spacing w:val="14"/>
                <w:sz w:val="20"/>
                <w:szCs w:val="20"/>
              </w:rPr>
              <w:t xml:space="preserve"> </w:t>
            </w:r>
            <w:r>
              <w:rPr>
                <w:spacing w:val="3"/>
                <w:sz w:val="20"/>
                <w:szCs w:val="20"/>
              </w:rPr>
              <w:t>管理人员和环保管理人员，国家有持证上</w:t>
            </w:r>
            <w:r>
              <w:rPr>
                <w:spacing w:val="14"/>
                <w:sz w:val="20"/>
                <w:szCs w:val="20"/>
              </w:rPr>
              <w:t xml:space="preserve"> </w:t>
            </w:r>
            <w:r>
              <w:rPr>
                <w:spacing w:val="8"/>
                <w:sz w:val="20"/>
                <w:szCs w:val="20"/>
              </w:rPr>
              <w:t>岗规定的，应持证上岗。</w:t>
            </w:r>
          </w:p>
        </w:tc>
        <w:tc>
          <w:tcPr>
            <w:tcW w:w="3456" w:type="dxa"/>
            <w:tcBorders>
              <w:bottom w:val="single" w:color="000000" w:sz="10" w:space="0"/>
            </w:tcBorders>
            <w:vAlign w:val="top"/>
          </w:tcPr>
          <w:p w14:paraId="2FD56F2E">
            <w:pPr>
              <w:pStyle w:val="6"/>
              <w:spacing w:before="101" w:line="289" w:lineRule="auto"/>
              <w:ind w:left="113" w:right="94" w:firstLine="1"/>
              <w:jc w:val="both"/>
              <w:rPr>
                <w:sz w:val="20"/>
                <w:szCs w:val="20"/>
              </w:rPr>
            </w:pPr>
            <w:r>
              <w:rPr>
                <w:spacing w:val="16"/>
                <w:sz w:val="20"/>
                <w:szCs w:val="20"/>
              </w:rPr>
              <w:t>本项目技术人员在入职前，进行岗</w:t>
            </w:r>
            <w:r>
              <w:rPr>
                <w:sz w:val="20"/>
                <w:szCs w:val="20"/>
              </w:rPr>
              <w:t xml:space="preserve"> </w:t>
            </w:r>
            <w:r>
              <w:rPr>
                <w:spacing w:val="16"/>
                <w:sz w:val="20"/>
                <w:szCs w:val="20"/>
              </w:rPr>
              <w:t>前培训，能满足规范拆解、环保作</w:t>
            </w:r>
            <w:r>
              <w:rPr>
                <w:spacing w:val="1"/>
                <w:sz w:val="20"/>
                <w:szCs w:val="20"/>
              </w:rPr>
              <w:t xml:space="preserve"> </w:t>
            </w:r>
            <w:r>
              <w:rPr>
                <w:spacing w:val="16"/>
                <w:sz w:val="20"/>
                <w:szCs w:val="20"/>
              </w:rPr>
              <w:t>业、安全操作等相应要求，并配备</w:t>
            </w:r>
            <w:r>
              <w:rPr>
                <w:spacing w:val="1"/>
                <w:sz w:val="20"/>
                <w:szCs w:val="20"/>
              </w:rPr>
              <w:t xml:space="preserve"> </w:t>
            </w:r>
            <w:r>
              <w:rPr>
                <w:spacing w:val="16"/>
                <w:sz w:val="20"/>
                <w:szCs w:val="20"/>
              </w:rPr>
              <w:t>专业安全生产管理人员和环保管理</w:t>
            </w:r>
            <w:r>
              <w:rPr>
                <w:spacing w:val="1"/>
                <w:sz w:val="20"/>
                <w:szCs w:val="20"/>
              </w:rPr>
              <w:t xml:space="preserve"> </w:t>
            </w:r>
            <w:r>
              <w:rPr>
                <w:spacing w:val="7"/>
                <w:sz w:val="20"/>
                <w:szCs w:val="20"/>
              </w:rPr>
              <w:t>人员，持证上岗。</w:t>
            </w:r>
          </w:p>
          <w:p w14:paraId="1BFDB3D4">
            <w:pPr>
              <w:pStyle w:val="6"/>
              <w:spacing w:before="30" w:line="228" w:lineRule="auto"/>
              <w:ind w:left="117"/>
              <w:rPr>
                <w:sz w:val="20"/>
                <w:szCs w:val="20"/>
              </w:rPr>
            </w:pPr>
            <w:r>
              <w:rPr>
                <w:spacing w:val="8"/>
                <w:sz w:val="20"/>
                <w:szCs w:val="20"/>
              </w:rPr>
              <w:t>项目不涉及电动汽车拆解。</w:t>
            </w:r>
          </w:p>
        </w:tc>
        <w:tc>
          <w:tcPr>
            <w:tcW w:w="982" w:type="dxa"/>
            <w:tcBorders>
              <w:bottom w:val="single" w:color="000000" w:sz="10" w:space="0"/>
              <w:right w:val="single" w:color="000000" w:sz="10" w:space="0"/>
            </w:tcBorders>
            <w:vAlign w:val="top"/>
          </w:tcPr>
          <w:p w14:paraId="05925DA8">
            <w:pPr>
              <w:spacing w:line="276" w:lineRule="auto"/>
              <w:rPr>
                <w:rFonts w:ascii="Arial"/>
                <w:sz w:val="21"/>
              </w:rPr>
            </w:pPr>
          </w:p>
          <w:p w14:paraId="0E3193D9">
            <w:pPr>
              <w:spacing w:line="276" w:lineRule="auto"/>
              <w:rPr>
                <w:rFonts w:ascii="Arial"/>
                <w:sz w:val="21"/>
              </w:rPr>
            </w:pPr>
          </w:p>
          <w:p w14:paraId="19319084">
            <w:pPr>
              <w:spacing w:line="276" w:lineRule="auto"/>
              <w:rPr>
                <w:rFonts w:ascii="Arial"/>
                <w:sz w:val="21"/>
              </w:rPr>
            </w:pPr>
          </w:p>
          <w:p w14:paraId="1801F8F9">
            <w:pPr>
              <w:pStyle w:val="6"/>
              <w:spacing w:before="65" w:line="228" w:lineRule="auto"/>
              <w:ind w:left="238"/>
              <w:rPr>
                <w:sz w:val="20"/>
                <w:szCs w:val="20"/>
              </w:rPr>
            </w:pPr>
            <w:r>
              <w:rPr>
                <w:spacing w:val="3"/>
                <w:sz w:val="20"/>
                <w:szCs w:val="20"/>
              </w:rPr>
              <w:t>符合</w:t>
            </w:r>
          </w:p>
        </w:tc>
      </w:tr>
    </w:tbl>
    <w:p w14:paraId="6971565E">
      <w:pPr>
        <w:pStyle w:val="2"/>
      </w:pPr>
    </w:p>
    <w:p w14:paraId="7F93FF34">
      <w:pPr>
        <w:sectPr>
          <w:footerReference r:id="rId27"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3990"/>
        <w:gridCol w:w="3456"/>
        <w:gridCol w:w="982"/>
      </w:tblGrid>
      <w:tr w14:paraId="4FA74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6" w:hRule="atLeast"/>
        </w:trPr>
        <w:tc>
          <w:tcPr>
            <w:tcW w:w="494" w:type="dxa"/>
            <w:vMerge w:val="restart"/>
            <w:tcBorders>
              <w:top w:val="single" w:color="000000" w:sz="10" w:space="0"/>
              <w:left w:val="single" w:color="000000" w:sz="10" w:space="0"/>
              <w:bottom w:val="nil"/>
            </w:tcBorders>
            <w:vAlign w:val="top"/>
          </w:tcPr>
          <w:p w14:paraId="7A173C86">
            <w:pPr>
              <w:rPr>
                <w:rFonts w:ascii="Arial"/>
                <w:sz w:val="21"/>
              </w:rPr>
            </w:pPr>
          </w:p>
        </w:tc>
        <w:tc>
          <w:tcPr>
            <w:tcW w:w="3990" w:type="dxa"/>
            <w:vMerge w:val="restart"/>
            <w:tcBorders>
              <w:top w:val="single" w:color="000000" w:sz="10" w:space="0"/>
              <w:bottom w:val="nil"/>
            </w:tcBorders>
            <w:vAlign w:val="top"/>
          </w:tcPr>
          <w:p w14:paraId="38168B0F">
            <w:pPr>
              <w:pStyle w:val="6"/>
              <w:spacing w:before="74" w:line="291" w:lineRule="auto"/>
              <w:ind w:left="207" w:right="106" w:hanging="3"/>
              <w:rPr>
                <w:sz w:val="20"/>
                <w:szCs w:val="20"/>
              </w:rPr>
            </w:pPr>
            <w:r>
              <w:rPr>
                <w:rFonts w:ascii="Times New Roman" w:hAnsi="Times New Roman" w:eastAsia="Times New Roman" w:cs="Times New Roman"/>
                <w:spacing w:val="13"/>
                <w:sz w:val="20"/>
                <w:szCs w:val="20"/>
              </w:rPr>
              <w:t>4.4.2</w:t>
            </w:r>
            <w:r>
              <w:rPr>
                <w:spacing w:val="13"/>
                <w:sz w:val="20"/>
                <w:szCs w:val="20"/>
              </w:rPr>
              <w:t>具有电动汽车拆解业务的企业应具</w:t>
            </w:r>
            <w:r>
              <w:rPr>
                <w:spacing w:val="12"/>
                <w:sz w:val="20"/>
                <w:szCs w:val="20"/>
              </w:rPr>
              <w:t xml:space="preserve"> </w:t>
            </w:r>
            <w:r>
              <w:rPr>
                <w:spacing w:val="9"/>
                <w:sz w:val="20"/>
                <w:szCs w:val="20"/>
              </w:rPr>
              <w:t>有动力蓄电池贮存管理人员及</w:t>
            </w:r>
            <w:r>
              <w:rPr>
                <w:rFonts w:ascii="Times New Roman" w:hAnsi="Times New Roman" w:eastAsia="Times New Roman" w:cs="Times New Roman"/>
                <w:spacing w:val="9"/>
                <w:sz w:val="20"/>
                <w:szCs w:val="20"/>
              </w:rPr>
              <w:t>2</w:t>
            </w:r>
            <w:r>
              <w:rPr>
                <w:spacing w:val="9"/>
                <w:sz w:val="20"/>
                <w:szCs w:val="20"/>
              </w:rPr>
              <w:t>人以上持</w:t>
            </w:r>
            <w:r>
              <w:rPr>
                <w:spacing w:val="6"/>
                <w:sz w:val="20"/>
                <w:szCs w:val="20"/>
              </w:rPr>
              <w:t xml:space="preserve"> </w:t>
            </w:r>
            <w:r>
              <w:rPr>
                <w:spacing w:val="3"/>
                <w:sz w:val="20"/>
                <w:szCs w:val="20"/>
              </w:rPr>
              <w:t>电工特种作业操作证人员。动力蓄电池贮</w:t>
            </w:r>
            <w:r>
              <w:rPr>
                <w:spacing w:val="14"/>
                <w:sz w:val="20"/>
                <w:szCs w:val="20"/>
              </w:rPr>
              <w:t xml:space="preserve"> </w:t>
            </w:r>
            <w:r>
              <w:rPr>
                <w:spacing w:val="3"/>
                <w:sz w:val="20"/>
                <w:szCs w:val="20"/>
              </w:rPr>
              <w:t>存管理人员应具有动力蓄电池防火、防泄</w:t>
            </w:r>
            <w:r>
              <w:rPr>
                <w:spacing w:val="14"/>
                <w:sz w:val="20"/>
                <w:szCs w:val="20"/>
              </w:rPr>
              <w:t xml:space="preserve"> </w:t>
            </w:r>
            <w:r>
              <w:rPr>
                <w:spacing w:val="12"/>
                <w:sz w:val="20"/>
                <w:szCs w:val="20"/>
              </w:rPr>
              <w:t>漏、防短路等相关专业知识</w:t>
            </w:r>
            <w:r>
              <w:rPr>
                <w:rFonts w:ascii="Times New Roman" w:hAnsi="Times New Roman" w:eastAsia="Times New Roman" w:cs="Times New Roman"/>
                <w:spacing w:val="12"/>
                <w:sz w:val="20"/>
                <w:szCs w:val="20"/>
              </w:rPr>
              <w:t>.</w:t>
            </w:r>
            <w:r>
              <w:rPr>
                <w:spacing w:val="12"/>
                <w:sz w:val="20"/>
                <w:szCs w:val="20"/>
              </w:rPr>
              <w:t>拆解人员应</w:t>
            </w:r>
            <w:r>
              <w:rPr>
                <w:sz w:val="20"/>
                <w:szCs w:val="20"/>
              </w:rPr>
              <w:t xml:space="preserve"> </w:t>
            </w:r>
            <w:r>
              <w:rPr>
                <w:spacing w:val="15"/>
                <w:sz w:val="20"/>
                <w:szCs w:val="20"/>
              </w:rPr>
              <w:t>在汽车生产企业提供的拆解信息或手册</w:t>
            </w:r>
            <w:r>
              <w:rPr>
                <w:spacing w:val="13"/>
                <w:sz w:val="20"/>
                <w:szCs w:val="20"/>
              </w:rPr>
              <w:t xml:space="preserve"> </w:t>
            </w:r>
            <w:r>
              <w:rPr>
                <w:spacing w:val="7"/>
                <w:sz w:val="20"/>
                <w:szCs w:val="20"/>
              </w:rPr>
              <w:t>的指导下进行拆解。</w:t>
            </w:r>
          </w:p>
          <w:p w14:paraId="2F038EBF">
            <w:pPr>
              <w:pStyle w:val="6"/>
              <w:spacing w:before="39" w:line="228" w:lineRule="auto"/>
              <w:ind w:left="204"/>
              <w:rPr>
                <w:sz w:val="20"/>
                <w:szCs w:val="20"/>
              </w:rPr>
            </w:pPr>
            <w:r>
              <w:rPr>
                <w:rFonts w:ascii="Times New Roman" w:hAnsi="Times New Roman" w:eastAsia="Times New Roman" w:cs="Times New Roman"/>
                <w:spacing w:val="7"/>
                <w:sz w:val="20"/>
                <w:szCs w:val="20"/>
              </w:rPr>
              <w:t>4.5</w:t>
            </w:r>
            <w:r>
              <w:rPr>
                <w:spacing w:val="7"/>
                <w:sz w:val="20"/>
                <w:szCs w:val="20"/>
              </w:rPr>
              <w:t>信息管理要求</w:t>
            </w:r>
          </w:p>
          <w:p w14:paraId="0BB6C7A7">
            <w:pPr>
              <w:pStyle w:val="6"/>
              <w:spacing w:before="76" w:line="288" w:lineRule="auto"/>
              <w:ind w:left="208" w:right="36" w:hanging="4"/>
              <w:rPr>
                <w:sz w:val="20"/>
                <w:szCs w:val="20"/>
              </w:rPr>
            </w:pPr>
            <w:r>
              <w:rPr>
                <w:rFonts w:ascii="Times New Roman" w:hAnsi="Times New Roman" w:eastAsia="Times New Roman" w:cs="Times New Roman"/>
                <w:spacing w:val="-2"/>
                <w:sz w:val="20"/>
                <w:szCs w:val="20"/>
              </w:rPr>
              <w:t>4.5.</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1b)</w:t>
            </w:r>
            <w:r>
              <w:rPr>
                <w:spacing w:val="-2"/>
                <w:sz w:val="20"/>
                <w:szCs w:val="20"/>
              </w:rPr>
              <w:t>将固体废物的来源、种类、产</w:t>
            </w:r>
            <w:r>
              <w:rPr>
                <w:spacing w:val="-3"/>
                <w:sz w:val="20"/>
                <w:szCs w:val="20"/>
              </w:rPr>
              <w:t>生量、</w:t>
            </w:r>
            <w:r>
              <w:rPr>
                <w:sz w:val="20"/>
                <w:szCs w:val="20"/>
              </w:rPr>
              <w:t xml:space="preserve"> </w:t>
            </w:r>
            <w:r>
              <w:rPr>
                <w:spacing w:val="18"/>
                <w:sz w:val="20"/>
                <w:szCs w:val="20"/>
              </w:rPr>
              <w:t>产生时间及处理</w:t>
            </w:r>
            <w:r>
              <w:rPr>
                <w:rFonts w:ascii="Times New Roman" w:hAnsi="Times New Roman" w:eastAsia="Times New Roman" w:cs="Times New Roman"/>
                <w:spacing w:val="18"/>
                <w:sz w:val="20"/>
                <w:szCs w:val="20"/>
              </w:rPr>
              <w:t>(</w:t>
            </w:r>
            <w:r>
              <w:rPr>
                <w:spacing w:val="18"/>
                <w:sz w:val="20"/>
                <w:szCs w:val="20"/>
              </w:rPr>
              <w:t>流向</w:t>
            </w:r>
            <w:r>
              <w:rPr>
                <w:rFonts w:ascii="Times New Roman" w:hAnsi="Times New Roman" w:eastAsia="Times New Roman" w:cs="Times New Roman"/>
                <w:spacing w:val="18"/>
                <w:sz w:val="20"/>
                <w:szCs w:val="20"/>
              </w:rPr>
              <w:t>)</w:t>
            </w:r>
            <w:r>
              <w:rPr>
                <w:spacing w:val="18"/>
                <w:sz w:val="20"/>
                <w:szCs w:val="20"/>
              </w:rPr>
              <w:t>等数据，录入到</w:t>
            </w:r>
            <w:r>
              <w:rPr>
                <w:spacing w:val="10"/>
                <w:sz w:val="20"/>
                <w:szCs w:val="20"/>
              </w:rPr>
              <w:t xml:space="preserve"> </w:t>
            </w:r>
            <w:r>
              <w:rPr>
                <w:spacing w:val="3"/>
                <w:sz w:val="20"/>
                <w:szCs w:val="20"/>
              </w:rPr>
              <w:t>《全国固体废物管理信息系统》或省级生</w:t>
            </w:r>
            <w:r>
              <w:rPr>
                <w:spacing w:val="13"/>
                <w:sz w:val="20"/>
                <w:szCs w:val="20"/>
              </w:rPr>
              <w:t xml:space="preserve"> </w:t>
            </w:r>
            <w:r>
              <w:rPr>
                <w:spacing w:val="15"/>
                <w:sz w:val="20"/>
                <w:szCs w:val="20"/>
              </w:rPr>
              <w:t>态环境主管部门自建与其联网的相关系</w:t>
            </w:r>
            <w:r>
              <w:rPr>
                <w:spacing w:val="12"/>
                <w:sz w:val="20"/>
                <w:szCs w:val="20"/>
              </w:rPr>
              <w:t xml:space="preserve"> </w:t>
            </w:r>
            <w:r>
              <w:rPr>
                <w:spacing w:val="7"/>
                <w:sz w:val="20"/>
                <w:szCs w:val="20"/>
              </w:rPr>
              <w:t>统，其中危险废物处理</w:t>
            </w:r>
            <w:r>
              <w:rPr>
                <w:rFonts w:ascii="Times New Roman" w:hAnsi="Times New Roman" w:eastAsia="Times New Roman" w:cs="Times New Roman"/>
                <w:spacing w:val="7"/>
                <w:sz w:val="20"/>
                <w:szCs w:val="20"/>
              </w:rPr>
              <w:t>(</w:t>
            </w:r>
            <w:r>
              <w:rPr>
                <w:spacing w:val="7"/>
                <w:sz w:val="20"/>
                <w:szCs w:val="20"/>
              </w:rPr>
              <w:t>流向</w:t>
            </w:r>
            <w:r>
              <w:rPr>
                <w:rFonts w:ascii="Times New Roman" w:hAnsi="Times New Roman" w:eastAsia="Times New Roman" w:cs="Times New Roman"/>
                <w:spacing w:val="7"/>
                <w:sz w:val="20"/>
                <w:szCs w:val="20"/>
              </w:rPr>
              <w:t>)</w:t>
            </w:r>
            <w:r>
              <w:rPr>
                <w:spacing w:val="7"/>
                <w:sz w:val="20"/>
                <w:szCs w:val="20"/>
              </w:rPr>
              <w:t>信息保存期</w:t>
            </w:r>
            <w:r>
              <w:rPr>
                <w:spacing w:val="1"/>
                <w:sz w:val="20"/>
                <w:szCs w:val="20"/>
              </w:rPr>
              <w:t xml:space="preserve"> </w:t>
            </w:r>
            <w:r>
              <w:rPr>
                <w:spacing w:val="5"/>
                <w:sz w:val="20"/>
                <w:szCs w:val="20"/>
              </w:rPr>
              <w:t>限为</w:t>
            </w:r>
            <w:r>
              <w:rPr>
                <w:rFonts w:ascii="Times New Roman" w:hAnsi="Times New Roman" w:eastAsia="Times New Roman" w:cs="Times New Roman"/>
                <w:spacing w:val="5"/>
                <w:sz w:val="20"/>
                <w:szCs w:val="20"/>
              </w:rPr>
              <w:t>3</w:t>
            </w:r>
            <w:r>
              <w:rPr>
                <w:spacing w:val="5"/>
                <w:sz w:val="20"/>
                <w:szCs w:val="20"/>
              </w:rPr>
              <w:t>年。</w:t>
            </w:r>
          </w:p>
          <w:p w14:paraId="1187D207">
            <w:pPr>
              <w:pStyle w:val="6"/>
              <w:spacing w:before="55" w:line="229" w:lineRule="auto"/>
              <w:ind w:left="204"/>
              <w:rPr>
                <w:sz w:val="20"/>
                <w:szCs w:val="20"/>
              </w:rPr>
            </w:pPr>
            <w:r>
              <w:rPr>
                <w:rFonts w:ascii="Times New Roman" w:hAnsi="Times New Roman" w:eastAsia="Times New Roman" w:cs="Times New Roman"/>
                <w:spacing w:val="6"/>
                <w:sz w:val="20"/>
                <w:szCs w:val="20"/>
              </w:rPr>
              <w:t>4.6</w:t>
            </w:r>
            <w:r>
              <w:rPr>
                <w:spacing w:val="6"/>
                <w:sz w:val="20"/>
                <w:szCs w:val="20"/>
              </w:rPr>
              <w:t>安全要求</w:t>
            </w:r>
          </w:p>
          <w:p w14:paraId="16BE2084">
            <w:pPr>
              <w:pStyle w:val="6"/>
              <w:spacing w:before="73" w:line="291" w:lineRule="auto"/>
              <w:ind w:left="208" w:right="106" w:hanging="4"/>
              <w:rPr>
                <w:sz w:val="20"/>
                <w:szCs w:val="20"/>
              </w:rPr>
            </w:pPr>
            <w:r>
              <w:rPr>
                <w:rFonts w:ascii="Times New Roman" w:hAnsi="Times New Roman" w:eastAsia="Times New Roman" w:cs="Times New Roman"/>
                <w:spacing w:val="13"/>
                <w:sz w:val="20"/>
                <w:szCs w:val="20"/>
              </w:rPr>
              <w:t>4.6.</w:t>
            </w:r>
            <w:r>
              <w:rPr>
                <w:rFonts w:ascii="Times New Roman" w:hAnsi="Times New Roman" w:eastAsia="Times New Roman" w:cs="Times New Roman"/>
                <w:spacing w:val="-19"/>
                <w:sz w:val="20"/>
                <w:szCs w:val="20"/>
              </w:rPr>
              <w:t xml:space="preserve"> </w:t>
            </w:r>
            <w:r>
              <w:rPr>
                <w:rFonts w:ascii="Times New Roman" w:hAnsi="Times New Roman" w:eastAsia="Times New Roman" w:cs="Times New Roman"/>
                <w:spacing w:val="13"/>
                <w:sz w:val="20"/>
                <w:szCs w:val="20"/>
              </w:rPr>
              <w:t>1</w:t>
            </w:r>
            <w:r>
              <w:rPr>
                <w:spacing w:val="13"/>
                <w:sz w:val="20"/>
                <w:szCs w:val="20"/>
              </w:rPr>
              <w:t>应实施满足</w:t>
            </w:r>
            <w:r>
              <w:rPr>
                <w:rFonts w:ascii="Times New Roman" w:hAnsi="Times New Roman" w:eastAsia="Times New Roman" w:cs="Times New Roman"/>
                <w:sz w:val="20"/>
                <w:szCs w:val="20"/>
              </w:rPr>
              <w:t>GB</w:t>
            </w:r>
            <w:r>
              <w:rPr>
                <w:rFonts w:ascii="Times New Roman" w:hAnsi="Times New Roman" w:eastAsia="Times New Roman" w:cs="Times New Roman"/>
                <w:spacing w:val="13"/>
                <w:sz w:val="20"/>
                <w:szCs w:val="20"/>
              </w:rPr>
              <w:t>/T33000</w:t>
            </w:r>
            <w:r>
              <w:rPr>
                <w:spacing w:val="13"/>
                <w:sz w:val="20"/>
                <w:szCs w:val="20"/>
              </w:rPr>
              <w:t>要求的安全</w:t>
            </w:r>
            <w:r>
              <w:rPr>
                <w:sz w:val="20"/>
                <w:szCs w:val="20"/>
              </w:rPr>
              <w:t xml:space="preserve"> </w:t>
            </w:r>
            <w:r>
              <w:rPr>
                <w:spacing w:val="3"/>
                <w:sz w:val="20"/>
                <w:szCs w:val="20"/>
              </w:rPr>
              <w:t>管理制度，具有水、电、气等安全使用说</w:t>
            </w:r>
            <w:r>
              <w:rPr>
                <w:spacing w:val="13"/>
                <w:sz w:val="20"/>
                <w:szCs w:val="20"/>
              </w:rPr>
              <w:t xml:space="preserve"> </w:t>
            </w:r>
            <w:r>
              <w:rPr>
                <w:spacing w:val="3"/>
                <w:sz w:val="20"/>
                <w:szCs w:val="20"/>
              </w:rPr>
              <w:t>明，安全生产规程，防火，防汛、应急预</w:t>
            </w:r>
            <w:r>
              <w:rPr>
                <w:spacing w:val="13"/>
                <w:sz w:val="20"/>
                <w:szCs w:val="20"/>
              </w:rPr>
              <w:t xml:space="preserve"> </w:t>
            </w:r>
            <w:r>
              <w:rPr>
                <w:spacing w:val="3"/>
                <w:sz w:val="20"/>
                <w:szCs w:val="20"/>
              </w:rPr>
              <w:t>案等。拆除的安全气囊组件应在易燃、易</w:t>
            </w:r>
            <w:r>
              <w:rPr>
                <w:spacing w:val="13"/>
                <w:sz w:val="20"/>
                <w:szCs w:val="20"/>
              </w:rPr>
              <w:t xml:space="preserve"> </w:t>
            </w:r>
            <w:r>
              <w:rPr>
                <w:spacing w:val="15"/>
                <w:sz w:val="20"/>
                <w:szCs w:val="20"/>
              </w:rPr>
              <w:t>爆等危险品仓库及高压输电线路防护区</w:t>
            </w:r>
            <w:r>
              <w:rPr>
                <w:spacing w:val="12"/>
                <w:sz w:val="20"/>
                <w:szCs w:val="20"/>
              </w:rPr>
              <w:t xml:space="preserve"> </w:t>
            </w:r>
            <w:r>
              <w:rPr>
                <w:spacing w:val="3"/>
                <w:sz w:val="20"/>
                <w:szCs w:val="20"/>
              </w:rPr>
              <w:t>域以外引爆，并在引爆区域设有爆炸物安</w:t>
            </w:r>
            <w:r>
              <w:rPr>
                <w:spacing w:val="13"/>
                <w:sz w:val="20"/>
                <w:szCs w:val="20"/>
              </w:rPr>
              <w:t xml:space="preserve"> </w:t>
            </w:r>
            <w:r>
              <w:rPr>
                <w:spacing w:val="8"/>
                <w:sz w:val="20"/>
                <w:szCs w:val="20"/>
              </w:rPr>
              <w:t>全警示标志和隔离栏。</w:t>
            </w:r>
          </w:p>
          <w:p w14:paraId="70940BE5">
            <w:pPr>
              <w:pStyle w:val="6"/>
              <w:spacing w:before="31" w:line="290" w:lineRule="auto"/>
              <w:ind w:left="208" w:right="54" w:hanging="4"/>
              <w:rPr>
                <w:sz w:val="20"/>
                <w:szCs w:val="20"/>
              </w:rPr>
            </w:pPr>
            <w:r>
              <w:rPr>
                <w:rFonts w:ascii="Times New Roman" w:hAnsi="Times New Roman" w:eastAsia="Times New Roman" w:cs="Times New Roman"/>
                <w:spacing w:val="13"/>
                <w:sz w:val="20"/>
                <w:szCs w:val="20"/>
              </w:rPr>
              <w:t>4.6.2</w:t>
            </w:r>
            <w:r>
              <w:rPr>
                <w:spacing w:val="13"/>
                <w:sz w:val="20"/>
                <w:szCs w:val="20"/>
              </w:rPr>
              <w:t>电动汽车拆解作业人员在带电作业</w:t>
            </w:r>
            <w:r>
              <w:rPr>
                <w:spacing w:val="12"/>
                <w:sz w:val="20"/>
                <w:szCs w:val="20"/>
              </w:rPr>
              <w:t xml:space="preserve"> </w:t>
            </w:r>
            <w:r>
              <w:rPr>
                <w:spacing w:val="3"/>
                <w:sz w:val="20"/>
                <w:szCs w:val="20"/>
              </w:rPr>
              <w:t>过程中应进行安全防护，穿戴好绝缘工作</w:t>
            </w:r>
            <w:r>
              <w:rPr>
                <w:spacing w:val="13"/>
                <w:sz w:val="20"/>
                <w:szCs w:val="20"/>
              </w:rPr>
              <w:t xml:space="preserve"> </w:t>
            </w:r>
            <w:r>
              <w:rPr>
                <w:spacing w:val="3"/>
                <w:sz w:val="20"/>
                <w:szCs w:val="20"/>
              </w:rPr>
              <w:t>服等必要的安全防护装备。使用的作业工</w:t>
            </w:r>
            <w:r>
              <w:rPr>
                <w:spacing w:val="13"/>
                <w:sz w:val="20"/>
                <w:szCs w:val="20"/>
              </w:rPr>
              <w:t xml:space="preserve"> </w:t>
            </w:r>
            <w:r>
              <w:rPr>
                <w:spacing w:val="6"/>
                <w:sz w:val="20"/>
                <w:szCs w:val="20"/>
              </w:rPr>
              <w:t>具应是绝缘的或经绝缘处理的。作业时，</w:t>
            </w:r>
            <w:r>
              <w:rPr>
                <w:spacing w:val="11"/>
                <w:sz w:val="20"/>
                <w:szCs w:val="20"/>
              </w:rPr>
              <w:t xml:space="preserve"> </w:t>
            </w:r>
            <w:r>
              <w:rPr>
                <w:spacing w:val="8"/>
                <w:sz w:val="20"/>
                <w:szCs w:val="20"/>
              </w:rPr>
              <w:t>应有专职监督人员实时监护。</w:t>
            </w:r>
          </w:p>
          <w:p w14:paraId="04DD9C6A">
            <w:pPr>
              <w:pStyle w:val="6"/>
              <w:spacing w:before="30" w:line="280" w:lineRule="auto"/>
              <w:ind w:left="208" w:right="106" w:hanging="4"/>
              <w:rPr>
                <w:sz w:val="20"/>
                <w:szCs w:val="20"/>
              </w:rPr>
            </w:pPr>
            <w:r>
              <w:rPr>
                <w:rFonts w:ascii="Times New Roman" w:hAnsi="Times New Roman" w:eastAsia="Times New Roman" w:cs="Times New Roman"/>
                <w:spacing w:val="13"/>
                <w:sz w:val="20"/>
                <w:szCs w:val="20"/>
              </w:rPr>
              <w:t>4.6.3</w:t>
            </w:r>
            <w:r>
              <w:rPr>
                <w:spacing w:val="13"/>
                <w:sz w:val="20"/>
                <w:szCs w:val="20"/>
              </w:rPr>
              <w:t>厂内转移报废电动汽车和动力蓄电</w:t>
            </w:r>
            <w:r>
              <w:rPr>
                <w:spacing w:val="12"/>
                <w:sz w:val="20"/>
                <w:szCs w:val="20"/>
              </w:rPr>
              <w:t xml:space="preserve"> </w:t>
            </w:r>
            <w:r>
              <w:rPr>
                <w:spacing w:val="8"/>
                <w:sz w:val="20"/>
                <w:szCs w:val="20"/>
              </w:rPr>
              <w:t>池应进行固定，防止碰撞、跌落。</w:t>
            </w:r>
          </w:p>
          <w:p w14:paraId="00EAC68E">
            <w:pPr>
              <w:pStyle w:val="6"/>
              <w:spacing w:before="35" w:line="284" w:lineRule="auto"/>
              <w:ind w:left="209" w:right="106" w:hanging="5"/>
              <w:rPr>
                <w:sz w:val="20"/>
                <w:szCs w:val="20"/>
              </w:rPr>
            </w:pPr>
            <w:r>
              <w:rPr>
                <w:rFonts w:ascii="Times New Roman" w:hAnsi="Times New Roman" w:eastAsia="Times New Roman" w:cs="Times New Roman"/>
                <w:spacing w:val="3"/>
                <w:sz w:val="20"/>
                <w:szCs w:val="20"/>
              </w:rPr>
              <w:t>4.6.4</w:t>
            </w:r>
            <w:r>
              <w:rPr>
                <w:spacing w:val="3"/>
                <w:sz w:val="20"/>
                <w:szCs w:val="20"/>
              </w:rPr>
              <w:t>场地内应设置相应的安全标志，安全</w:t>
            </w:r>
            <w:r>
              <w:rPr>
                <w:spacing w:val="9"/>
                <w:sz w:val="20"/>
                <w:szCs w:val="20"/>
              </w:rPr>
              <w:t xml:space="preserve"> </w:t>
            </w:r>
            <w:r>
              <w:rPr>
                <w:spacing w:val="7"/>
                <w:sz w:val="20"/>
                <w:szCs w:val="20"/>
              </w:rPr>
              <w:t>标志的使用应满足</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 xml:space="preserve"> 2894</w:t>
            </w:r>
            <w:r>
              <w:rPr>
                <w:spacing w:val="7"/>
                <w:sz w:val="20"/>
                <w:szCs w:val="20"/>
              </w:rPr>
              <w:t>中关于禁止、</w:t>
            </w:r>
            <w:r>
              <w:rPr>
                <w:spacing w:val="6"/>
                <w:sz w:val="20"/>
                <w:szCs w:val="20"/>
              </w:rPr>
              <w:t xml:space="preserve"> </w:t>
            </w:r>
            <w:r>
              <w:rPr>
                <w:spacing w:val="8"/>
                <w:sz w:val="20"/>
                <w:szCs w:val="20"/>
              </w:rPr>
              <w:t>警告、指令。提示标志的要求。</w:t>
            </w:r>
          </w:p>
          <w:p w14:paraId="4517A780">
            <w:pPr>
              <w:pStyle w:val="6"/>
              <w:spacing w:before="36" w:line="288" w:lineRule="auto"/>
              <w:ind w:left="208" w:right="106" w:hanging="4"/>
              <w:rPr>
                <w:sz w:val="20"/>
                <w:szCs w:val="20"/>
              </w:rPr>
            </w:pPr>
            <w:r>
              <w:rPr>
                <w:rFonts w:ascii="Times New Roman" w:hAnsi="Times New Roman" w:eastAsia="Times New Roman" w:cs="Times New Roman"/>
                <w:spacing w:val="8"/>
                <w:sz w:val="20"/>
                <w:szCs w:val="20"/>
              </w:rPr>
              <w:t>4.6.5</w:t>
            </w:r>
            <w:r>
              <w:rPr>
                <w:spacing w:val="8"/>
                <w:sz w:val="20"/>
                <w:szCs w:val="20"/>
              </w:rPr>
              <w:t>应按照</w:t>
            </w:r>
            <w:r>
              <w:rPr>
                <w:rFonts w:ascii="Times New Roman" w:hAnsi="Times New Roman" w:eastAsia="Times New Roman" w:cs="Times New Roman"/>
                <w:sz w:val="20"/>
                <w:szCs w:val="20"/>
              </w:rPr>
              <w:t>GBZ</w:t>
            </w:r>
            <w:r>
              <w:rPr>
                <w:rFonts w:ascii="Times New Roman" w:hAnsi="Times New Roman" w:eastAsia="Times New Roman" w:cs="Times New Roman"/>
                <w:spacing w:val="8"/>
                <w:sz w:val="20"/>
                <w:szCs w:val="20"/>
              </w:rPr>
              <w:t>188</w:t>
            </w:r>
            <w:r>
              <w:rPr>
                <w:spacing w:val="8"/>
                <w:sz w:val="20"/>
                <w:szCs w:val="20"/>
              </w:rPr>
              <w:t>的规定对接触汽油等</w:t>
            </w:r>
            <w:r>
              <w:rPr>
                <w:spacing w:val="12"/>
                <w:sz w:val="20"/>
                <w:szCs w:val="20"/>
              </w:rPr>
              <w:t xml:space="preserve"> </w:t>
            </w:r>
            <w:r>
              <w:rPr>
                <w:spacing w:val="3"/>
                <w:sz w:val="20"/>
                <w:szCs w:val="20"/>
              </w:rPr>
              <w:t>有害化学因素，噪声、手传振动等有害物</w:t>
            </w:r>
            <w:r>
              <w:rPr>
                <w:spacing w:val="13"/>
                <w:sz w:val="20"/>
                <w:szCs w:val="20"/>
              </w:rPr>
              <w:t xml:space="preserve"> </w:t>
            </w:r>
            <w:r>
              <w:rPr>
                <w:spacing w:val="3"/>
                <w:sz w:val="20"/>
                <w:szCs w:val="20"/>
              </w:rPr>
              <w:t>理因素的作业人员及粉尘。电工，压力容</w:t>
            </w:r>
            <w:r>
              <w:rPr>
                <w:spacing w:val="13"/>
                <w:sz w:val="20"/>
                <w:szCs w:val="20"/>
              </w:rPr>
              <w:t xml:space="preserve"> </w:t>
            </w:r>
            <w:r>
              <w:rPr>
                <w:spacing w:val="8"/>
                <w:sz w:val="20"/>
                <w:szCs w:val="20"/>
              </w:rPr>
              <w:t>器等作业人员进行监护。</w:t>
            </w:r>
          </w:p>
          <w:p w14:paraId="1934F680">
            <w:pPr>
              <w:pStyle w:val="6"/>
              <w:spacing w:before="41" w:line="228" w:lineRule="auto"/>
              <w:ind w:left="204"/>
              <w:rPr>
                <w:sz w:val="20"/>
                <w:szCs w:val="20"/>
              </w:rPr>
            </w:pPr>
            <w:r>
              <w:rPr>
                <w:rFonts w:ascii="Times New Roman" w:hAnsi="Times New Roman" w:eastAsia="Times New Roman" w:cs="Times New Roman"/>
                <w:spacing w:val="6"/>
                <w:sz w:val="20"/>
                <w:szCs w:val="20"/>
              </w:rPr>
              <w:t>4.7</w:t>
            </w:r>
            <w:r>
              <w:rPr>
                <w:spacing w:val="6"/>
                <w:sz w:val="20"/>
                <w:szCs w:val="20"/>
              </w:rPr>
              <w:t>环保要求</w:t>
            </w:r>
          </w:p>
          <w:p w14:paraId="105C4994">
            <w:pPr>
              <w:pStyle w:val="6"/>
              <w:spacing w:before="74" w:line="285" w:lineRule="auto"/>
              <w:ind w:left="209" w:right="105" w:hanging="5"/>
              <w:rPr>
                <w:sz w:val="20"/>
                <w:szCs w:val="20"/>
              </w:rPr>
            </w:pPr>
            <w:r>
              <w:rPr>
                <w:rFonts w:ascii="Times New Roman" w:hAnsi="Times New Roman" w:eastAsia="Times New Roman" w:cs="Times New Roman"/>
                <w:spacing w:val="12"/>
                <w:sz w:val="20"/>
                <w:szCs w:val="20"/>
              </w:rPr>
              <w:t>4.7.</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12"/>
                <w:sz w:val="20"/>
                <w:szCs w:val="20"/>
              </w:rPr>
              <w:t>1</w:t>
            </w:r>
            <w:r>
              <w:rPr>
                <w:spacing w:val="12"/>
                <w:sz w:val="20"/>
                <w:szCs w:val="20"/>
              </w:rPr>
              <w:t>报废机动车拆解过程应满足</w:t>
            </w:r>
            <w:r>
              <w:rPr>
                <w:rFonts w:ascii="Times New Roman" w:hAnsi="Times New Roman" w:eastAsia="Times New Roman" w:cs="Times New Roman"/>
                <w:sz w:val="20"/>
                <w:szCs w:val="20"/>
              </w:rPr>
              <w:t>HJ</w:t>
            </w:r>
            <w:r>
              <w:rPr>
                <w:rFonts w:ascii="Times New Roman" w:hAnsi="Times New Roman" w:eastAsia="Times New Roman" w:cs="Times New Roman"/>
                <w:spacing w:val="21"/>
                <w:sz w:val="20"/>
                <w:szCs w:val="20"/>
              </w:rPr>
              <w:t xml:space="preserve"> </w:t>
            </w:r>
            <w:r>
              <w:rPr>
                <w:rFonts w:ascii="Times New Roman" w:hAnsi="Times New Roman" w:eastAsia="Times New Roman" w:cs="Times New Roman"/>
                <w:spacing w:val="12"/>
                <w:sz w:val="20"/>
                <w:szCs w:val="20"/>
              </w:rPr>
              <w:t>348</w:t>
            </w:r>
            <w:r>
              <w:rPr>
                <w:rFonts w:ascii="Times New Roman" w:hAnsi="Times New Roman" w:eastAsia="Times New Roman" w:cs="Times New Roman"/>
                <w:sz w:val="20"/>
                <w:szCs w:val="20"/>
              </w:rPr>
              <w:t xml:space="preserve"> </w:t>
            </w:r>
            <w:r>
              <w:rPr>
                <w:spacing w:val="3"/>
                <w:sz w:val="20"/>
                <w:szCs w:val="20"/>
              </w:rPr>
              <w:t>中所规定的清污分流、污水达标排放等环</w:t>
            </w:r>
            <w:r>
              <w:rPr>
                <w:spacing w:val="12"/>
                <w:sz w:val="20"/>
                <w:szCs w:val="20"/>
              </w:rPr>
              <w:t xml:space="preserve"> </w:t>
            </w:r>
            <w:r>
              <w:rPr>
                <w:spacing w:val="8"/>
                <w:sz w:val="20"/>
                <w:szCs w:val="20"/>
              </w:rPr>
              <w:t>境保护和污染控制的相关要求。</w:t>
            </w:r>
          </w:p>
          <w:p w14:paraId="3AF8535C">
            <w:pPr>
              <w:pStyle w:val="6"/>
              <w:spacing w:before="35" w:line="282" w:lineRule="auto"/>
              <w:ind w:left="209" w:right="106" w:hanging="5"/>
              <w:rPr>
                <w:sz w:val="20"/>
                <w:szCs w:val="20"/>
              </w:rPr>
            </w:pPr>
            <w:r>
              <w:rPr>
                <w:rFonts w:ascii="Times New Roman" w:hAnsi="Times New Roman" w:eastAsia="Times New Roman" w:cs="Times New Roman"/>
                <w:spacing w:val="13"/>
                <w:sz w:val="20"/>
                <w:szCs w:val="20"/>
              </w:rPr>
              <w:t>4.7.2</w:t>
            </w:r>
            <w:r>
              <w:rPr>
                <w:spacing w:val="13"/>
                <w:sz w:val="20"/>
                <w:szCs w:val="20"/>
              </w:rPr>
              <w:t>应实施满足危险废物规范化管理要</w:t>
            </w:r>
            <w:r>
              <w:rPr>
                <w:spacing w:val="12"/>
                <w:sz w:val="20"/>
                <w:szCs w:val="20"/>
              </w:rPr>
              <w:t xml:space="preserve"> </w:t>
            </w:r>
            <w:r>
              <w:rPr>
                <w:spacing w:val="3"/>
                <w:sz w:val="20"/>
                <w:szCs w:val="20"/>
              </w:rPr>
              <w:t>求的环境管理制度，其中对列入《国家危</w:t>
            </w:r>
            <w:r>
              <w:rPr>
                <w:spacing w:val="12"/>
                <w:sz w:val="20"/>
                <w:szCs w:val="20"/>
              </w:rPr>
              <w:t xml:space="preserve"> </w:t>
            </w:r>
            <w:r>
              <w:rPr>
                <w:spacing w:val="3"/>
                <w:sz w:val="20"/>
                <w:szCs w:val="20"/>
              </w:rPr>
              <w:t>险废物名录》的危险废物应严格按照有关</w:t>
            </w:r>
            <w:r>
              <w:rPr>
                <w:spacing w:val="12"/>
                <w:sz w:val="20"/>
                <w:szCs w:val="20"/>
              </w:rPr>
              <w:t xml:space="preserve"> </w:t>
            </w:r>
            <w:r>
              <w:rPr>
                <w:spacing w:val="6"/>
                <w:sz w:val="20"/>
                <w:szCs w:val="20"/>
              </w:rPr>
              <w:t>规定进行管理。</w:t>
            </w:r>
          </w:p>
        </w:tc>
        <w:tc>
          <w:tcPr>
            <w:tcW w:w="3456" w:type="dxa"/>
            <w:tcBorders>
              <w:top w:val="single" w:color="000000" w:sz="10" w:space="0"/>
            </w:tcBorders>
            <w:vAlign w:val="top"/>
          </w:tcPr>
          <w:p w14:paraId="649DC17A">
            <w:pPr>
              <w:pStyle w:val="6"/>
              <w:spacing w:before="72" w:line="280" w:lineRule="auto"/>
              <w:ind w:left="113" w:right="94"/>
              <w:rPr>
                <w:sz w:val="20"/>
                <w:szCs w:val="20"/>
              </w:rPr>
            </w:pPr>
            <w:r>
              <w:rPr>
                <w:spacing w:val="16"/>
                <w:sz w:val="20"/>
                <w:szCs w:val="20"/>
              </w:rPr>
              <w:t>拆解人员在汽车生产企业提供的拆</w:t>
            </w:r>
            <w:r>
              <w:rPr>
                <w:sz w:val="20"/>
                <w:szCs w:val="20"/>
              </w:rPr>
              <w:t xml:space="preserve"> </w:t>
            </w:r>
            <w:r>
              <w:rPr>
                <w:spacing w:val="8"/>
                <w:sz w:val="20"/>
                <w:szCs w:val="20"/>
              </w:rPr>
              <w:t>解信息或手册的指导下进行拆解。</w:t>
            </w:r>
          </w:p>
        </w:tc>
        <w:tc>
          <w:tcPr>
            <w:tcW w:w="982" w:type="dxa"/>
            <w:vMerge w:val="restart"/>
            <w:tcBorders>
              <w:top w:val="single" w:color="000000" w:sz="10" w:space="0"/>
              <w:bottom w:val="nil"/>
              <w:right w:val="single" w:color="000000" w:sz="10" w:space="0"/>
            </w:tcBorders>
            <w:vAlign w:val="top"/>
          </w:tcPr>
          <w:p w14:paraId="503688B7">
            <w:pPr>
              <w:spacing w:line="245" w:lineRule="auto"/>
              <w:rPr>
                <w:rFonts w:ascii="Arial"/>
                <w:sz w:val="21"/>
              </w:rPr>
            </w:pPr>
          </w:p>
          <w:p w14:paraId="48EA19CD">
            <w:pPr>
              <w:spacing w:line="245" w:lineRule="auto"/>
              <w:rPr>
                <w:rFonts w:ascii="Arial"/>
                <w:sz w:val="21"/>
              </w:rPr>
            </w:pPr>
          </w:p>
          <w:p w14:paraId="1001919B">
            <w:pPr>
              <w:spacing w:line="245" w:lineRule="auto"/>
              <w:rPr>
                <w:rFonts w:ascii="Arial"/>
                <w:sz w:val="21"/>
              </w:rPr>
            </w:pPr>
          </w:p>
          <w:p w14:paraId="6F35D626">
            <w:pPr>
              <w:spacing w:line="246" w:lineRule="auto"/>
              <w:rPr>
                <w:rFonts w:ascii="Arial"/>
                <w:sz w:val="21"/>
              </w:rPr>
            </w:pPr>
          </w:p>
          <w:p w14:paraId="084D7C72">
            <w:pPr>
              <w:spacing w:line="246" w:lineRule="auto"/>
              <w:rPr>
                <w:rFonts w:ascii="Arial"/>
                <w:sz w:val="21"/>
              </w:rPr>
            </w:pPr>
          </w:p>
          <w:p w14:paraId="6369C701">
            <w:pPr>
              <w:spacing w:line="246" w:lineRule="auto"/>
              <w:rPr>
                <w:rFonts w:ascii="Arial"/>
                <w:sz w:val="21"/>
              </w:rPr>
            </w:pPr>
          </w:p>
          <w:p w14:paraId="144CCB0D">
            <w:pPr>
              <w:spacing w:line="246" w:lineRule="auto"/>
              <w:rPr>
                <w:rFonts w:ascii="Arial"/>
                <w:sz w:val="21"/>
              </w:rPr>
            </w:pPr>
          </w:p>
          <w:p w14:paraId="08620841">
            <w:pPr>
              <w:spacing w:line="246" w:lineRule="auto"/>
              <w:rPr>
                <w:rFonts w:ascii="Arial"/>
                <w:sz w:val="21"/>
              </w:rPr>
            </w:pPr>
          </w:p>
          <w:p w14:paraId="1E1405EF">
            <w:pPr>
              <w:spacing w:line="246" w:lineRule="auto"/>
              <w:rPr>
                <w:rFonts w:ascii="Arial"/>
                <w:sz w:val="21"/>
              </w:rPr>
            </w:pPr>
          </w:p>
          <w:p w14:paraId="7E837F3E">
            <w:pPr>
              <w:spacing w:line="246" w:lineRule="auto"/>
              <w:rPr>
                <w:rFonts w:ascii="Arial"/>
                <w:sz w:val="21"/>
              </w:rPr>
            </w:pPr>
          </w:p>
          <w:p w14:paraId="45D09862">
            <w:pPr>
              <w:spacing w:line="246" w:lineRule="auto"/>
              <w:rPr>
                <w:rFonts w:ascii="Arial"/>
                <w:sz w:val="21"/>
              </w:rPr>
            </w:pPr>
          </w:p>
          <w:p w14:paraId="144A0232">
            <w:pPr>
              <w:spacing w:line="246" w:lineRule="auto"/>
              <w:rPr>
                <w:rFonts w:ascii="Arial"/>
                <w:sz w:val="21"/>
              </w:rPr>
            </w:pPr>
          </w:p>
          <w:p w14:paraId="59FCF555">
            <w:pPr>
              <w:spacing w:line="246" w:lineRule="auto"/>
              <w:rPr>
                <w:rFonts w:ascii="Arial"/>
                <w:sz w:val="21"/>
              </w:rPr>
            </w:pPr>
          </w:p>
          <w:p w14:paraId="78EE02FB">
            <w:pPr>
              <w:pStyle w:val="6"/>
              <w:spacing w:before="65" w:line="228" w:lineRule="auto"/>
              <w:ind w:left="238"/>
              <w:rPr>
                <w:sz w:val="20"/>
                <w:szCs w:val="20"/>
              </w:rPr>
            </w:pPr>
            <w:r>
              <w:rPr>
                <w:spacing w:val="3"/>
                <w:sz w:val="20"/>
                <w:szCs w:val="20"/>
              </w:rPr>
              <w:t>符合</w:t>
            </w:r>
          </w:p>
          <w:p w14:paraId="5F332DCC">
            <w:pPr>
              <w:spacing w:line="253" w:lineRule="auto"/>
              <w:rPr>
                <w:rFonts w:ascii="Arial"/>
                <w:sz w:val="21"/>
              </w:rPr>
            </w:pPr>
          </w:p>
          <w:p w14:paraId="730524F2">
            <w:pPr>
              <w:spacing w:line="253" w:lineRule="auto"/>
              <w:rPr>
                <w:rFonts w:ascii="Arial"/>
                <w:sz w:val="21"/>
              </w:rPr>
            </w:pPr>
          </w:p>
          <w:p w14:paraId="3B124EB7">
            <w:pPr>
              <w:spacing w:line="253" w:lineRule="auto"/>
              <w:rPr>
                <w:rFonts w:ascii="Arial"/>
                <w:sz w:val="21"/>
              </w:rPr>
            </w:pPr>
          </w:p>
          <w:p w14:paraId="745BAC1F">
            <w:pPr>
              <w:spacing w:line="253" w:lineRule="auto"/>
              <w:rPr>
                <w:rFonts w:ascii="Arial"/>
                <w:sz w:val="21"/>
              </w:rPr>
            </w:pPr>
          </w:p>
          <w:p w14:paraId="52C7B7B0">
            <w:pPr>
              <w:spacing w:line="253" w:lineRule="auto"/>
              <w:rPr>
                <w:rFonts w:ascii="Arial"/>
                <w:sz w:val="21"/>
              </w:rPr>
            </w:pPr>
          </w:p>
          <w:p w14:paraId="2DC8640B">
            <w:pPr>
              <w:spacing w:line="253" w:lineRule="auto"/>
              <w:rPr>
                <w:rFonts w:ascii="Arial"/>
                <w:sz w:val="21"/>
              </w:rPr>
            </w:pPr>
          </w:p>
          <w:p w14:paraId="2F08E82C">
            <w:pPr>
              <w:spacing w:line="254" w:lineRule="auto"/>
              <w:rPr>
                <w:rFonts w:ascii="Arial"/>
                <w:sz w:val="21"/>
              </w:rPr>
            </w:pPr>
          </w:p>
          <w:p w14:paraId="1A193252">
            <w:pPr>
              <w:spacing w:line="254" w:lineRule="auto"/>
              <w:rPr>
                <w:rFonts w:ascii="Arial"/>
                <w:sz w:val="21"/>
              </w:rPr>
            </w:pPr>
          </w:p>
          <w:p w14:paraId="1CBE8BC5">
            <w:pPr>
              <w:spacing w:line="254" w:lineRule="auto"/>
              <w:rPr>
                <w:rFonts w:ascii="Arial"/>
                <w:sz w:val="21"/>
              </w:rPr>
            </w:pPr>
          </w:p>
          <w:p w14:paraId="621B9A7A">
            <w:pPr>
              <w:spacing w:line="254" w:lineRule="auto"/>
              <w:rPr>
                <w:rFonts w:ascii="Arial"/>
                <w:sz w:val="21"/>
              </w:rPr>
            </w:pPr>
          </w:p>
          <w:p w14:paraId="580D1529">
            <w:pPr>
              <w:spacing w:line="254" w:lineRule="auto"/>
              <w:rPr>
                <w:rFonts w:ascii="Arial"/>
                <w:sz w:val="21"/>
              </w:rPr>
            </w:pPr>
          </w:p>
          <w:p w14:paraId="28758154">
            <w:pPr>
              <w:spacing w:line="254" w:lineRule="auto"/>
              <w:rPr>
                <w:rFonts w:ascii="Arial"/>
                <w:sz w:val="21"/>
              </w:rPr>
            </w:pPr>
          </w:p>
          <w:p w14:paraId="4AD816A4">
            <w:pPr>
              <w:spacing w:line="254" w:lineRule="auto"/>
              <w:rPr>
                <w:rFonts w:ascii="Arial"/>
                <w:sz w:val="21"/>
              </w:rPr>
            </w:pPr>
          </w:p>
          <w:p w14:paraId="0E2754E4">
            <w:pPr>
              <w:spacing w:line="254" w:lineRule="auto"/>
              <w:rPr>
                <w:rFonts w:ascii="Arial"/>
                <w:sz w:val="21"/>
              </w:rPr>
            </w:pPr>
          </w:p>
          <w:p w14:paraId="11D171C2">
            <w:pPr>
              <w:spacing w:line="254" w:lineRule="auto"/>
              <w:rPr>
                <w:rFonts w:ascii="Arial"/>
                <w:sz w:val="21"/>
              </w:rPr>
            </w:pPr>
          </w:p>
          <w:p w14:paraId="0A75C95D">
            <w:pPr>
              <w:spacing w:line="254" w:lineRule="auto"/>
              <w:rPr>
                <w:rFonts w:ascii="Arial"/>
                <w:sz w:val="21"/>
              </w:rPr>
            </w:pPr>
          </w:p>
          <w:p w14:paraId="6C794AE9">
            <w:pPr>
              <w:spacing w:line="254" w:lineRule="auto"/>
              <w:rPr>
                <w:rFonts w:ascii="Arial"/>
                <w:sz w:val="21"/>
              </w:rPr>
            </w:pPr>
          </w:p>
          <w:p w14:paraId="54D5D226">
            <w:pPr>
              <w:pStyle w:val="6"/>
              <w:spacing w:before="65" w:line="228" w:lineRule="auto"/>
              <w:ind w:left="238"/>
              <w:rPr>
                <w:sz w:val="20"/>
                <w:szCs w:val="20"/>
              </w:rPr>
            </w:pPr>
            <w:r>
              <w:rPr>
                <w:spacing w:val="3"/>
                <w:sz w:val="20"/>
                <w:szCs w:val="20"/>
              </w:rPr>
              <w:t>符合</w:t>
            </w:r>
          </w:p>
          <w:p w14:paraId="53088CC7">
            <w:pPr>
              <w:spacing w:line="248" w:lineRule="auto"/>
              <w:rPr>
                <w:rFonts w:ascii="Arial"/>
                <w:sz w:val="21"/>
              </w:rPr>
            </w:pPr>
          </w:p>
          <w:p w14:paraId="527BB0D1">
            <w:pPr>
              <w:spacing w:line="248" w:lineRule="auto"/>
              <w:rPr>
                <w:rFonts w:ascii="Arial"/>
                <w:sz w:val="21"/>
              </w:rPr>
            </w:pPr>
          </w:p>
          <w:p w14:paraId="68302C0C">
            <w:pPr>
              <w:spacing w:line="248" w:lineRule="auto"/>
              <w:rPr>
                <w:rFonts w:ascii="Arial"/>
                <w:sz w:val="21"/>
              </w:rPr>
            </w:pPr>
          </w:p>
          <w:p w14:paraId="30AAC06A">
            <w:pPr>
              <w:spacing w:line="248" w:lineRule="auto"/>
              <w:rPr>
                <w:rFonts w:ascii="Arial"/>
                <w:sz w:val="21"/>
              </w:rPr>
            </w:pPr>
          </w:p>
          <w:p w14:paraId="37F7048A">
            <w:pPr>
              <w:spacing w:line="248" w:lineRule="auto"/>
              <w:rPr>
                <w:rFonts w:ascii="Arial"/>
                <w:sz w:val="21"/>
              </w:rPr>
            </w:pPr>
          </w:p>
          <w:p w14:paraId="0F8EE10E">
            <w:pPr>
              <w:spacing w:line="248" w:lineRule="auto"/>
              <w:rPr>
                <w:rFonts w:ascii="Arial"/>
                <w:sz w:val="21"/>
              </w:rPr>
            </w:pPr>
          </w:p>
          <w:p w14:paraId="60A3AAC4">
            <w:pPr>
              <w:spacing w:line="248" w:lineRule="auto"/>
              <w:rPr>
                <w:rFonts w:ascii="Arial"/>
                <w:sz w:val="21"/>
              </w:rPr>
            </w:pPr>
          </w:p>
          <w:p w14:paraId="55728C2C">
            <w:pPr>
              <w:spacing w:line="248" w:lineRule="auto"/>
              <w:rPr>
                <w:rFonts w:ascii="Arial"/>
                <w:sz w:val="21"/>
              </w:rPr>
            </w:pPr>
          </w:p>
          <w:p w14:paraId="3B3F53A5">
            <w:pPr>
              <w:spacing w:line="248" w:lineRule="auto"/>
              <w:rPr>
                <w:rFonts w:ascii="Arial"/>
                <w:sz w:val="21"/>
              </w:rPr>
            </w:pPr>
          </w:p>
          <w:p w14:paraId="0DB7EAC4">
            <w:pPr>
              <w:spacing w:line="248" w:lineRule="auto"/>
              <w:rPr>
                <w:rFonts w:ascii="Arial"/>
                <w:sz w:val="21"/>
              </w:rPr>
            </w:pPr>
          </w:p>
          <w:p w14:paraId="10D0E981">
            <w:pPr>
              <w:spacing w:line="248" w:lineRule="auto"/>
              <w:rPr>
                <w:rFonts w:ascii="Arial"/>
                <w:sz w:val="21"/>
              </w:rPr>
            </w:pPr>
          </w:p>
          <w:p w14:paraId="2A91C6AC">
            <w:pPr>
              <w:spacing w:line="248" w:lineRule="auto"/>
              <w:rPr>
                <w:rFonts w:ascii="Arial"/>
                <w:sz w:val="21"/>
              </w:rPr>
            </w:pPr>
          </w:p>
          <w:p w14:paraId="27CCB9CE">
            <w:pPr>
              <w:spacing w:line="249" w:lineRule="auto"/>
              <w:rPr>
                <w:rFonts w:ascii="Arial"/>
                <w:sz w:val="21"/>
              </w:rPr>
            </w:pPr>
          </w:p>
          <w:p w14:paraId="68C0679D">
            <w:pPr>
              <w:spacing w:line="249" w:lineRule="auto"/>
              <w:rPr>
                <w:rFonts w:ascii="Arial"/>
                <w:sz w:val="21"/>
              </w:rPr>
            </w:pPr>
          </w:p>
          <w:p w14:paraId="2B060855">
            <w:pPr>
              <w:spacing w:line="249" w:lineRule="auto"/>
              <w:rPr>
                <w:rFonts w:ascii="Arial"/>
                <w:sz w:val="21"/>
              </w:rPr>
            </w:pPr>
          </w:p>
          <w:p w14:paraId="258FB74F">
            <w:pPr>
              <w:spacing w:line="249" w:lineRule="auto"/>
              <w:rPr>
                <w:rFonts w:ascii="Arial"/>
                <w:sz w:val="21"/>
              </w:rPr>
            </w:pPr>
          </w:p>
          <w:p w14:paraId="28E6AFB0">
            <w:pPr>
              <w:spacing w:line="249" w:lineRule="auto"/>
              <w:rPr>
                <w:rFonts w:ascii="Arial"/>
                <w:sz w:val="21"/>
              </w:rPr>
            </w:pPr>
          </w:p>
          <w:p w14:paraId="1D393FDD">
            <w:pPr>
              <w:spacing w:line="249" w:lineRule="auto"/>
              <w:rPr>
                <w:rFonts w:ascii="Arial"/>
                <w:sz w:val="21"/>
              </w:rPr>
            </w:pPr>
          </w:p>
          <w:p w14:paraId="67862D16">
            <w:pPr>
              <w:pStyle w:val="6"/>
              <w:spacing w:before="65" w:line="228" w:lineRule="auto"/>
              <w:ind w:left="238"/>
              <w:rPr>
                <w:sz w:val="20"/>
                <w:szCs w:val="20"/>
              </w:rPr>
            </w:pPr>
            <w:r>
              <w:rPr>
                <w:spacing w:val="3"/>
                <w:sz w:val="20"/>
                <w:szCs w:val="20"/>
              </w:rPr>
              <w:t>符合</w:t>
            </w:r>
          </w:p>
        </w:tc>
      </w:tr>
      <w:tr w14:paraId="751A51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1" w:hRule="atLeast"/>
        </w:trPr>
        <w:tc>
          <w:tcPr>
            <w:tcW w:w="494" w:type="dxa"/>
            <w:vMerge w:val="continue"/>
            <w:tcBorders>
              <w:top w:val="nil"/>
              <w:left w:val="single" w:color="000000" w:sz="10" w:space="0"/>
              <w:bottom w:val="nil"/>
            </w:tcBorders>
            <w:vAlign w:val="top"/>
          </w:tcPr>
          <w:p w14:paraId="65250CD7">
            <w:pPr>
              <w:rPr>
                <w:rFonts w:ascii="Arial"/>
                <w:sz w:val="21"/>
              </w:rPr>
            </w:pPr>
          </w:p>
        </w:tc>
        <w:tc>
          <w:tcPr>
            <w:tcW w:w="3990" w:type="dxa"/>
            <w:vMerge w:val="continue"/>
            <w:tcBorders>
              <w:top w:val="nil"/>
              <w:bottom w:val="nil"/>
            </w:tcBorders>
            <w:vAlign w:val="top"/>
          </w:tcPr>
          <w:p w14:paraId="1628C4EC">
            <w:pPr>
              <w:rPr>
                <w:rFonts w:ascii="Arial"/>
                <w:sz w:val="21"/>
              </w:rPr>
            </w:pPr>
          </w:p>
        </w:tc>
        <w:tc>
          <w:tcPr>
            <w:tcW w:w="3456" w:type="dxa"/>
            <w:vAlign w:val="top"/>
          </w:tcPr>
          <w:p w14:paraId="2A1B96FD">
            <w:pPr>
              <w:pStyle w:val="6"/>
              <w:spacing w:before="243" w:line="288" w:lineRule="auto"/>
              <w:ind w:left="157" w:right="129" w:firstLine="6"/>
              <w:jc w:val="both"/>
              <w:rPr>
                <w:rFonts w:ascii="Times New Roman" w:hAnsi="Times New Roman" w:eastAsia="Times New Roman" w:cs="Times New Roman"/>
                <w:sz w:val="20"/>
                <w:szCs w:val="20"/>
              </w:rPr>
            </w:pPr>
            <w:r>
              <w:rPr>
                <w:spacing w:val="9"/>
                <w:sz w:val="20"/>
                <w:szCs w:val="20"/>
              </w:rPr>
              <w:t>本项目建成后，固体废物产生情况</w:t>
            </w:r>
            <w:r>
              <w:rPr>
                <w:spacing w:val="3"/>
                <w:sz w:val="20"/>
                <w:szCs w:val="20"/>
              </w:rPr>
              <w:t xml:space="preserve"> </w:t>
            </w:r>
            <w:r>
              <w:rPr>
                <w:spacing w:val="9"/>
                <w:sz w:val="20"/>
                <w:szCs w:val="20"/>
              </w:rPr>
              <w:t>按照要求录入到《全国固体废物管</w:t>
            </w:r>
            <w:r>
              <w:rPr>
                <w:spacing w:val="10"/>
                <w:sz w:val="20"/>
                <w:szCs w:val="20"/>
              </w:rPr>
              <w:t xml:space="preserve"> </w:t>
            </w:r>
            <w:r>
              <w:rPr>
                <w:spacing w:val="9"/>
                <w:sz w:val="20"/>
                <w:szCs w:val="20"/>
              </w:rPr>
              <w:t>理信息系统》或省级生态环境主管</w:t>
            </w:r>
            <w:r>
              <w:rPr>
                <w:spacing w:val="10"/>
                <w:sz w:val="20"/>
                <w:szCs w:val="20"/>
              </w:rPr>
              <w:t xml:space="preserve"> </w:t>
            </w:r>
            <w:r>
              <w:rPr>
                <w:spacing w:val="9"/>
                <w:sz w:val="20"/>
                <w:szCs w:val="20"/>
              </w:rPr>
              <w:t>部门自建与其联网的相关系统，危</w:t>
            </w:r>
            <w:r>
              <w:rPr>
                <w:spacing w:val="10"/>
                <w:sz w:val="20"/>
                <w:szCs w:val="20"/>
              </w:rPr>
              <w:t xml:space="preserve"> </w:t>
            </w:r>
            <w:r>
              <w:rPr>
                <w:spacing w:val="7"/>
                <w:sz w:val="20"/>
                <w:szCs w:val="20"/>
              </w:rPr>
              <w:t>险废物处理</w:t>
            </w:r>
            <w:r>
              <w:rPr>
                <w:rFonts w:ascii="Times New Roman" w:hAnsi="Times New Roman" w:eastAsia="Times New Roman" w:cs="Times New Roman"/>
                <w:spacing w:val="7"/>
                <w:sz w:val="20"/>
                <w:szCs w:val="20"/>
              </w:rPr>
              <w:t>(</w:t>
            </w:r>
            <w:r>
              <w:rPr>
                <w:spacing w:val="7"/>
                <w:sz w:val="20"/>
                <w:szCs w:val="20"/>
              </w:rPr>
              <w:t>流向</w:t>
            </w:r>
            <w:r>
              <w:rPr>
                <w:rFonts w:ascii="Times New Roman" w:hAnsi="Times New Roman" w:eastAsia="Times New Roman" w:cs="Times New Roman"/>
                <w:spacing w:val="7"/>
                <w:sz w:val="20"/>
                <w:szCs w:val="20"/>
              </w:rPr>
              <w:t>)</w:t>
            </w:r>
            <w:r>
              <w:rPr>
                <w:spacing w:val="7"/>
                <w:sz w:val="20"/>
                <w:szCs w:val="20"/>
              </w:rPr>
              <w:t>信息保存期限为</w:t>
            </w:r>
            <w:r>
              <w:rPr>
                <w:rFonts w:ascii="Times New Roman" w:hAnsi="Times New Roman" w:eastAsia="Times New Roman" w:cs="Times New Roman"/>
                <w:spacing w:val="7"/>
                <w:sz w:val="20"/>
                <w:szCs w:val="20"/>
              </w:rPr>
              <w:t>3</w:t>
            </w:r>
          </w:p>
          <w:p w14:paraId="345FD274">
            <w:pPr>
              <w:pStyle w:val="6"/>
              <w:spacing w:before="38" w:line="228" w:lineRule="auto"/>
              <w:ind w:left="1528"/>
              <w:rPr>
                <w:sz w:val="20"/>
                <w:szCs w:val="20"/>
              </w:rPr>
            </w:pPr>
            <w:r>
              <w:rPr>
                <w:sz w:val="20"/>
                <w:szCs w:val="20"/>
              </w:rPr>
              <w:t>年。</w:t>
            </w:r>
          </w:p>
        </w:tc>
        <w:tc>
          <w:tcPr>
            <w:tcW w:w="982" w:type="dxa"/>
            <w:vMerge w:val="continue"/>
            <w:tcBorders>
              <w:top w:val="nil"/>
              <w:bottom w:val="nil"/>
              <w:right w:val="single" w:color="000000" w:sz="10" w:space="0"/>
            </w:tcBorders>
            <w:vAlign w:val="top"/>
          </w:tcPr>
          <w:p w14:paraId="49930761">
            <w:pPr>
              <w:rPr>
                <w:rFonts w:ascii="Arial"/>
                <w:sz w:val="21"/>
              </w:rPr>
            </w:pPr>
          </w:p>
        </w:tc>
      </w:tr>
      <w:tr w14:paraId="5F5381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32" w:hRule="atLeast"/>
        </w:trPr>
        <w:tc>
          <w:tcPr>
            <w:tcW w:w="494" w:type="dxa"/>
            <w:vMerge w:val="continue"/>
            <w:tcBorders>
              <w:top w:val="nil"/>
              <w:left w:val="single" w:color="000000" w:sz="10" w:space="0"/>
              <w:bottom w:val="nil"/>
            </w:tcBorders>
            <w:vAlign w:val="top"/>
          </w:tcPr>
          <w:p w14:paraId="4AB8FCEF">
            <w:pPr>
              <w:rPr>
                <w:rFonts w:ascii="Arial"/>
                <w:sz w:val="21"/>
              </w:rPr>
            </w:pPr>
          </w:p>
        </w:tc>
        <w:tc>
          <w:tcPr>
            <w:tcW w:w="3990" w:type="dxa"/>
            <w:vMerge w:val="continue"/>
            <w:tcBorders>
              <w:top w:val="nil"/>
              <w:bottom w:val="nil"/>
            </w:tcBorders>
            <w:vAlign w:val="top"/>
          </w:tcPr>
          <w:p w14:paraId="2960AA50">
            <w:pPr>
              <w:rPr>
                <w:rFonts w:ascii="Arial"/>
                <w:sz w:val="21"/>
              </w:rPr>
            </w:pPr>
          </w:p>
        </w:tc>
        <w:tc>
          <w:tcPr>
            <w:tcW w:w="3456" w:type="dxa"/>
            <w:vAlign w:val="top"/>
          </w:tcPr>
          <w:p w14:paraId="345F29C9">
            <w:pPr>
              <w:spacing w:line="243" w:lineRule="auto"/>
              <w:rPr>
                <w:rFonts w:ascii="Arial"/>
                <w:sz w:val="21"/>
              </w:rPr>
            </w:pPr>
          </w:p>
          <w:p w14:paraId="4C2AA006">
            <w:pPr>
              <w:spacing w:line="244" w:lineRule="auto"/>
              <w:rPr>
                <w:rFonts w:ascii="Arial"/>
                <w:sz w:val="21"/>
              </w:rPr>
            </w:pPr>
          </w:p>
          <w:p w14:paraId="32EAC05C">
            <w:pPr>
              <w:spacing w:line="244" w:lineRule="auto"/>
              <w:rPr>
                <w:rFonts w:ascii="Arial"/>
                <w:sz w:val="21"/>
              </w:rPr>
            </w:pPr>
          </w:p>
          <w:p w14:paraId="74EB3434">
            <w:pPr>
              <w:spacing w:line="244" w:lineRule="auto"/>
              <w:rPr>
                <w:rFonts w:ascii="Arial"/>
                <w:sz w:val="21"/>
              </w:rPr>
            </w:pPr>
          </w:p>
          <w:p w14:paraId="12198854">
            <w:pPr>
              <w:pStyle w:val="6"/>
              <w:spacing w:before="65" w:line="289" w:lineRule="auto"/>
              <w:ind w:left="115" w:right="94"/>
              <w:jc w:val="both"/>
              <w:rPr>
                <w:sz w:val="20"/>
                <w:szCs w:val="20"/>
              </w:rPr>
            </w:pPr>
            <w:r>
              <w:rPr>
                <w:spacing w:val="16"/>
                <w:sz w:val="20"/>
                <w:szCs w:val="20"/>
              </w:rPr>
              <w:t>本项目实施满足</w:t>
            </w:r>
            <w:r>
              <w:rPr>
                <w:rFonts w:ascii="Times New Roman" w:hAnsi="Times New Roman" w:eastAsia="Times New Roman" w:cs="Times New Roman"/>
                <w:sz w:val="20"/>
                <w:szCs w:val="20"/>
              </w:rPr>
              <w:t>GB</w:t>
            </w:r>
            <w:r>
              <w:rPr>
                <w:rFonts w:ascii="Times New Roman" w:hAnsi="Times New Roman" w:eastAsia="Times New Roman" w:cs="Times New Roman"/>
                <w:spacing w:val="16"/>
                <w:sz w:val="20"/>
                <w:szCs w:val="20"/>
              </w:rPr>
              <w:t>/T33000</w:t>
            </w:r>
            <w:r>
              <w:rPr>
                <w:spacing w:val="16"/>
                <w:sz w:val="20"/>
                <w:szCs w:val="20"/>
              </w:rPr>
              <w:t>要求的</w:t>
            </w:r>
            <w:r>
              <w:rPr>
                <w:spacing w:val="9"/>
                <w:sz w:val="20"/>
                <w:szCs w:val="20"/>
              </w:rPr>
              <w:t xml:space="preserve"> </w:t>
            </w:r>
            <w:r>
              <w:rPr>
                <w:spacing w:val="12"/>
                <w:sz w:val="20"/>
                <w:szCs w:val="20"/>
              </w:rPr>
              <w:t>安全管理制度，具有水、</w:t>
            </w:r>
            <w:r>
              <w:rPr>
                <w:spacing w:val="-42"/>
                <w:sz w:val="20"/>
                <w:szCs w:val="20"/>
              </w:rPr>
              <w:t xml:space="preserve"> </w:t>
            </w:r>
            <w:r>
              <w:rPr>
                <w:spacing w:val="12"/>
                <w:sz w:val="20"/>
                <w:szCs w:val="20"/>
              </w:rPr>
              <w:t>电、气等</w:t>
            </w:r>
            <w:r>
              <w:rPr>
                <w:sz w:val="20"/>
                <w:szCs w:val="20"/>
              </w:rPr>
              <w:t xml:space="preserve"> </w:t>
            </w:r>
            <w:r>
              <w:rPr>
                <w:spacing w:val="15"/>
                <w:sz w:val="20"/>
                <w:szCs w:val="20"/>
              </w:rPr>
              <w:t>安全使用说明，安全生产规程，防</w:t>
            </w:r>
            <w:r>
              <w:rPr>
                <w:spacing w:val="13"/>
                <w:sz w:val="20"/>
                <w:szCs w:val="20"/>
              </w:rPr>
              <w:t xml:space="preserve"> </w:t>
            </w:r>
            <w:r>
              <w:rPr>
                <w:spacing w:val="15"/>
                <w:sz w:val="20"/>
                <w:szCs w:val="20"/>
              </w:rPr>
              <w:t>火，防汛、应急预案等。项目拆解</w:t>
            </w:r>
            <w:r>
              <w:rPr>
                <w:spacing w:val="11"/>
                <w:sz w:val="20"/>
                <w:szCs w:val="20"/>
              </w:rPr>
              <w:t xml:space="preserve"> </w:t>
            </w:r>
            <w:r>
              <w:rPr>
                <w:spacing w:val="8"/>
                <w:sz w:val="20"/>
                <w:szCs w:val="20"/>
              </w:rPr>
              <w:t>的农机具中不涉及安全气囊。</w:t>
            </w:r>
          </w:p>
          <w:p w14:paraId="6C392729">
            <w:pPr>
              <w:pStyle w:val="6"/>
              <w:spacing w:before="31" w:line="227" w:lineRule="auto"/>
              <w:ind w:left="115"/>
              <w:rPr>
                <w:sz w:val="20"/>
                <w:szCs w:val="20"/>
              </w:rPr>
            </w:pPr>
            <w:r>
              <w:rPr>
                <w:spacing w:val="8"/>
                <w:sz w:val="20"/>
                <w:szCs w:val="20"/>
              </w:rPr>
              <w:t>本项目不进行电动汽车拆解。</w:t>
            </w:r>
          </w:p>
          <w:p w14:paraId="49B9D7DA">
            <w:pPr>
              <w:pStyle w:val="6"/>
              <w:spacing w:before="76" w:line="280" w:lineRule="auto"/>
              <w:ind w:left="127" w:right="145" w:hanging="10"/>
              <w:rPr>
                <w:sz w:val="20"/>
                <w:szCs w:val="20"/>
              </w:rPr>
            </w:pPr>
            <w:r>
              <w:rPr>
                <w:spacing w:val="12"/>
                <w:sz w:val="20"/>
                <w:szCs w:val="20"/>
              </w:rPr>
              <w:t>厂内转移报动力蓄电池进行固定，</w:t>
            </w:r>
            <w:r>
              <w:rPr>
                <w:spacing w:val="6"/>
                <w:sz w:val="20"/>
                <w:szCs w:val="20"/>
              </w:rPr>
              <w:t xml:space="preserve"> </w:t>
            </w:r>
            <w:r>
              <w:rPr>
                <w:spacing w:val="5"/>
                <w:sz w:val="20"/>
                <w:szCs w:val="20"/>
              </w:rPr>
              <w:t>防止碰撞、跌落。</w:t>
            </w:r>
          </w:p>
          <w:p w14:paraId="672A67E6">
            <w:pPr>
              <w:pStyle w:val="6"/>
              <w:spacing w:before="31" w:line="292" w:lineRule="auto"/>
              <w:ind w:left="114" w:right="26" w:hanging="1"/>
              <w:rPr>
                <w:sz w:val="20"/>
                <w:szCs w:val="20"/>
              </w:rPr>
            </w:pPr>
            <w:r>
              <w:rPr>
                <w:spacing w:val="16"/>
                <w:sz w:val="20"/>
                <w:szCs w:val="20"/>
              </w:rPr>
              <w:t>场地内设置相应的安全标志，安全</w:t>
            </w:r>
            <w:r>
              <w:rPr>
                <w:spacing w:val="1"/>
                <w:sz w:val="20"/>
                <w:szCs w:val="20"/>
              </w:rPr>
              <w:t xml:space="preserve"> </w:t>
            </w:r>
            <w:r>
              <w:rPr>
                <w:spacing w:val="19"/>
                <w:sz w:val="20"/>
                <w:szCs w:val="20"/>
              </w:rPr>
              <w:t>标志的使用满足</w:t>
            </w:r>
            <w:r>
              <w:rPr>
                <w:rFonts w:ascii="Times New Roman" w:hAnsi="Times New Roman" w:eastAsia="Times New Roman" w:cs="Times New Roman"/>
                <w:sz w:val="20"/>
                <w:szCs w:val="20"/>
              </w:rPr>
              <w:t>GB</w:t>
            </w:r>
            <w:r>
              <w:rPr>
                <w:rFonts w:ascii="Times New Roman" w:hAnsi="Times New Roman" w:eastAsia="Times New Roman" w:cs="Times New Roman"/>
                <w:spacing w:val="24"/>
                <w:w w:val="101"/>
                <w:sz w:val="20"/>
                <w:szCs w:val="20"/>
              </w:rPr>
              <w:t xml:space="preserve"> </w:t>
            </w:r>
            <w:r>
              <w:rPr>
                <w:rFonts w:ascii="Times New Roman" w:hAnsi="Times New Roman" w:eastAsia="Times New Roman" w:cs="Times New Roman"/>
                <w:spacing w:val="19"/>
                <w:sz w:val="20"/>
                <w:szCs w:val="20"/>
              </w:rPr>
              <w:t>2894</w:t>
            </w:r>
            <w:r>
              <w:rPr>
                <w:spacing w:val="19"/>
                <w:sz w:val="20"/>
                <w:szCs w:val="20"/>
              </w:rPr>
              <w:t>中关于禁</w:t>
            </w:r>
            <w:r>
              <w:rPr>
                <w:sz w:val="20"/>
                <w:szCs w:val="20"/>
              </w:rPr>
              <w:t xml:space="preserve"> </w:t>
            </w:r>
            <w:r>
              <w:rPr>
                <w:spacing w:val="6"/>
                <w:sz w:val="20"/>
                <w:szCs w:val="20"/>
              </w:rPr>
              <w:t>止、警告、指令。提示标志的要求。</w:t>
            </w:r>
            <w:r>
              <w:rPr>
                <w:spacing w:val="12"/>
                <w:sz w:val="20"/>
                <w:szCs w:val="20"/>
              </w:rPr>
              <w:t xml:space="preserve"> </w:t>
            </w:r>
            <w:r>
              <w:rPr>
                <w:spacing w:val="20"/>
                <w:sz w:val="20"/>
                <w:szCs w:val="20"/>
              </w:rPr>
              <w:t>按照</w:t>
            </w:r>
            <w:r>
              <w:rPr>
                <w:rFonts w:ascii="Times New Roman" w:hAnsi="Times New Roman" w:eastAsia="Times New Roman" w:cs="Times New Roman"/>
                <w:sz w:val="20"/>
                <w:szCs w:val="20"/>
              </w:rPr>
              <w:t>GBZ</w:t>
            </w:r>
            <w:r>
              <w:rPr>
                <w:rFonts w:ascii="Times New Roman" w:hAnsi="Times New Roman" w:eastAsia="Times New Roman" w:cs="Times New Roman"/>
                <w:spacing w:val="20"/>
                <w:sz w:val="20"/>
                <w:szCs w:val="20"/>
              </w:rPr>
              <w:t>188</w:t>
            </w:r>
            <w:r>
              <w:rPr>
                <w:rFonts w:ascii="Times New Roman" w:hAnsi="Times New Roman" w:eastAsia="Times New Roman" w:cs="Times New Roman"/>
                <w:spacing w:val="7"/>
                <w:sz w:val="20"/>
                <w:szCs w:val="20"/>
              </w:rPr>
              <w:t xml:space="preserve"> </w:t>
            </w:r>
            <w:r>
              <w:rPr>
                <w:spacing w:val="20"/>
                <w:sz w:val="20"/>
                <w:szCs w:val="20"/>
              </w:rPr>
              <w:t>的规定对接触汽油等</w:t>
            </w:r>
            <w:r>
              <w:rPr>
                <w:sz w:val="20"/>
                <w:szCs w:val="20"/>
              </w:rPr>
              <w:t xml:space="preserve"> </w:t>
            </w:r>
            <w:r>
              <w:rPr>
                <w:spacing w:val="16"/>
                <w:sz w:val="20"/>
                <w:szCs w:val="20"/>
              </w:rPr>
              <w:t>有害化学因素，噪声、手传振动等</w:t>
            </w:r>
            <w:r>
              <w:rPr>
                <w:sz w:val="20"/>
                <w:szCs w:val="20"/>
              </w:rPr>
              <w:t xml:space="preserve"> </w:t>
            </w:r>
            <w:r>
              <w:rPr>
                <w:spacing w:val="17"/>
                <w:sz w:val="20"/>
                <w:szCs w:val="20"/>
              </w:rPr>
              <w:t>有害物理因素的作业人员及粉尘。</w:t>
            </w:r>
            <w:r>
              <w:rPr>
                <w:spacing w:val="4"/>
                <w:sz w:val="20"/>
                <w:szCs w:val="20"/>
              </w:rPr>
              <w:t xml:space="preserve"> </w:t>
            </w:r>
            <w:r>
              <w:rPr>
                <w:spacing w:val="16"/>
                <w:sz w:val="20"/>
                <w:szCs w:val="20"/>
              </w:rPr>
              <w:t>电工，压力容器等作业人员进行监</w:t>
            </w:r>
            <w:r>
              <w:rPr>
                <w:sz w:val="20"/>
                <w:szCs w:val="20"/>
              </w:rPr>
              <w:t xml:space="preserve"> 护。</w:t>
            </w:r>
          </w:p>
        </w:tc>
        <w:tc>
          <w:tcPr>
            <w:tcW w:w="982" w:type="dxa"/>
            <w:vMerge w:val="continue"/>
            <w:tcBorders>
              <w:top w:val="nil"/>
              <w:bottom w:val="nil"/>
              <w:right w:val="single" w:color="000000" w:sz="10" w:space="0"/>
            </w:tcBorders>
            <w:vAlign w:val="top"/>
          </w:tcPr>
          <w:p w14:paraId="4C39BD68">
            <w:pPr>
              <w:rPr>
                <w:rFonts w:ascii="Arial"/>
                <w:sz w:val="21"/>
              </w:rPr>
            </w:pPr>
          </w:p>
        </w:tc>
      </w:tr>
      <w:tr w14:paraId="6749A8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12" w:hRule="atLeast"/>
        </w:trPr>
        <w:tc>
          <w:tcPr>
            <w:tcW w:w="494" w:type="dxa"/>
            <w:vMerge w:val="continue"/>
            <w:tcBorders>
              <w:top w:val="nil"/>
              <w:left w:val="single" w:color="000000" w:sz="10" w:space="0"/>
              <w:bottom w:val="single" w:color="000000" w:sz="10" w:space="0"/>
            </w:tcBorders>
            <w:vAlign w:val="top"/>
          </w:tcPr>
          <w:p w14:paraId="55376818">
            <w:pPr>
              <w:rPr>
                <w:rFonts w:ascii="Arial"/>
                <w:sz w:val="21"/>
              </w:rPr>
            </w:pPr>
          </w:p>
        </w:tc>
        <w:tc>
          <w:tcPr>
            <w:tcW w:w="3990" w:type="dxa"/>
            <w:vMerge w:val="continue"/>
            <w:tcBorders>
              <w:top w:val="nil"/>
              <w:bottom w:val="single" w:color="000000" w:sz="10" w:space="0"/>
            </w:tcBorders>
            <w:vAlign w:val="top"/>
          </w:tcPr>
          <w:p w14:paraId="55D8D217">
            <w:pPr>
              <w:rPr>
                <w:rFonts w:ascii="Arial"/>
                <w:sz w:val="21"/>
              </w:rPr>
            </w:pPr>
          </w:p>
        </w:tc>
        <w:tc>
          <w:tcPr>
            <w:tcW w:w="3456" w:type="dxa"/>
            <w:tcBorders>
              <w:bottom w:val="single" w:color="000000" w:sz="10" w:space="0"/>
            </w:tcBorders>
            <w:vAlign w:val="top"/>
          </w:tcPr>
          <w:p w14:paraId="4964773F">
            <w:pPr>
              <w:pStyle w:val="6"/>
              <w:spacing w:before="96" w:line="283" w:lineRule="auto"/>
              <w:ind w:left="113" w:right="94" w:firstLine="1"/>
              <w:rPr>
                <w:sz w:val="20"/>
                <w:szCs w:val="20"/>
              </w:rPr>
            </w:pPr>
            <w:r>
              <w:rPr>
                <w:spacing w:val="22"/>
                <w:sz w:val="20"/>
                <w:szCs w:val="20"/>
              </w:rPr>
              <w:t>本项</w:t>
            </w:r>
            <w:r>
              <w:rPr>
                <w:spacing w:val="-19"/>
                <w:sz w:val="20"/>
                <w:szCs w:val="20"/>
              </w:rPr>
              <w:t xml:space="preserve"> </w:t>
            </w:r>
            <w:r>
              <w:rPr>
                <w:spacing w:val="22"/>
                <w:sz w:val="20"/>
                <w:szCs w:val="20"/>
              </w:rPr>
              <w:t>目设备及车辆不在厂</w:t>
            </w:r>
            <w:r>
              <w:rPr>
                <w:spacing w:val="-50"/>
                <w:sz w:val="20"/>
                <w:szCs w:val="20"/>
              </w:rPr>
              <w:t xml:space="preserve"> </w:t>
            </w:r>
            <w:r>
              <w:rPr>
                <w:spacing w:val="22"/>
                <w:sz w:val="20"/>
                <w:szCs w:val="20"/>
              </w:rPr>
              <w:t>区内清</w:t>
            </w:r>
            <w:r>
              <w:rPr>
                <w:sz w:val="20"/>
                <w:szCs w:val="20"/>
              </w:rPr>
              <w:t xml:space="preserve"> 洗。</w:t>
            </w:r>
          </w:p>
          <w:p w14:paraId="02E3E6E0">
            <w:pPr>
              <w:pStyle w:val="6"/>
              <w:spacing w:before="27" w:line="288" w:lineRule="auto"/>
              <w:ind w:left="116" w:right="94" w:firstLine="3"/>
              <w:jc w:val="both"/>
              <w:rPr>
                <w:sz w:val="20"/>
                <w:szCs w:val="20"/>
              </w:rPr>
            </w:pPr>
            <w:r>
              <w:rPr>
                <w:spacing w:val="15"/>
                <w:sz w:val="20"/>
                <w:szCs w:val="20"/>
              </w:rPr>
              <w:t>实施满足危险废物规范化管理要求</w:t>
            </w:r>
            <w:r>
              <w:rPr>
                <w:spacing w:val="10"/>
                <w:sz w:val="20"/>
                <w:szCs w:val="20"/>
              </w:rPr>
              <w:t xml:space="preserve"> </w:t>
            </w:r>
            <w:r>
              <w:rPr>
                <w:spacing w:val="15"/>
                <w:sz w:val="20"/>
                <w:szCs w:val="20"/>
              </w:rPr>
              <w:t>的环境管理制度，其中对列入《国</w:t>
            </w:r>
            <w:r>
              <w:rPr>
                <w:spacing w:val="13"/>
                <w:sz w:val="20"/>
                <w:szCs w:val="20"/>
              </w:rPr>
              <w:t xml:space="preserve"> </w:t>
            </w:r>
            <w:r>
              <w:rPr>
                <w:spacing w:val="12"/>
                <w:sz w:val="20"/>
                <w:szCs w:val="20"/>
              </w:rPr>
              <w:t>家危险废物名录》</w:t>
            </w:r>
            <w:r>
              <w:rPr>
                <w:spacing w:val="-42"/>
                <w:sz w:val="20"/>
                <w:szCs w:val="20"/>
              </w:rPr>
              <w:t xml:space="preserve"> </w:t>
            </w:r>
            <w:r>
              <w:rPr>
                <w:spacing w:val="12"/>
                <w:sz w:val="20"/>
                <w:szCs w:val="20"/>
              </w:rPr>
              <w:t>的危险废物严格</w:t>
            </w:r>
            <w:r>
              <w:rPr>
                <w:sz w:val="20"/>
                <w:szCs w:val="20"/>
              </w:rPr>
              <w:t xml:space="preserve"> </w:t>
            </w:r>
            <w:r>
              <w:rPr>
                <w:spacing w:val="7"/>
                <w:sz w:val="20"/>
                <w:szCs w:val="20"/>
              </w:rPr>
              <w:t>按照有关规定进行管理。</w:t>
            </w:r>
          </w:p>
          <w:p w14:paraId="6D7B9123">
            <w:pPr>
              <w:pStyle w:val="6"/>
              <w:spacing w:before="31" w:line="270" w:lineRule="auto"/>
              <w:ind w:left="118" w:right="97" w:hanging="4"/>
              <w:rPr>
                <w:sz w:val="20"/>
                <w:szCs w:val="20"/>
              </w:rPr>
            </w:pPr>
            <w:r>
              <w:rPr>
                <w:spacing w:val="15"/>
                <w:sz w:val="20"/>
                <w:szCs w:val="20"/>
              </w:rPr>
              <w:t>拆解车间采用低噪声设备、减振、</w:t>
            </w:r>
            <w:r>
              <w:rPr>
                <w:spacing w:val="13"/>
                <w:sz w:val="20"/>
                <w:szCs w:val="20"/>
              </w:rPr>
              <w:t xml:space="preserve"> </w:t>
            </w:r>
            <w:r>
              <w:rPr>
                <w:spacing w:val="15"/>
                <w:sz w:val="20"/>
                <w:szCs w:val="20"/>
              </w:rPr>
              <w:t>消声、距离衰减等措施，项目厂界</w:t>
            </w:r>
          </w:p>
        </w:tc>
        <w:tc>
          <w:tcPr>
            <w:tcW w:w="982" w:type="dxa"/>
            <w:vMerge w:val="continue"/>
            <w:tcBorders>
              <w:top w:val="nil"/>
              <w:bottom w:val="single" w:color="000000" w:sz="10" w:space="0"/>
              <w:right w:val="single" w:color="000000" w:sz="10" w:space="0"/>
            </w:tcBorders>
            <w:vAlign w:val="top"/>
          </w:tcPr>
          <w:p w14:paraId="712F7A34">
            <w:pPr>
              <w:rPr>
                <w:rFonts w:ascii="Arial"/>
                <w:sz w:val="21"/>
              </w:rPr>
            </w:pPr>
          </w:p>
        </w:tc>
      </w:tr>
    </w:tbl>
    <w:p w14:paraId="54674A28">
      <w:pPr>
        <w:pStyle w:val="2"/>
        <w:spacing w:line="108" w:lineRule="exact"/>
        <w:rPr>
          <w:sz w:val="9"/>
        </w:rPr>
      </w:pPr>
    </w:p>
    <w:p w14:paraId="3D405C03">
      <w:pPr>
        <w:spacing w:line="108" w:lineRule="exact"/>
        <w:rPr>
          <w:sz w:val="9"/>
          <w:szCs w:val="9"/>
        </w:rPr>
        <w:sectPr>
          <w:footerReference r:id="rId28"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3990"/>
        <w:gridCol w:w="3456"/>
        <w:gridCol w:w="982"/>
      </w:tblGrid>
      <w:tr w14:paraId="1C7A4F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8" w:hRule="atLeast"/>
        </w:trPr>
        <w:tc>
          <w:tcPr>
            <w:tcW w:w="494" w:type="dxa"/>
            <w:vMerge w:val="restart"/>
            <w:tcBorders>
              <w:top w:val="single" w:color="000000" w:sz="10" w:space="0"/>
              <w:left w:val="single" w:color="000000" w:sz="10" w:space="0"/>
              <w:bottom w:val="nil"/>
            </w:tcBorders>
            <w:vAlign w:val="top"/>
          </w:tcPr>
          <w:p w14:paraId="575607A0">
            <w:pPr>
              <w:rPr>
                <w:rFonts w:ascii="Arial"/>
                <w:sz w:val="21"/>
              </w:rPr>
            </w:pPr>
          </w:p>
        </w:tc>
        <w:tc>
          <w:tcPr>
            <w:tcW w:w="3990" w:type="dxa"/>
            <w:vMerge w:val="restart"/>
            <w:tcBorders>
              <w:top w:val="single" w:color="000000" w:sz="10" w:space="0"/>
              <w:bottom w:val="nil"/>
            </w:tcBorders>
            <w:vAlign w:val="top"/>
          </w:tcPr>
          <w:p w14:paraId="480724BE">
            <w:pPr>
              <w:pStyle w:val="6"/>
              <w:spacing w:before="71" w:line="285" w:lineRule="auto"/>
              <w:ind w:left="208" w:right="106" w:hanging="4"/>
              <w:jc w:val="both"/>
              <w:rPr>
                <w:sz w:val="20"/>
                <w:szCs w:val="20"/>
              </w:rPr>
            </w:pPr>
            <w:r>
              <w:rPr>
                <w:rFonts w:ascii="Times New Roman" w:hAnsi="Times New Roman" w:eastAsia="Times New Roman" w:cs="Times New Roman"/>
                <w:spacing w:val="14"/>
                <w:sz w:val="20"/>
                <w:szCs w:val="20"/>
              </w:rPr>
              <w:t>4.7.3</w:t>
            </w:r>
            <w:r>
              <w:rPr>
                <w:spacing w:val="14"/>
                <w:sz w:val="20"/>
                <w:szCs w:val="20"/>
              </w:rPr>
              <w:t>应满足</w:t>
            </w:r>
            <w:r>
              <w:rPr>
                <w:rFonts w:ascii="Times New Roman" w:hAnsi="Times New Roman" w:eastAsia="Times New Roman" w:cs="Times New Roman"/>
                <w:sz w:val="20"/>
                <w:szCs w:val="20"/>
              </w:rPr>
              <w:t>GB</w:t>
            </w:r>
            <w:r>
              <w:rPr>
                <w:rFonts w:ascii="Times New Roman" w:hAnsi="Times New Roman" w:eastAsia="Times New Roman" w:cs="Times New Roman"/>
                <w:spacing w:val="50"/>
                <w:w w:val="101"/>
                <w:sz w:val="20"/>
                <w:szCs w:val="20"/>
              </w:rPr>
              <w:t xml:space="preserve"> </w:t>
            </w:r>
            <w:r>
              <w:rPr>
                <w:rFonts w:ascii="Times New Roman" w:hAnsi="Times New Roman" w:eastAsia="Times New Roman" w:cs="Times New Roman"/>
                <w:spacing w:val="14"/>
                <w:sz w:val="20"/>
                <w:szCs w:val="20"/>
              </w:rPr>
              <w:t>12348</w:t>
            </w:r>
            <w:r>
              <w:rPr>
                <w:spacing w:val="14"/>
                <w:sz w:val="20"/>
                <w:szCs w:val="20"/>
              </w:rPr>
              <w:t>中所规定的</w:t>
            </w:r>
            <w:r>
              <w:rPr>
                <w:rFonts w:ascii="Times New Roman" w:hAnsi="Times New Roman" w:eastAsia="Times New Roman" w:cs="Times New Roman"/>
                <w:spacing w:val="14"/>
                <w:sz w:val="20"/>
                <w:szCs w:val="20"/>
              </w:rPr>
              <w:t>2</w:t>
            </w:r>
            <w:r>
              <w:rPr>
                <w:spacing w:val="14"/>
                <w:sz w:val="20"/>
                <w:szCs w:val="20"/>
              </w:rPr>
              <w:t>类声</w:t>
            </w:r>
            <w:r>
              <w:rPr>
                <w:sz w:val="20"/>
                <w:szCs w:val="20"/>
              </w:rPr>
              <w:t xml:space="preserve"> </w:t>
            </w:r>
            <w:r>
              <w:rPr>
                <w:spacing w:val="15"/>
                <w:sz w:val="20"/>
                <w:szCs w:val="20"/>
              </w:rPr>
              <w:t>环境功能区工业企业厂界环境噪声排放</w:t>
            </w:r>
            <w:r>
              <w:rPr>
                <w:spacing w:val="12"/>
                <w:sz w:val="20"/>
                <w:szCs w:val="20"/>
              </w:rPr>
              <w:t xml:space="preserve"> </w:t>
            </w:r>
            <w:r>
              <w:rPr>
                <w:spacing w:val="5"/>
                <w:sz w:val="20"/>
                <w:szCs w:val="20"/>
              </w:rPr>
              <w:t>限值要求。</w:t>
            </w:r>
          </w:p>
          <w:p w14:paraId="38584B78">
            <w:pPr>
              <w:pStyle w:val="6"/>
              <w:spacing w:before="43" w:line="228" w:lineRule="auto"/>
              <w:ind w:left="211"/>
              <w:rPr>
                <w:sz w:val="20"/>
                <w:szCs w:val="20"/>
              </w:rPr>
            </w:pPr>
            <w:r>
              <w:rPr>
                <w:rFonts w:ascii="Times New Roman" w:hAnsi="Times New Roman" w:eastAsia="Times New Roman" w:cs="Times New Roman"/>
                <w:spacing w:val="7"/>
                <w:sz w:val="20"/>
                <w:szCs w:val="20"/>
              </w:rPr>
              <w:t>5</w:t>
            </w:r>
            <w:r>
              <w:rPr>
                <w:spacing w:val="7"/>
                <w:sz w:val="20"/>
                <w:szCs w:val="20"/>
              </w:rPr>
              <w:t>回收技术要求</w:t>
            </w:r>
          </w:p>
          <w:p w14:paraId="3921133E">
            <w:pPr>
              <w:pStyle w:val="6"/>
              <w:spacing w:before="71" w:line="291" w:lineRule="auto"/>
              <w:ind w:left="208" w:right="106" w:firstLine="2"/>
              <w:rPr>
                <w:sz w:val="20"/>
                <w:szCs w:val="20"/>
              </w:rPr>
            </w:pPr>
            <w:r>
              <w:rPr>
                <w:rFonts w:ascii="Times New Roman" w:hAnsi="Times New Roman" w:eastAsia="Times New Roman" w:cs="Times New Roman"/>
                <w:spacing w:val="10"/>
                <w:sz w:val="20"/>
                <w:szCs w:val="20"/>
              </w:rPr>
              <w:t>5.</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0"/>
                <w:sz w:val="20"/>
                <w:szCs w:val="20"/>
              </w:rPr>
              <w:t>1</w:t>
            </w:r>
            <w:r>
              <w:rPr>
                <w:spacing w:val="10"/>
                <w:sz w:val="20"/>
                <w:szCs w:val="20"/>
              </w:rPr>
              <w:t>收到报废机动车后，应检查发动机，</w:t>
            </w:r>
            <w:r>
              <w:rPr>
                <w:sz w:val="20"/>
                <w:szCs w:val="20"/>
              </w:rPr>
              <w:t xml:space="preserve"> </w:t>
            </w:r>
            <w:r>
              <w:rPr>
                <w:spacing w:val="3"/>
                <w:sz w:val="20"/>
                <w:szCs w:val="20"/>
              </w:rPr>
              <w:t>散热器、变速器、差速器、油箱和燃料罐</w:t>
            </w:r>
            <w:r>
              <w:rPr>
                <w:spacing w:val="14"/>
                <w:sz w:val="20"/>
                <w:szCs w:val="20"/>
              </w:rPr>
              <w:t xml:space="preserve"> </w:t>
            </w:r>
            <w:r>
              <w:rPr>
                <w:spacing w:val="3"/>
                <w:sz w:val="20"/>
                <w:szCs w:val="20"/>
              </w:rPr>
              <w:t>等总成部件的密封、破损情况。对于出现</w:t>
            </w:r>
            <w:r>
              <w:rPr>
                <w:spacing w:val="14"/>
                <w:sz w:val="20"/>
                <w:szCs w:val="20"/>
              </w:rPr>
              <w:t xml:space="preserve"> </w:t>
            </w:r>
            <w:r>
              <w:rPr>
                <w:spacing w:val="3"/>
                <w:sz w:val="20"/>
                <w:szCs w:val="20"/>
              </w:rPr>
              <w:t>泄漏的总成部件，应采取适当的方式收集</w:t>
            </w:r>
            <w:r>
              <w:rPr>
                <w:spacing w:val="14"/>
                <w:sz w:val="20"/>
                <w:szCs w:val="20"/>
              </w:rPr>
              <w:t xml:space="preserve"> </w:t>
            </w:r>
            <w:r>
              <w:rPr>
                <w:spacing w:val="3"/>
                <w:sz w:val="20"/>
                <w:szCs w:val="20"/>
              </w:rPr>
              <w:t>泄漏的液体或封住泄漏处，防止废液渗入</w:t>
            </w:r>
            <w:r>
              <w:rPr>
                <w:spacing w:val="14"/>
                <w:sz w:val="20"/>
                <w:szCs w:val="20"/>
              </w:rPr>
              <w:t xml:space="preserve"> </w:t>
            </w:r>
            <w:r>
              <w:rPr>
                <w:spacing w:val="3"/>
                <w:sz w:val="20"/>
                <w:szCs w:val="20"/>
              </w:rPr>
              <w:t>地下。</w:t>
            </w:r>
          </w:p>
          <w:p w14:paraId="0A899A24">
            <w:pPr>
              <w:pStyle w:val="6"/>
              <w:spacing w:before="29" w:line="290" w:lineRule="auto"/>
              <w:ind w:left="207" w:right="106" w:firstLine="3"/>
              <w:jc w:val="both"/>
              <w:rPr>
                <w:sz w:val="20"/>
                <w:szCs w:val="20"/>
              </w:rPr>
            </w:pPr>
            <w:r>
              <w:rPr>
                <w:rFonts w:ascii="Times New Roman" w:hAnsi="Times New Roman" w:eastAsia="Times New Roman" w:cs="Times New Roman"/>
                <w:spacing w:val="11"/>
                <w:sz w:val="20"/>
                <w:szCs w:val="20"/>
              </w:rPr>
              <w:t>5.2</w:t>
            </w:r>
            <w:r>
              <w:rPr>
                <w:spacing w:val="11"/>
                <w:sz w:val="20"/>
                <w:szCs w:val="20"/>
              </w:rPr>
              <w:t>对报废电动汽车，应检查动力蓄电池</w:t>
            </w:r>
            <w:r>
              <w:rPr>
                <w:spacing w:val="6"/>
                <w:sz w:val="20"/>
                <w:szCs w:val="20"/>
              </w:rPr>
              <w:t xml:space="preserve"> </w:t>
            </w:r>
            <w:r>
              <w:rPr>
                <w:spacing w:val="3"/>
                <w:sz w:val="20"/>
                <w:szCs w:val="20"/>
              </w:rPr>
              <w:t>和驱动电机等部件的密封和破损情况。对</w:t>
            </w:r>
            <w:r>
              <w:rPr>
                <w:spacing w:val="15"/>
                <w:sz w:val="20"/>
                <w:szCs w:val="20"/>
              </w:rPr>
              <w:t xml:space="preserve"> </w:t>
            </w:r>
            <w:r>
              <w:rPr>
                <w:spacing w:val="3"/>
                <w:sz w:val="20"/>
                <w:szCs w:val="20"/>
              </w:rPr>
              <w:t>于出现动力蓄电池破损、电极头和线束裸</w:t>
            </w:r>
            <w:r>
              <w:rPr>
                <w:spacing w:val="15"/>
                <w:sz w:val="20"/>
                <w:szCs w:val="20"/>
              </w:rPr>
              <w:t xml:space="preserve"> </w:t>
            </w:r>
            <w:r>
              <w:rPr>
                <w:spacing w:val="3"/>
                <w:sz w:val="20"/>
                <w:szCs w:val="20"/>
              </w:rPr>
              <w:t>露等存在漏电风险的，应采取适当的方式</w:t>
            </w:r>
            <w:r>
              <w:rPr>
                <w:spacing w:val="15"/>
                <w:sz w:val="20"/>
                <w:szCs w:val="20"/>
              </w:rPr>
              <w:t xml:space="preserve"> </w:t>
            </w:r>
            <w:r>
              <w:rPr>
                <w:spacing w:val="7"/>
                <w:sz w:val="20"/>
                <w:szCs w:val="20"/>
              </w:rPr>
              <w:t>进行绝缘处理。</w:t>
            </w:r>
          </w:p>
          <w:p w14:paraId="4FD1E6FE">
            <w:pPr>
              <w:pStyle w:val="6"/>
              <w:spacing w:before="39" w:line="227" w:lineRule="auto"/>
              <w:ind w:left="210"/>
              <w:rPr>
                <w:sz w:val="20"/>
                <w:szCs w:val="20"/>
              </w:rPr>
            </w:pPr>
            <w:r>
              <w:rPr>
                <w:rFonts w:ascii="Times New Roman" w:hAnsi="Times New Roman" w:eastAsia="Times New Roman" w:cs="Times New Roman"/>
                <w:spacing w:val="4"/>
                <w:sz w:val="20"/>
                <w:szCs w:val="20"/>
              </w:rPr>
              <w:t>6.</w:t>
            </w:r>
            <w:r>
              <w:rPr>
                <w:rFonts w:ascii="Times New Roman" w:hAnsi="Times New Roman" w:eastAsia="Times New Roman" w:cs="Times New Roman"/>
                <w:spacing w:val="-18"/>
                <w:sz w:val="20"/>
                <w:szCs w:val="20"/>
              </w:rPr>
              <w:t xml:space="preserve"> </w:t>
            </w:r>
            <w:r>
              <w:rPr>
                <w:rFonts w:ascii="Times New Roman" w:hAnsi="Times New Roman" w:eastAsia="Times New Roman" w:cs="Times New Roman"/>
                <w:spacing w:val="4"/>
                <w:sz w:val="20"/>
                <w:szCs w:val="20"/>
              </w:rPr>
              <w:t>1</w:t>
            </w:r>
            <w:r>
              <w:rPr>
                <w:spacing w:val="4"/>
                <w:sz w:val="20"/>
                <w:szCs w:val="20"/>
              </w:rPr>
              <w:t>报废机动车贮存</w:t>
            </w:r>
          </w:p>
          <w:p w14:paraId="74028B33">
            <w:pPr>
              <w:pStyle w:val="6"/>
              <w:spacing w:before="74" w:line="262" w:lineRule="auto"/>
              <w:ind w:left="210" w:right="106"/>
              <w:rPr>
                <w:sz w:val="20"/>
                <w:szCs w:val="20"/>
              </w:rPr>
            </w:pPr>
            <w:r>
              <w:rPr>
                <w:rFonts w:ascii="Times New Roman" w:hAnsi="Times New Roman" w:eastAsia="Times New Roman" w:cs="Times New Roman"/>
                <w:sz w:val="20"/>
                <w:szCs w:val="20"/>
              </w:rPr>
              <w:t>6.</w:t>
            </w:r>
            <w:r>
              <w:rPr>
                <w:rFonts w:ascii="Times New Roman" w:hAnsi="Times New Roman" w:eastAsia="Times New Roman" w:cs="Times New Roman"/>
                <w:spacing w:val="-9"/>
                <w:sz w:val="20"/>
                <w:szCs w:val="20"/>
              </w:rPr>
              <w:t xml:space="preserve"> </w:t>
            </w:r>
            <w:r>
              <w:rPr>
                <w:rFonts w:ascii="Times New Roman" w:hAnsi="Times New Roman" w:eastAsia="Times New Roman" w:cs="Times New Roman"/>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1</w:t>
            </w:r>
            <w:r>
              <w:rPr>
                <w:sz w:val="20"/>
                <w:szCs w:val="20"/>
              </w:rPr>
              <w:t xml:space="preserve">所有车辆应避免侧放，倒放，电动汽 </w:t>
            </w:r>
            <w:r>
              <w:rPr>
                <w:spacing w:val="8"/>
                <w:sz w:val="20"/>
                <w:szCs w:val="20"/>
              </w:rPr>
              <w:t>车在动力蓄电池未拆卸前不应叠放。</w:t>
            </w:r>
          </w:p>
          <w:p w14:paraId="5857C42E">
            <w:pPr>
              <w:pStyle w:val="6"/>
              <w:spacing w:before="71" w:line="282" w:lineRule="auto"/>
              <w:ind w:left="211" w:right="79" w:hanging="1"/>
              <w:rPr>
                <w:sz w:val="20"/>
                <w:szCs w:val="20"/>
              </w:rPr>
            </w:pPr>
            <w:r>
              <w:rPr>
                <w:rFonts w:ascii="Times New Roman" w:hAnsi="Times New Roman" w:eastAsia="Times New Roman" w:cs="Times New Roman"/>
                <w:spacing w:val="2"/>
                <w:sz w:val="20"/>
                <w:szCs w:val="20"/>
              </w:rPr>
              <w:t>6.</w:t>
            </w:r>
            <w:r>
              <w:rPr>
                <w:rFonts w:ascii="Times New Roman" w:hAnsi="Times New Roman" w:eastAsia="Times New Roman" w:cs="Times New Roman"/>
                <w:spacing w:val="-26"/>
                <w:sz w:val="20"/>
                <w:szCs w:val="20"/>
              </w:rPr>
              <w:t xml:space="preserve"> </w:t>
            </w:r>
            <w:r>
              <w:rPr>
                <w:rFonts w:ascii="Times New Roman" w:hAnsi="Times New Roman" w:eastAsia="Times New Roman" w:cs="Times New Roman"/>
                <w:spacing w:val="2"/>
                <w:sz w:val="20"/>
                <w:szCs w:val="20"/>
              </w:rPr>
              <w:t>1.2</w:t>
            </w:r>
            <w:r>
              <w:rPr>
                <w:spacing w:val="2"/>
                <w:sz w:val="20"/>
                <w:szCs w:val="20"/>
              </w:rPr>
              <w:t>机动车如需叠放，应使上下车辆的重</w:t>
            </w:r>
            <w:r>
              <w:rPr>
                <w:sz w:val="20"/>
                <w:szCs w:val="20"/>
              </w:rPr>
              <w:t xml:space="preserve"> </w:t>
            </w:r>
            <w:r>
              <w:rPr>
                <w:spacing w:val="8"/>
                <w:sz w:val="20"/>
                <w:szCs w:val="20"/>
              </w:rPr>
              <w:t>心尽量重合，且不应超过</w:t>
            </w:r>
            <w:r>
              <w:rPr>
                <w:rFonts w:ascii="Times New Roman" w:hAnsi="Times New Roman" w:eastAsia="Times New Roman" w:cs="Times New Roman"/>
                <w:spacing w:val="8"/>
                <w:sz w:val="20"/>
                <w:szCs w:val="20"/>
              </w:rPr>
              <w:t>3</w:t>
            </w:r>
            <w:r>
              <w:rPr>
                <w:spacing w:val="8"/>
                <w:sz w:val="20"/>
                <w:szCs w:val="20"/>
              </w:rPr>
              <w:t>层。</w:t>
            </w:r>
            <w:r>
              <w:rPr>
                <w:rFonts w:ascii="Times New Roman" w:hAnsi="Times New Roman" w:eastAsia="Times New Roman" w:cs="Times New Roman"/>
                <w:spacing w:val="8"/>
                <w:sz w:val="20"/>
                <w:szCs w:val="20"/>
              </w:rPr>
              <w:t>2</w:t>
            </w:r>
            <w:r>
              <w:rPr>
                <w:spacing w:val="8"/>
                <w:sz w:val="20"/>
                <w:szCs w:val="20"/>
              </w:rPr>
              <w:t>层和</w:t>
            </w:r>
            <w:r>
              <w:rPr>
                <w:rFonts w:ascii="Times New Roman" w:hAnsi="Times New Roman" w:eastAsia="Times New Roman" w:cs="Times New Roman"/>
                <w:spacing w:val="8"/>
                <w:sz w:val="20"/>
                <w:szCs w:val="20"/>
              </w:rPr>
              <w:t>3</w:t>
            </w:r>
            <w:r>
              <w:rPr>
                <w:spacing w:val="8"/>
                <w:sz w:val="20"/>
                <w:szCs w:val="20"/>
              </w:rPr>
              <w:t>层</w:t>
            </w:r>
            <w:r>
              <w:rPr>
                <w:spacing w:val="13"/>
                <w:sz w:val="20"/>
                <w:szCs w:val="20"/>
              </w:rPr>
              <w:t xml:space="preserve"> </w:t>
            </w:r>
            <w:r>
              <w:rPr>
                <w:spacing w:val="6"/>
                <w:sz w:val="20"/>
                <w:szCs w:val="20"/>
              </w:rPr>
              <w:t>叠放时，高度分别不应超过</w:t>
            </w:r>
            <w:r>
              <w:rPr>
                <w:rFonts w:ascii="Times New Roman" w:hAnsi="Times New Roman" w:eastAsia="Times New Roman" w:cs="Times New Roman"/>
                <w:spacing w:val="6"/>
                <w:sz w:val="20"/>
                <w:szCs w:val="20"/>
              </w:rPr>
              <w:t>3 m</w:t>
            </w:r>
            <w:r>
              <w:rPr>
                <w:spacing w:val="6"/>
                <w:sz w:val="20"/>
                <w:szCs w:val="20"/>
              </w:rPr>
              <w:t>和</w:t>
            </w:r>
            <w:r>
              <w:rPr>
                <w:rFonts w:ascii="Times New Roman" w:hAnsi="Times New Roman" w:eastAsia="Times New Roman" w:cs="Times New Roman"/>
                <w:spacing w:val="6"/>
                <w:sz w:val="20"/>
                <w:szCs w:val="20"/>
              </w:rPr>
              <w:t>4.5 m</w:t>
            </w:r>
            <w:r>
              <w:rPr>
                <w:spacing w:val="6"/>
                <w:sz w:val="20"/>
                <w:szCs w:val="20"/>
              </w:rPr>
              <w:t>。</w:t>
            </w:r>
            <w:r>
              <w:rPr>
                <w:sz w:val="20"/>
                <w:szCs w:val="20"/>
              </w:rPr>
              <w:t xml:space="preserve"> </w:t>
            </w:r>
            <w:r>
              <w:rPr>
                <w:spacing w:val="12"/>
                <w:sz w:val="20"/>
                <w:szCs w:val="20"/>
              </w:rPr>
              <w:t>大型车辆应单层平置</w:t>
            </w:r>
            <w:r>
              <w:rPr>
                <w:rFonts w:ascii="Times New Roman" w:hAnsi="Times New Roman" w:eastAsia="Times New Roman" w:cs="Times New Roman"/>
                <w:spacing w:val="12"/>
                <w:sz w:val="20"/>
                <w:szCs w:val="20"/>
              </w:rPr>
              <w:t>.</w:t>
            </w:r>
            <w:r>
              <w:rPr>
                <w:spacing w:val="12"/>
                <w:sz w:val="20"/>
                <w:szCs w:val="20"/>
              </w:rPr>
              <w:t>采用框架结构存放</w:t>
            </w:r>
            <w:r>
              <w:rPr>
                <w:sz w:val="20"/>
                <w:szCs w:val="20"/>
              </w:rPr>
              <w:t xml:space="preserve"> </w:t>
            </w:r>
            <w:r>
              <w:rPr>
                <w:spacing w:val="8"/>
                <w:sz w:val="20"/>
                <w:szCs w:val="20"/>
              </w:rPr>
              <w:t>的，要保证安全性，并易于装卸。</w:t>
            </w:r>
          </w:p>
          <w:p w14:paraId="3C469A7D">
            <w:pPr>
              <w:pStyle w:val="6"/>
              <w:spacing w:before="76" w:line="272" w:lineRule="auto"/>
              <w:ind w:left="210" w:right="106"/>
              <w:rPr>
                <w:sz w:val="20"/>
                <w:szCs w:val="20"/>
              </w:rPr>
            </w:pPr>
            <w:r>
              <w:rPr>
                <w:rFonts w:ascii="Times New Roman" w:hAnsi="Times New Roman" w:eastAsia="Times New Roman" w:cs="Times New Roman"/>
                <w:spacing w:val="12"/>
                <w:sz w:val="20"/>
                <w:szCs w:val="20"/>
              </w:rPr>
              <w:t>6.</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12"/>
                <w:sz w:val="20"/>
                <w:szCs w:val="20"/>
              </w:rPr>
              <w:t>1.3</w:t>
            </w:r>
            <w:r>
              <w:rPr>
                <w:spacing w:val="12"/>
                <w:sz w:val="20"/>
                <w:szCs w:val="20"/>
              </w:rPr>
              <w:t>电动汽车在动力蓄电池未拆卸前应</w:t>
            </w:r>
            <w:r>
              <w:rPr>
                <w:sz w:val="20"/>
                <w:szCs w:val="20"/>
              </w:rPr>
              <w:t xml:space="preserve"> </w:t>
            </w:r>
            <w:r>
              <w:rPr>
                <w:spacing w:val="3"/>
                <w:sz w:val="20"/>
                <w:szCs w:val="20"/>
              </w:rPr>
              <w:t>单独贮存，并采取防火、防水，绝缘、隔</w:t>
            </w:r>
            <w:r>
              <w:rPr>
                <w:spacing w:val="12"/>
                <w:sz w:val="20"/>
                <w:szCs w:val="20"/>
              </w:rPr>
              <w:t xml:space="preserve"> </w:t>
            </w:r>
            <w:r>
              <w:rPr>
                <w:spacing w:val="7"/>
                <w:sz w:val="20"/>
                <w:szCs w:val="20"/>
              </w:rPr>
              <w:t>热等安全保障措施。</w:t>
            </w:r>
          </w:p>
          <w:p w14:paraId="2363B2BA">
            <w:pPr>
              <w:pStyle w:val="6"/>
              <w:spacing w:before="75" w:line="261" w:lineRule="auto"/>
              <w:ind w:left="218" w:right="106" w:hanging="8"/>
              <w:rPr>
                <w:sz w:val="20"/>
                <w:szCs w:val="20"/>
              </w:rPr>
            </w:pPr>
            <w:r>
              <w:rPr>
                <w:rFonts w:ascii="Times New Roman" w:hAnsi="Times New Roman" w:eastAsia="Times New Roman" w:cs="Times New Roman"/>
                <w:spacing w:val="12"/>
                <w:sz w:val="20"/>
                <w:szCs w:val="20"/>
              </w:rPr>
              <w:t>6.</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12"/>
                <w:sz w:val="20"/>
                <w:szCs w:val="20"/>
              </w:rPr>
              <w:t>1.4</w:t>
            </w:r>
            <w:r>
              <w:rPr>
                <w:spacing w:val="12"/>
                <w:sz w:val="20"/>
                <w:szCs w:val="20"/>
              </w:rPr>
              <w:t>电动汽车中的事故车以及发生动力</w:t>
            </w:r>
            <w:r>
              <w:rPr>
                <w:sz w:val="20"/>
                <w:szCs w:val="20"/>
              </w:rPr>
              <w:t xml:space="preserve"> </w:t>
            </w:r>
            <w:r>
              <w:rPr>
                <w:spacing w:val="7"/>
                <w:sz w:val="20"/>
                <w:szCs w:val="20"/>
              </w:rPr>
              <w:t>蓄电池破损的车辆应隔离贮存。</w:t>
            </w:r>
          </w:p>
          <w:p w14:paraId="76D38D69">
            <w:pPr>
              <w:pStyle w:val="6"/>
              <w:spacing w:before="84" w:line="228" w:lineRule="auto"/>
              <w:ind w:left="210"/>
              <w:rPr>
                <w:sz w:val="20"/>
                <w:szCs w:val="20"/>
              </w:rPr>
            </w:pPr>
            <w:r>
              <w:rPr>
                <w:rFonts w:ascii="Times New Roman" w:hAnsi="Times New Roman" w:eastAsia="Times New Roman" w:cs="Times New Roman"/>
                <w:spacing w:val="6"/>
                <w:sz w:val="20"/>
                <w:szCs w:val="20"/>
              </w:rPr>
              <w:t>6.2</w:t>
            </w:r>
            <w:r>
              <w:rPr>
                <w:spacing w:val="6"/>
                <w:sz w:val="20"/>
                <w:szCs w:val="20"/>
              </w:rPr>
              <w:t>固体废物贮存</w:t>
            </w:r>
          </w:p>
          <w:p w14:paraId="6324FEBB">
            <w:pPr>
              <w:pStyle w:val="6"/>
              <w:spacing w:before="73" w:line="228" w:lineRule="auto"/>
              <w:ind w:left="210"/>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6.2.</w:t>
            </w:r>
            <w:r>
              <w:rPr>
                <w:rFonts w:ascii="Times New Roman" w:hAnsi="Times New Roman" w:eastAsia="Times New Roman" w:cs="Times New Roman"/>
                <w:spacing w:val="-16"/>
                <w:sz w:val="20"/>
                <w:szCs w:val="20"/>
              </w:rPr>
              <w:t xml:space="preserve"> </w:t>
            </w:r>
            <w:r>
              <w:rPr>
                <w:rFonts w:ascii="Times New Roman" w:hAnsi="Times New Roman" w:eastAsia="Times New Roman" w:cs="Times New Roman"/>
                <w:spacing w:val="8"/>
                <w:sz w:val="20"/>
                <w:szCs w:val="20"/>
              </w:rPr>
              <w:t>1</w:t>
            </w:r>
            <w:r>
              <w:rPr>
                <w:spacing w:val="8"/>
                <w:sz w:val="20"/>
                <w:szCs w:val="20"/>
              </w:rPr>
              <w:t>固体废物的贮存设施建设应符合</w:t>
            </w:r>
            <w:r>
              <w:rPr>
                <w:rFonts w:ascii="Times New Roman" w:hAnsi="Times New Roman" w:eastAsia="Times New Roman" w:cs="Times New Roman"/>
                <w:sz w:val="20"/>
                <w:szCs w:val="20"/>
              </w:rPr>
              <w:t>GB</w:t>
            </w:r>
          </w:p>
          <w:p w14:paraId="259BA40B">
            <w:pPr>
              <w:pStyle w:val="6"/>
              <w:spacing w:before="72" w:line="229" w:lineRule="auto"/>
              <w:ind w:left="225"/>
              <w:rPr>
                <w:sz w:val="20"/>
                <w:szCs w:val="20"/>
              </w:rPr>
            </w:pPr>
            <w:r>
              <w:rPr>
                <w:rFonts w:ascii="Times New Roman" w:hAnsi="Times New Roman" w:eastAsia="Times New Roman" w:cs="Times New Roman"/>
                <w:spacing w:val="2"/>
                <w:sz w:val="20"/>
                <w:szCs w:val="20"/>
              </w:rPr>
              <w:t>18599</w:t>
            </w:r>
            <w:r>
              <w:rPr>
                <w:rFonts w:ascii="Times New Roman" w:hAnsi="Times New Roman" w:eastAsia="Times New Roman" w:cs="Times New Roman"/>
                <w:spacing w:val="-20"/>
                <w:sz w:val="20"/>
                <w:szCs w:val="20"/>
              </w:rPr>
              <w:t xml:space="preserve"> </w:t>
            </w:r>
            <w:r>
              <w:rPr>
                <w:spacing w:val="2"/>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27"/>
                <w:w w:val="101"/>
                <w:sz w:val="20"/>
                <w:szCs w:val="20"/>
              </w:rPr>
              <w:t xml:space="preserve"> </w:t>
            </w:r>
            <w:r>
              <w:rPr>
                <w:rFonts w:ascii="Times New Roman" w:hAnsi="Times New Roman" w:eastAsia="Times New Roman" w:cs="Times New Roman"/>
                <w:spacing w:val="2"/>
                <w:sz w:val="20"/>
                <w:szCs w:val="20"/>
              </w:rPr>
              <w:t>18597</w:t>
            </w:r>
            <w:r>
              <w:rPr>
                <w:rFonts w:ascii="Times New Roman" w:hAnsi="Times New Roman" w:eastAsia="Times New Roman" w:cs="Times New Roman"/>
                <w:spacing w:val="-27"/>
                <w:sz w:val="20"/>
                <w:szCs w:val="20"/>
              </w:rPr>
              <w:t xml:space="preserve"> </w:t>
            </w:r>
            <w:r>
              <w:rPr>
                <w:spacing w:val="2"/>
                <w:sz w:val="20"/>
                <w:szCs w:val="20"/>
              </w:rPr>
              <w:t>、</w:t>
            </w:r>
            <w:r>
              <w:rPr>
                <w:rFonts w:ascii="Times New Roman" w:hAnsi="Times New Roman" w:eastAsia="Times New Roman" w:cs="Times New Roman"/>
                <w:sz w:val="20"/>
                <w:szCs w:val="20"/>
              </w:rPr>
              <w:t>HJ</w:t>
            </w:r>
            <w:r>
              <w:rPr>
                <w:rFonts w:ascii="Times New Roman" w:hAnsi="Times New Roman" w:eastAsia="Times New Roman" w:cs="Times New Roman"/>
                <w:spacing w:val="2"/>
                <w:sz w:val="20"/>
                <w:szCs w:val="20"/>
              </w:rPr>
              <w:t xml:space="preserve"> 2025</w:t>
            </w:r>
            <w:r>
              <w:rPr>
                <w:spacing w:val="2"/>
                <w:sz w:val="20"/>
                <w:szCs w:val="20"/>
              </w:rPr>
              <w:t>的要求。</w:t>
            </w:r>
          </w:p>
          <w:p w14:paraId="0298919C">
            <w:pPr>
              <w:pStyle w:val="6"/>
              <w:spacing w:before="72" w:line="279" w:lineRule="auto"/>
              <w:ind w:left="208" w:right="105" w:firstLine="1"/>
              <w:rPr>
                <w:rFonts w:ascii="Times New Roman" w:hAnsi="Times New Roman" w:eastAsia="Times New Roman" w:cs="Times New Roman"/>
                <w:sz w:val="20"/>
                <w:szCs w:val="20"/>
              </w:rPr>
            </w:pPr>
            <w:r>
              <w:rPr>
                <w:rFonts w:ascii="Times New Roman" w:hAnsi="Times New Roman" w:eastAsia="Times New Roman" w:cs="Times New Roman"/>
                <w:spacing w:val="13"/>
                <w:sz w:val="20"/>
                <w:szCs w:val="20"/>
              </w:rPr>
              <w:t>6.2.2</w:t>
            </w:r>
            <w:r>
              <w:rPr>
                <w:spacing w:val="13"/>
                <w:sz w:val="20"/>
                <w:szCs w:val="20"/>
              </w:rPr>
              <w:t>一般工业固体废物贮存设施及包装</w:t>
            </w:r>
            <w:r>
              <w:rPr>
                <w:spacing w:val="6"/>
                <w:sz w:val="20"/>
                <w:szCs w:val="20"/>
              </w:rPr>
              <w:t xml:space="preserve"> </w:t>
            </w:r>
            <w:r>
              <w:rPr>
                <w:spacing w:val="3"/>
                <w:sz w:val="20"/>
                <w:szCs w:val="20"/>
              </w:rPr>
              <w:t>物应按</w:t>
            </w:r>
            <w:r>
              <w:rPr>
                <w:rFonts w:ascii="Times New Roman" w:hAnsi="Times New Roman" w:eastAsia="Times New Roman" w:cs="Times New Roman"/>
                <w:sz w:val="20"/>
                <w:szCs w:val="20"/>
              </w:rPr>
              <w:t>GB</w:t>
            </w:r>
            <w:r>
              <w:rPr>
                <w:rFonts w:ascii="Times New Roman" w:hAnsi="Times New Roman" w:eastAsia="Times New Roman" w:cs="Times New Roman"/>
                <w:spacing w:val="30"/>
                <w:w w:val="101"/>
                <w:sz w:val="20"/>
                <w:szCs w:val="20"/>
              </w:rPr>
              <w:t xml:space="preserve"> </w:t>
            </w:r>
            <w:r>
              <w:rPr>
                <w:rFonts w:ascii="Times New Roman" w:hAnsi="Times New Roman" w:eastAsia="Times New Roman" w:cs="Times New Roman"/>
                <w:spacing w:val="3"/>
                <w:sz w:val="20"/>
                <w:szCs w:val="20"/>
              </w:rPr>
              <w:t>15562.2</w:t>
            </w:r>
            <w:r>
              <w:rPr>
                <w:spacing w:val="3"/>
                <w:sz w:val="20"/>
                <w:szCs w:val="20"/>
              </w:rPr>
              <w:t>进行标识，危险废物贮</w:t>
            </w:r>
            <w:r>
              <w:rPr>
                <w:sz w:val="20"/>
                <w:szCs w:val="20"/>
              </w:rPr>
              <w:t xml:space="preserve"> </w:t>
            </w:r>
            <w:r>
              <w:rPr>
                <w:spacing w:val="16"/>
                <w:sz w:val="20"/>
                <w:szCs w:val="20"/>
              </w:rPr>
              <w:t>存设施及包装物的标志应符合</w:t>
            </w:r>
            <w:r>
              <w:rPr>
                <w:rFonts w:ascii="Times New Roman" w:hAnsi="Times New Roman" w:eastAsia="Times New Roman" w:cs="Times New Roman"/>
                <w:sz w:val="20"/>
                <w:szCs w:val="20"/>
              </w:rPr>
              <w:t>GB</w:t>
            </w:r>
            <w:r>
              <w:rPr>
                <w:rFonts w:ascii="Times New Roman" w:hAnsi="Times New Roman" w:eastAsia="Times New Roman" w:cs="Times New Roman"/>
                <w:spacing w:val="16"/>
                <w:sz w:val="20"/>
                <w:szCs w:val="20"/>
              </w:rPr>
              <w:t>18597</w:t>
            </w:r>
            <w:r>
              <w:rPr>
                <w:rFonts w:ascii="Times New Roman" w:hAnsi="Times New Roman" w:eastAsia="Times New Roman" w:cs="Times New Roman"/>
                <w:spacing w:val="3"/>
                <w:sz w:val="20"/>
                <w:szCs w:val="20"/>
              </w:rPr>
              <w:t xml:space="preserve"> </w:t>
            </w:r>
            <w:r>
              <w:rPr>
                <w:spacing w:val="9"/>
                <w:sz w:val="20"/>
                <w:szCs w:val="20"/>
              </w:rPr>
              <w:t>的要求。所有固体废物避免混合、混放</w:t>
            </w:r>
            <w:r>
              <w:rPr>
                <w:rFonts w:ascii="Times New Roman" w:hAnsi="Times New Roman" w:eastAsia="Times New Roman" w:cs="Times New Roman"/>
                <w:spacing w:val="9"/>
                <w:sz w:val="20"/>
                <w:szCs w:val="20"/>
              </w:rPr>
              <w:t>.</w:t>
            </w:r>
          </w:p>
          <w:p w14:paraId="7584018F">
            <w:pPr>
              <w:pStyle w:val="6"/>
              <w:spacing w:before="72" w:line="261" w:lineRule="auto"/>
              <w:ind w:left="209" w:right="38"/>
              <w:rPr>
                <w:sz w:val="20"/>
                <w:szCs w:val="20"/>
              </w:rPr>
            </w:pPr>
            <w:r>
              <w:rPr>
                <w:rFonts w:ascii="Times New Roman" w:hAnsi="Times New Roman" w:eastAsia="Times New Roman" w:cs="Times New Roman"/>
                <w:spacing w:val="6"/>
                <w:sz w:val="20"/>
                <w:szCs w:val="20"/>
              </w:rPr>
              <w:t>6.2.3</w:t>
            </w:r>
            <w:r>
              <w:rPr>
                <w:spacing w:val="6"/>
                <w:sz w:val="20"/>
                <w:szCs w:val="20"/>
              </w:rPr>
              <w:t>妥善处置固体废物，不应非法转移、</w:t>
            </w:r>
            <w:r>
              <w:rPr>
                <w:spacing w:val="9"/>
                <w:sz w:val="20"/>
                <w:szCs w:val="20"/>
              </w:rPr>
              <w:t xml:space="preserve"> </w:t>
            </w:r>
            <w:r>
              <w:rPr>
                <w:spacing w:val="7"/>
                <w:sz w:val="20"/>
                <w:szCs w:val="20"/>
              </w:rPr>
              <w:t>倾倒，利用和处置。</w:t>
            </w:r>
          </w:p>
          <w:p w14:paraId="7708C5D0">
            <w:pPr>
              <w:pStyle w:val="6"/>
              <w:spacing w:before="76" w:line="261" w:lineRule="auto"/>
              <w:ind w:left="210" w:right="106"/>
              <w:rPr>
                <w:sz w:val="20"/>
                <w:szCs w:val="20"/>
              </w:rPr>
            </w:pPr>
            <w:r>
              <w:rPr>
                <w:rFonts w:ascii="Times New Roman" w:hAnsi="Times New Roman" w:eastAsia="Times New Roman" w:cs="Times New Roman"/>
                <w:spacing w:val="3"/>
                <w:sz w:val="20"/>
                <w:szCs w:val="20"/>
              </w:rPr>
              <w:t>6.2.4</w:t>
            </w:r>
            <w:r>
              <w:rPr>
                <w:spacing w:val="3"/>
                <w:sz w:val="20"/>
                <w:szCs w:val="20"/>
              </w:rPr>
              <w:t>不同类型的制冷剂应分别回收，使用</w:t>
            </w:r>
            <w:r>
              <w:rPr>
                <w:spacing w:val="4"/>
                <w:sz w:val="20"/>
                <w:szCs w:val="20"/>
              </w:rPr>
              <w:t xml:space="preserve"> </w:t>
            </w:r>
            <w:r>
              <w:rPr>
                <w:spacing w:val="7"/>
                <w:sz w:val="20"/>
                <w:szCs w:val="20"/>
              </w:rPr>
              <w:t>专门容器单独存放。</w:t>
            </w:r>
          </w:p>
          <w:p w14:paraId="05F7176A">
            <w:pPr>
              <w:pStyle w:val="6"/>
              <w:spacing w:before="73" w:line="262" w:lineRule="auto"/>
              <w:ind w:left="210" w:right="106"/>
              <w:rPr>
                <w:sz w:val="20"/>
                <w:szCs w:val="20"/>
              </w:rPr>
            </w:pPr>
            <w:r>
              <w:rPr>
                <w:rFonts w:ascii="Times New Roman" w:hAnsi="Times New Roman" w:eastAsia="Times New Roman" w:cs="Times New Roman"/>
                <w:spacing w:val="3"/>
                <w:sz w:val="20"/>
                <w:szCs w:val="20"/>
              </w:rPr>
              <w:t>6.2.5</w:t>
            </w:r>
            <w:r>
              <w:rPr>
                <w:spacing w:val="3"/>
                <w:sz w:val="20"/>
                <w:szCs w:val="20"/>
              </w:rPr>
              <w:t xml:space="preserve">废弃电器、铅酸蓄电池贮存场地不得 </w:t>
            </w:r>
            <w:r>
              <w:rPr>
                <w:spacing w:val="4"/>
                <w:sz w:val="20"/>
                <w:szCs w:val="20"/>
              </w:rPr>
              <w:t>有明火。</w:t>
            </w:r>
          </w:p>
          <w:p w14:paraId="2F588070">
            <w:pPr>
              <w:pStyle w:val="6"/>
              <w:spacing w:before="72" w:line="273" w:lineRule="auto"/>
              <w:ind w:left="207" w:right="106" w:firstLine="2"/>
              <w:rPr>
                <w:sz w:val="20"/>
                <w:szCs w:val="20"/>
              </w:rPr>
            </w:pPr>
            <w:r>
              <w:rPr>
                <w:rFonts w:ascii="Times New Roman" w:hAnsi="Times New Roman" w:eastAsia="Times New Roman" w:cs="Times New Roman"/>
                <w:spacing w:val="3"/>
                <w:sz w:val="20"/>
                <w:szCs w:val="20"/>
              </w:rPr>
              <w:t>6.2.6</w:t>
            </w:r>
            <w:r>
              <w:rPr>
                <w:spacing w:val="3"/>
                <w:sz w:val="20"/>
                <w:szCs w:val="20"/>
              </w:rPr>
              <w:t>、容器和装置要防漏和防止洒溅，未</w:t>
            </w:r>
            <w:r>
              <w:rPr>
                <w:spacing w:val="4"/>
                <w:sz w:val="20"/>
                <w:szCs w:val="20"/>
              </w:rPr>
              <w:t xml:space="preserve"> </w:t>
            </w:r>
            <w:r>
              <w:rPr>
                <w:spacing w:val="3"/>
                <w:sz w:val="20"/>
                <w:szCs w:val="20"/>
              </w:rPr>
              <w:t>引爆安全气囊的贮存装置应防爆，并对其</w:t>
            </w:r>
            <w:r>
              <w:rPr>
                <w:spacing w:val="15"/>
                <w:sz w:val="20"/>
                <w:szCs w:val="20"/>
              </w:rPr>
              <w:t xml:space="preserve"> </w:t>
            </w:r>
            <w:r>
              <w:rPr>
                <w:spacing w:val="7"/>
                <w:sz w:val="20"/>
                <w:szCs w:val="20"/>
              </w:rPr>
              <w:t>进行日常性检查。</w:t>
            </w:r>
          </w:p>
        </w:tc>
        <w:tc>
          <w:tcPr>
            <w:tcW w:w="3456" w:type="dxa"/>
            <w:tcBorders>
              <w:top w:val="single" w:color="000000" w:sz="10" w:space="0"/>
            </w:tcBorders>
            <w:vAlign w:val="top"/>
          </w:tcPr>
          <w:p w14:paraId="5783C64C">
            <w:pPr>
              <w:pStyle w:val="6"/>
              <w:spacing w:before="70" w:line="270" w:lineRule="auto"/>
              <w:ind w:left="114" w:right="94" w:firstLine="9"/>
              <w:jc w:val="both"/>
              <w:rPr>
                <w:sz w:val="20"/>
                <w:szCs w:val="20"/>
              </w:rPr>
            </w:pPr>
            <w:r>
              <w:rPr>
                <w:spacing w:val="15"/>
                <w:sz w:val="20"/>
                <w:szCs w:val="20"/>
              </w:rPr>
              <w:t>噪声满足《工业企业厂界环境噪声</w:t>
            </w:r>
            <w:r>
              <w:rPr>
                <w:spacing w:val="5"/>
                <w:sz w:val="20"/>
                <w:szCs w:val="20"/>
              </w:rPr>
              <w:t xml:space="preserve"> </w:t>
            </w:r>
            <w:r>
              <w:rPr>
                <w:spacing w:val="4"/>
                <w:sz w:val="20"/>
                <w:szCs w:val="20"/>
              </w:rPr>
              <w:t>排放标准》（</w:t>
            </w:r>
            <w:r>
              <w:rPr>
                <w:rFonts w:ascii="Times New Roman" w:hAnsi="Times New Roman" w:eastAsia="Times New Roman" w:cs="Times New Roman"/>
                <w:sz w:val="20"/>
                <w:szCs w:val="20"/>
              </w:rPr>
              <w:t>GB</w:t>
            </w:r>
            <w:r>
              <w:rPr>
                <w:rFonts w:ascii="Times New Roman" w:hAnsi="Times New Roman" w:eastAsia="Times New Roman" w:cs="Times New Roman"/>
                <w:spacing w:val="4"/>
                <w:sz w:val="20"/>
                <w:szCs w:val="20"/>
              </w:rPr>
              <w:t>12348-2008</w:t>
            </w:r>
            <w:r>
              <w:rPr>
                <w:spacing w:val="4"/>
                <w:sz w:val="20"/>
                <w:szCs w:val="20"/>
              </w:rPr>
              <w:t>）</w:t>
            </w:r>
            <w:r>
              <w:rPr>
                <w:rFonts w:ascii="Times New Roman" w:hAnsi="Times New Roman" w:eastAsia="Times New Roman" w:cs="Times New Roman"/>
                <w:spacing w:val="4"/>
                <w:sz w:val="20"/>
                <w:szCs w:val="20"/>
              </w:rPr>
              <w:t>2</w:t>
            </w:r>
            <w:r>
              <w:rPr>
                <w:spacing w:val="4"/>
                <w:sz w:val="20"/>
                <w:szCs w:val="20"/>
              </w:rPr>
              <w:t>类标</w:t>
            </w:r>
            <w:r>
              <w:rPr>
                <w:spacing w:val="13"/>
                <w:sz w:val="20"/>
                <w:szCs w:val="20"/>
              </w:rPr>
              <w:t xml:space="preserve"> </w:t>
            </w:r>
            <w:r>
              <w:rPr>
                <w:sz w:val="20"/>
                <w:szCs w:val="20"/>
              </w:rPr>
              <w:t>准。</w:t>
            </w:r>
          </w:p>
        </w:tc>
        <w:tc>
          <w:tcPr>
            <w:tcW w:w="982" w:type="dxa"/>
            <w:vMerge w:val="restart"/>
            <w:tcBorders>
              <w:top w:val="single" w:color="000000" w:sz="10" w:space="0"/>
              <w:bottom w:val="nil"/>
              <w:right w:val="single" w:color="000000" w:sz="10" w:space="0"/>
            </w:tcBorders>
            <w:vAlign w:val="top"/>
          </w:tcPr>
          <w:p w14:paraId="466E458E">
            <w:pPr>
              <w:spacing w:line="247" w:lineRule="auto"/>
              <w:rPr>
                <w:rFonts w:ascii="Arial"/>
                <w:sz w:val="21"/>
              </w:rPr>
            </w:pPr>
          </w:p>
          <w:p w14:paraId="3ECC7BCD">
            <w:pPr>
              <w:spacing w:line="247" w:lineRule="auto"/>
              <w:rPr>
                <w:rFonts w:ascii="Arial"/>
                <w:sz w:val="21"/>
              </w:rPr>
            </w:pPr>
          </w:p>
          <w:p w14:paraId="74B37DFA">
            <w:pPr>
              <w:spacing w:line="247" w:lineRule="auto"/>
              <w:rPr>
                <w:rFonts w:ascii="Arial"/>
                <w:sz w:val="21"/>
              </w:rPr>
            </w:pPr>
          </w:p>
          <w:p w14:paraId="19D4E609">
            <w:pPr>
              <w:spacing w:line="247" w:lineRule="auto"/>
              <w:rPr>
                <w:rFonts w:ascii="Arial"/>
                <w:sz w:val="21"/>
              </w:rPr>
            </w:pPr>
          </w:p>
          <w:p w14:paraId="341C1427">
            <w:pPr>
              <w:spacing w:line="247" w:lineRule="auto"/>
              <w:rPr>
                <w:rFonts w:ascii="Arial"/>
                <w:sz w:val="21"/>
              </w:rPr>
            </w:pPr>
          </w:p>
          <w:p w14:paraId="0F17CD71">
            <w:pPr>
              <w:spacing w:line="247" w:lineRule="auto"/>
              <w:rPr>
                <w:rFonts w:ascii="Arial"/>
                <w:sz w:val="21"/>
              </w:rPr>
            </w:pPr>
          </w:p>
          <w:p w14:paraId="3BE6CD98">
            <w:pPr>
              <w:spacing w:line="247" w:lineRule="auto"/>
              <w:rPr>
                <w:rFonts w:ascii="Arial"/>
                <w:sz w:val="21"/>
              </w:rPr>
            </w:pPr>
          </w:p>
          <w:p w14:paraId="21C90F47">
            <w:pPr>
              <w:spacing w:line="247" w:lineRule="auto"/>
              <w:rPr>
                <w:rFonts w:ascii="Arial"/>
                <w:sz w:val="21"/>
              </w:rPr>
            </w:pPr>
          </w:p>
          <w:p w14:paraId="5318BFA6">
            <w:pPr>
              <w:spacing w:line="247" w:lineRule="auto"/>
              <w:rPr>
                <w:rFonts w:ascii="Arial"/>
                <w:sz w:val="21"/>
              </w:rPr>
            </w:pPr>
          </w:p>
          <w:p w14:paraId="61BA1B92">
            <w:pPr>
              <w:spacing w:line="247" w:lineRule="auto"/>
              <w:rPr>
                <w:rFonts w:ascii="Arial"/>
                <w:sz w:val="21"/>
              </w:rPr>
            </w:pPr>
          </w:p>
          <w:p w14:paraId="2ED6E31E">
            <w:pPr>
              <w:spacing w:line="248" w:lineRule="auto"/>
              <w:rPr>
                <w:rFonts w:ascii="Arial"/>
                <w:sz w:val="21"/>
              </w:rPr>
            </w:pPr>
          </w:p>
          <w:p w14:paraId="00A1F288">
            <w:pPr>
              <w:pStyle w:val="6"/>
              <w:spacing w:before="65" w:line="228" w:lineRule="auto"/>
              <w:ind w:left="238"/>
              <w:rPr>
                <w:sz w:val="20"/>
                <w:szCs w:val="20"/>
              </w:rPr>
            </w:pPr>
            <w:r>
              <w:rPr>
                <w:spacing w:val="3"/>
                <w:sz w:val="20"/>
                <w:szCs w:val="20"/>
              </w:rPr>
              <w:t>符合</w:t>
            </w:r>
          </w:p>
          <w:p w14:paraId="27754A6F">
            <w:pPr>
              <w:spacing w:line="245" w:lineRule="auto"/>
              <w:rPr>
                <w:rFonts w:ascii="Arial"/>
                <w:sz w:val="21"/>
              </w:rPr>
            </w:pPr>
          </w:p>
          <w:p w14:paraId="7F0E6476">
            <w:pPr>
              <w:spacing w:line="245" w:lineRule="auto"/>
              <w:rPr>
                <w:rFonts w:ascii="Arial"/>
                <w:sz w:val="21"/>
              </w:rPr>
            </w:pPr>
          </w:p>
          <w:p w14:paraId="50F5BC22">
            <w:pPr>
              <w:spacing w:line="245" w:lineRule="auto"/>
              <w:rPr>
                <w:rFonts w:ascii="Arial"/>
                <w:sz w:val="21"/>
              </w:rPr>
            </w:pPr>
          </w:p>
          <w:p w14:paraId="3F5B0D1B">
            <w:pPr>
              <w:spacing w:line="245" w:lineRule="auto"/>
              <w:rPr>
                <w:rFonts w:ascii="Arial"/>
                <w:sz w:val="21"/>
              </w:rPr>
            </w:pPr>
          </w:p>
          <w:p w14:paraId="69A32EE0">
            <w:pPr>
              <w:spacing w:line="245" w:lineRule="auto"/>
              <w:rPr>
                <w:rFonts w:ascii="Arial"/>
                <w:sz w:val="21"/>
              </w:rPr>
            </w:pPr>
          </w:p>
          <w:p w14:paraId="6764779E">
            <w:pPr>
              <w:spacing w:line="245" w:lineRule="auto"/>
              <w:rPr>
                <w:rFonts w:ascii="Arial"/>
                <w:sz w:val="21"/>
              </w:rPr>
            </w:pPr>
          </w:p>
          <w:p w14:paraId="4B11EB3D">
            <w:pPr>
              <w:spacing w:line="245" w:lineRule="auto"/>
              <w:rPr>
                <w:rFonts w:ascii="Arial"/>
                <w:sz w:val="21"/>
              </w:rPr>
            </w:pPr>
          </w:p>
          <w:p w14:paraId="4E0B26A2">
            <w:pPr>
              <w:spacing w:line="245" w:lineRule="auto"/>
              <w:rPr>
                <w:rFonts w:ascii="Arial"/>
                <w:sz w:val="21"/>
              </w:rPr>
            </w:pPr>
          </w:p>
          <w:p w14:paraId="24F69FA1">
            <w:pPr>
              <w:spacing w:line="245" w:lineRule="auto"/>
              <w:rPr>
                <w:rFonts w:ascii="Arial"/>
                <w:sz w:val="21"/>
              </w:rPr>
            </w:pPr>
          </w:p>
          <w:p w14:paraId="3F3681AB">
            <w:pPr>
              <w:spacing w:line="245" w:lineRule="auto"/>
              <w:rPr>
                <w:rFonts w:ascii="Arial"/>
                <w:sz w:val="21"/>
              </w:rPr>
            </w:pPr>
          </w:p>
          <w:p w14:paraId="6E588C2C">
            <w:pPr>
              <w:spacing w:line="245" w:lineRule="auto"/>
              <w:rPr>
                <w:rFonts w:ascii="Arial"/>
                <w:sz w:val="21"/>
              </w:rPr>
            </w:pPr>
          </w:p>
          <w:p w14:paraId="22078C1F">
            <w:pPr>
              <w:spacing w:line="245" w:lineRule="auto"/>
              <w:rPr>
                <w:rFonts w:ascii="Arial"/>
                <w:sz w:val="21"/>
              </w:rPr>
            </w:pPr>
          </w:p>
          <w:p w14:paraId="62B9050C">
            <w:pPr>
              <w:spacing w:line="245" w:lineRule="auto"/>
              <w:rPr>
                <w:rFonts w:ascii="Arial"/>
                <w:sz w:val="21"/>
              </w:rPr>
            </w:pPr>
          </w:p>
          <w:p w14:paraId="74FDFD6E">
            <w:pPr>
              <w:spacing w:line="245" w:lineRule="auto"/>
              <w:rPr>
                <w:rFonts w:ascii="Arial"/>
                <w:sz w:val="21"/>
              </w:rPr>
            </w:pPr>
          </w:p>
          <w:p w14:paraId="6413D22B">
            <w:pPr>
              <w:spacing w:line="245" w:lineRule="auto"/>
              <w:rPr>
                <w:rFonts w:ascii="Arial"/>
                <w:sz w:val="21"/>
              </w:rPr>
            </w:pPr>
          </w:p>
          <w:p w14:paraId="67F03CC4">
            <w:pPr>
              <w:pStyle w:val="6"/>
              <w:spacing w:before="65" w:line="228" w:lineRule="auto"/>
              <w:ind w:left="238"/>
              <w:rPr>
                <w:sz w:val="20"/>
                <w:szCs w:val="20"/>
              </w:rPr>
            </w:pPr>
            <w:r>
              <w:rPr>
                <w:spacing w:val="3"/>
                <w:sz w:val="20"/>
                <w:szCs w:val="20"/>
              </w:rPr>
              <w:t>符合</w:t>
            </w:r>
          </w:p>
          <w:p w14:paraId="558369D1">
            <w:pPr>
              <w:spacing w:line="253" w:lineRule="auto"/>
              <w:rPr>
                <w:rFonts w:ascii="Arial"/>
                <w:sz w:val="21"/>
              </w:rPr>
            </w:pPr>
          </w:p>
          <w:p w14:paraId="5E94846B">
            <w:pPr>
              <w:spacing w:line="253" w:lineRule="auto"/>
              <w:rPr>
                <w:rFonts w:ascii="Arial"/>
                <w:sz w:val="21"/>
              </w:rPr>
            </w:pPr>
          </w:p>
          <w:p w14:paraId="2468F929">
            <w:pPr>
              <w:spacing w:line="253" w:lineRule="auto"/>
              <w:rPr>
                <w:rFonts w:ascii="Arial"/>
                <w:sz w:val="21"/>
              </w:rPr>
            </w:pPr>
          </w:p>
          <w:p w14:paraId="20FDC498">
            <w:pPr>
              <w:spacing w:line="253" w:lineRule="auto"/>
              <w:rPr>
                <w:rFonts w:ascii="Arial"/>
                <w:sz w:val="21"/>
              </w:rPr>
            </w:pPr>
          </w:p>
          <w:p w14:paraId="70C15562">
            <w:pPr>
              <w:spacing w:line="253" w:lineRule="auto"/>
              <w:rPr>
                <w:rFonts w:ascii="Arial"/>
                <w:sz w:val="21"/>
              </w:rPr>
            </w:pPr>
          </w:p>
          <w:p w14:paraId="7F051016">
            <w:pPr>
              <w:spacing w:line="253" w:lineRule="auto"/>
              <w:rPr>
                <w:rFonts w:ascii="Arial"/>
                <w:sz w:val="21"/>
              </w:rPr>
            </w:pPr>
          </w:p>
          <w:p w14:paraId="358A69E1">
            <w:pPr>
              <w:spacing w:line="254" w:lineRule="auto"/>
              <w:rPr>
                <w:rFonts w:ascii="Arial"/>
                <w:sz w:val="21"/>
              </w:rPr>
            </w:pPr>
          </w:p>
          <w:p w14:paraId="42F7D852">
            <w:pPr>
              <w:spacing w:line="254" w:lineRule="auto"/>
              <w:rPr>
                <w:rFonts w:ascii="Arial"/>
                <w:sz w:val="21"/>
              </w:rPr>
            </w:pPr>
          </w:p>
          <w:p w14:paraId="12125335">
            <w:pPr>
              <w:spacing w:line="254" w:lineRule="auto"/>
              <w:rPr>
                <w:rFonts w:ascii="Arial"/>
                <w:sz w:val="21"/>
              </w:rPr>
            </w:pPr>
          </w:p>
          <w:p w14:paraId="7AC2C0C8">
            <w:pPr>
              <w:spacing w:line="254" w:lineRule="auto"/>
              <w:rPr>
                <w:rFonts w:ascii="Arial"/>
                <w:sz w:val="21"/>
              </w:rPr>
            </w:pPr>
          </w:p>
          <w:p w14:paraId="3FE1F43E">
            <w:pPr>
              <w:spacing w:line="254" w:lineRule="auto"/>
              <w:rPr>
                <w:rFonts w:ascii="Arial"/>
                <w:sz w:val="21"/>
              </w:rPr>
            </w:pPr>
          </w:p>
          <w:p w14:paraId="1A30ED79">
            <w:pPr>
              <w:spacing w:line="254" w:lineRule="auto"/>
              <w:rPr>
                <w:rFonts w:ascii="Arial"/>
                <w:sz w:val="21"/>
              </w:rPr>
            </w:pPr>
          </w:p>
          <w:p w14:paraId="3BCDE0A3">
            <w:pPr>
              <w:spacing w:line="254" w:lineRule="auto"/>
              <w:rPr>
                <w:rFonts w:ascii="Arial"/>
                <w:sz w:val="21"/>
              </w:rPr>
            </w:pPr>
          </w:p>
          <w:p w14:paraId="1639FEC0">
            <w:pPr>
              <w:spacing w:line="254" w:lineRule="auto"/>
              <w:rPr>
                <w:rFonts w:ascii="Arial"/>
                <w:sz w:val="21"/>
              </w:rPr>
            </w:pPr>
          </w:p>
          <w:p w14:paraId="2507764C">
            <w:pPr>
              <w:spacing w:line="254" w:lineRule="auto"/>
              <w:rPr>
                <w:rFonts w:ascii="Arial"/>
                <w:sz w:val="21"/>
              </w:rPr>
            </w:pPr>
          </w:p>
          <w:p w14:paraId="3396CDE8">
            <w:pPr>
              <w:spacing w:line="254" w:lineRule="auto"/>
              <w:rPr>
                <w:rFonts w:ascii="Arial"/>
                <w:sz w:val="21"/>
              </w:rPr>
            </w:pPr>
          </w:p>
          <w:p w14:paraId="22C84836">
            <w:pPr>
              <w:spacing w:line="254" w:lineRule="auto"/>
              <w:rPr>
                <w:rFonts w:ascii="Arial"/>
                <w:sz w:val="21"/>
              </w:rPr>
            </w:pPr>
          </w:p>
          <w:p w14:paraId="4C6780E6">
            <w:pPr>
              <w:pStyle w:val="6"/>
              <w:spacing w:before="65" w:line="228" w:lineRule="auto"/>
              <w:ind w:left="238"/>
              <w:rPr>
                <w:sz w:val="20"/>
                <w:szCs w:val="20"/>
              </w:rPr>
            </w:pPr>
            <w:r>
              <w:rPr>
                <w:spacing w:val="3"/>
                <w:sz w:val="20"/>
                <w:szCs w:val="20"/>
              </w:rPr>
              <w:t>符合</w:t>
            </w:r>
          </w:p>
        </w:tc>
      </w:tr>
      <w:tr w14:paraId="44E7D3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8" w:hRule="atLeast"/>
        </w:trPr>
        <w:tc>
          <w:tcPr>
            <w:tcW w:w="494" w:type="dxa"/>
            <w:vMerge w:val="continue"/>
            <w:tcBorders>
              <w:top w:val="nil"/>
              <w:left w:val="single" w:color="000000" w:sz="10" w:space="0"/>
              <w:bottom w:val="nil"/>
            </w:tcBorders>
            <w:vAlign w:val="top"/>
          </w:tcPr>
          <w:p w14:paraId="7257D7B4">
            <w:pPr>
              <w:rPr>
                <w:rFonts w:ascii="Arial"/>
                <w:sz w:val="21"/>
              </w:rPr>
            </w:pPr>
          </w:p>
        </w:tc>
        <w:tc>
          <w:tcPr>
            <w:tcW w:w="3990" w:type="dxa"/>
            <w:vMerge w:val="continue"/>
            <w:tcBorders>
              <w:top w:val="nil"/>
              <w:bottom w:val="nil"/>
            </w:tcBorders>
            <w:vAlign w:val="top"/>
          </w:tcPr>
          <w:p w14:paraId="78F8F55C">
            <w:pPr>
              <w:rPr>
                <w:rFonts w:ascii="Arial"/>
                <w:sz w:val="21"/>
              </w:rPr>
            </w:pPr>
          </w:p>
        </w:tc>
        <w:tc>
          <w:tcPr>
            <w:tcW w:w="3456" w:type="dxa"/>
            <w:vAlign w:val="top"/>
          </w:tcPr>
          <w:p w14:paraId="3A9BBAA5">
            <w:pPr>
              <w:spacing w:line="242" w:lineRule="auto"/>
              <w:rPr>
                <w:rFonts w:ascii="Arial"/>
                <w:sz w:val="21"/>
              </w:rPr>
            </w:pPr>
          </w:p>
          <w:p w14:paraId="612B4657">
            <w:pPr>
              <w:spacing w:line="242" w:lineRule="auto"/>
              <w:rPr>
                <w:rFonts w:ascii="Arial"/>
                <w:sz w:val="21"/>
              </w:rPr>
            </w:pPr>
          </w:p>
          <w:p w14:paraId="792528D3">
            <w:pPr>
              <w:spacing w:line="242" w:lineRule="auto"/>
              <w:rPr>
                <w:rFonts w:ascii="Arial"/>
                <w:sz w:val="21"/>
              </w:rPr>
            </w:pPr>
          </w:p>
          <w:p w14:paraId="17A261A9">
            <w:pPr>
              <w:spacing w:line="242" w:lineRule="auto"/>
              <w:rPr>
                <w:rFonts w:ascii="Arial"/>
                <w:sz w:val="21"/>
              </w:rPr>
            </w:pPr>
          </w:p>
          <w:p w14:paraId="65F3F589">
            <w:pPr>
              <w:pStyle w:val="6"/>
              <w:spacing w:before="65" w:line="291" w:lineRule="auto"/>
              <w:ind w:left="112" w:right="94"/>
              <w:jc w:val="both"/>
              <w:rPr>
                <w:sz w:val="20"/>
                <w:szCs w:val="20"/>
              </w:rPr>
            </w:pPr>
            <w:r>
              <w:rPr>
                <w:spacing w:val="16"/>
                <w:sz w:val="20"/>
                <w:szCs w:val="20"/>
              </w:rPr>
              <w:t>报废农业机械与其他废弃物分开储</w:t>
            </w:r>
            <w:r>
              <w:rPr>
                <w:spacing w:val="2"/>
                <w:sz w:val="20"/>
                <w:szCs w:val="20"/>
              </w:rPr>
              <w:t xml:space="preserve"> </w:t>
            </w:r>
            <w:r>
              <w:rPr>
                <w:spacing w:val="16"/>
                <w:sz w:val="20"/>
                <w:szCs w:val="20"/>
              </w:rPr>
              <w:t>存，不进行蓄电池的拆卸。拆解区</w:t>
            </w:r>
            <w:r>
              <w:rPr>
                <w:sz w:val="20"/>
                <w:szCs w:val="20"/>
              </w:rPr>
              <w:t xml:space="preserve"> </w:t>
            </w:r>
            <w:r>
              <w:rPr>
                <w:spacing w:val="5"/>
                <w:sz w:val="20"/>
                <w:szCs w:val="20"/>
              </w:rPr>
              <w:t>四周设置</w:t>
            </w:r>
            <w:r>
              <w:rPr>
                <w:rFonts w:ascii="Times New Roman" w:hAnsi="Times New Roman" w:eastAsia="Times New Roman" w:cs="Times New Roman"/>
                <w:spacing w:val="5"/>
                <w:sz w:val="20"/>
                <w:szCs w:val="20"/>
              </w:rPr>
              <w:t>0.4m</w:t>
            </w:r>
            <w:r>
              <w:rPr>
                <w:rFonts w:ascii="Arial" w:hAnsi="Arial" w:eastAsia="Arial" w:cs="Arial"/>
                <w:spacing w:val="5"/>
                <w:sz w:val="20"/>
                <w:szCs w:val="20"/>
              </w:rPr>
              <w:t>×</w:t>
            </w:r>
            <w:r>
              <w:rPr>
                <w:rFonts w:ascii="Times New Roman" w:hAnsi="Times New Roman" w:eastAsia="Times New Roman" w:cs="Times New Roman"/>
                <w:spacing w:val="5"/>
                <w:sz w:val="20"/>
                <w:szCs w:val="20"/>
              </w:rPr>
              <w:t>0.5m</w:t>
            </w:r>
            <w:r>
              <w:rPr>
                <w:spacing w:val="5"/>
                <w:sz w:val="20"/>
                <w:szCs w:val="20"/>
              </w:rPr>
              <w:t>导流槽，于拆解</w:t>
            </w:r>
            <w:r>
              <w:rPr>
                <w:spacing w:val="11"/>
                <w:sz w:val="20"/>
                <w:szCs w:val="20"/>
              </w:rPr>
              <w:t xml:space="preserve"> </w:t>
            </w:r>
            <w:r>
              <w:rPr>
                <w:spacing w:val="12"/>
                <w:sz w:val="20"/>
                <w:szCs w:val="20"/>
              </w:rPr>
              <w:t>车间外侧西南角建设</w:t>
            </w:r>
            <w:r>
              <w:rPr>
                <w:rFonts w:ascii="Times New Roman" w:hAnsi="Times New Roman" w:eastAsia="Times New Roman" w:cs="Times New Roman"/>
                <w:spacing w:val="12"/>
                <w:sz w:val="20"/>
                <w:szCs w:val="20"/>
              </w:rPr>
              <w:t>10m</w:t>
            </w:r>
            <w:r>
              <w:rPr>
                <w:rFonts w:ascii="Times New Roman" w:hAnsi="Times New Roman" w:eastAsia="Times New Roman" w:cs="Times New Roman"/>
                <w:spacing w:val="12"/>
                <w:position w:val="6"/>
                <w:sz w:val="13"/>
                <w:szCs w:val="13"/>
              </w:rPr>
              <w:t>3</w:t>
            </w:r>
            <w:r>
              <w:rPr>
                <w:spacing w:val="12"/>
                <w:sz w:val="20"/>
                <w:szCs w:val="20"/>
              </w:rPr>
              <w:t>事故收集</w:t>
            </w:r>
            <w:r>
              <w:rPr>
                <w:spacing w:val="14"/>
                <w:sz w:val="20"/>
                <w:szCs w:val="20"/>
              </w:rPr>
              <w:t xml:space="preserve"> </w:t>
            </w:r>
            <w:r>
              <w:rPr>
                <w:sz w:val="20"/>
                <w:szCs w:val="20"/>
              </w:rPr>
              <w:t>池。</w:t>
            </w:r>
          </w:p>
          <w:p w14:paraId="6BD07C30">
            <w:pPr>
              <w:pStyle w:val="6"/>
              <w:spacing w:before="23" w:line="227" w:lineRule="auto"/>
              <w:ind w:left="115"/>
              <w:rPr>
                <w:sz w:val="20"/>
                <w:szCs w:val="20"/>
              </w:rPr>
            </w:pPr>
            <w:r>
              <w:rPr>
                <w:spacing w:val="8"/>
                <w:sz w:val="20"/>
                <w:szCs w:val="20"/>
              </w:rPr>
              <w:t>本项目不拆解电动农业机械。</w:t>
            </w:r>
          </w:p>
        </w:tc>
        <w:tc>
          <w:tcPr>
            <w:tcW w:w="982" w:type="dxa"/>
            <w:vMerge w:val="continue"/>
            <w:tcBorders>
              <w:top w:val="nil"/>
              <w:bottom w:val="nil"/>
              <w:right w:val="single" w:color="000000" w:sz="10" w:space="0"/>
            </w:tcBorders>
            <w:vAlign w:val="top"/>
          </w:tcPr>
          <w:p w14:paraId="24C0D19B">
            <w:pPr>
              <w:rPr>
                <w:rFonts w:ascii="Arial"/>
                <w:sz w:val="21"/>
              </w:rPr>
            </w:pPr>
          </w:p>
        </w:tc>
      </w:tr>
      <w:tr w14:paraId="34EB67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7" w:hRule="atLeast"/>
        </w:trPr>
        <w:tc>
          <w:tcPr>
            <w:tcW w:w="494" w:type="dxa"/>
            <w:vMerge w:val="continue"/>
            <w:tcBorders>
              <w:top w:val="nil"/>
              <w:left w:val="single" w:color="000000" w:sz="10" w:space="0"/>
              <w:bottom w:val="nil"/>
            </w:tcBorders>
            <w:vAlign w:val="top"/>
          </w:tcPr>
          <w:p w14:paraId="3D7DC922">
            <w:pPr>
              <w:rPr>
                <w:rFonts w:ascii="Arial"/>
                <w:sz w:val="21"/>
              </w:rPr>
            </w:pPr>
          </w:p>
        </w:tc>
        <w:tc>
          <w:tcPr>
            <w:tcW w:w="3990" w:type="dxa"/>
            <w:vMerge w:val="continue"/>
            <w:tcBorders>
              <w:top w:val="nil"/>
              <w:bottom w:val="nil"/>
            </w:tcBorders>
            <w:vAlign w:val="top"/>
          </w:tcPr>
          <w:p w14:paraId="2B1D1291">
            <w:pPr>
              <w:rPr>
                <w:rFonts w:ascii="Arial"/>
                <w:sz w:val="21"/>
              </w:rPr>
            </w:pPr>
          </w:p>
        </w:tc>
        <w:tc>
          <w:tcPr>
            <w:tcW w:w="3456" w:type="dxa"/>
            <w:vAlign w:val="top"/>
          </w:tcPr>
          <w:p w14:paraId="55454CE4">
            <w:pPr>
              <w:spacing w:line="268" w:lineRule="auto"/>
              <w:rPr>
                <w:rFonts w:ascii="Arial"/>
                <w:sz w:val="21"/>
              </w:rPr>
            </w:pPr>
          </w:p>
          <w:p w14:paraId="114511E1">
            <w:pPr>
              <w:spacing w:line="268" w:lineRule="auto"/>
              <w:rPr>
                <w:rFonts w:ascii="Arial"/>
                <w:sz w:val="21"/>
              </w:rPr>
            </w:pPr>
          </w:p>
          <w:p w14:paraId="4D140461">
            <w:pPr>
              <w:spacing w:line="268" w:lineRule="auto"/>
              <w:rPr>
                <w:rFonts w:ascii="Arial"/>
                <w:sz w:val="21"/>
              </w:rPr>
            </w:pPr>
          </w:p>
          <w:p w14:paraId="41F1F598">
            <w:pPr>
              <w:spacing w:line="269" w:lineRule="auto"/>
              <w:rPr>
                <w:rFonts w:ascii="Arial"/>
                <w:sz w:val="21"/>
              </w:rPr>
            </w:pPr>
          </w:p>
          <w:p w14:paraId="1850CC86">
            <w:pPr>
              <w:spacing w:line="269" w:lineRule="auto"/>
              <w:rPr>
                <w:rFonts w:ascii="Arial"/>
                <w:sz w:val="21"/>
              </w:rPr>
            </w:pPr>
          </w:p>
          <w:p w14:paraId="0B03C42E">
            <w:pPr>
              <w:spacing w:line="269" w:lineRule="auto"/>
              <w:rPr>
                <w:rFonts w:ascii="Arial"/>
                <w:sz w:val="21"/>
              </w:rPr>
            </w:pPr>
          </w:p>
          <w:p w14:paraId="34D87C5A">
            <w:pPr>
              <w:pStyle w:val="6"/>
              <w:spacing w:before="65" w:line="227" w:lineRule="auto"/>
              <w:ind w:left="160"/>
              <w:rPr>
                <w:sz w:val="20"/>
                <w:szCs w:val="20"/>
              </w:rPr>
            </w:pPr>
            <w:r>
              <w:rPr>
                <w:spacing w:val="9"/>
                <w:sz w:val="20"/>
                <w:szCs w:val="20"/>
              </w:rPr>
              <w:t>报废农业机械与其他废弃物分开储</w:t>
            </w:r>
          </w:p>
          <w:p w14:paraId="65ED3A4E">
            <w:pPr>
              <w:pStyle w:val="6"/>
              <w:spacing w:before="72" w:line="280" w:lineRule="auto"/>
              <w:ind w:left="374" w:right="391" w:firstLine="103"/>
              <w:rPr>
                <w:sz w:val="20"/>
                <w:szCs w:val="20"/>
              </w:rPr>
            </w:pPr>
            <w:r>
              <w:rPr>
                <w:spacing w:val="10"/>
                <w:sz w:val="20"/>
                <w:szCs w:val="20"/>
              </w:rPr>
              <w:t>存，不进行蓄电池的拆卸。</w:t>
            </w:r>
            <w:r>
              <w:rPr>
                <w:spacing w:val="9"/>
                <w:sz w:val="20"/>
                <w:szCs w:val="20"/>
              </w:rPr>
              <w:t xml:space="preserve"> </w:t>
            </w:r>
            <w:r>
              <w:rPr>
                <w:spacing w:val="6"/>
                <w:sz w:val="20"/>
                <w:szCs w:val="20"/>
              </w:rPr>
              <w:t>本项目不拆解电动农业机械。</w:t>
            </w:r>
          </w:p>
        </w:tc>
        <w:tc>
          <w:tcPr>
            <w:tcW w:w="982" w:type="dxa"/>
            <w:vMerge w:val="continue"/>
            <w:tcBorders>
              <w:top w:val="nil"/>
              <w:bottom w:val="nil"/>
              <w:right w:val="single" w:color="000000" w:sz="10" w:space="0"/>
            </w:tcBorders>
            <w:vAlign w:val="top"/>
          </w:tcPr>
          <w:p w14:paraId="0B37846A">
            <w:pPr>
              <w:rPr>
                <w:rFonts w:ascii="Arial"/>
                <w:sz w:val="21"/>
              </w:rPr>
            </w:pPr>
          </w:p>
        </w:tc>
      </w:tr>
      <w:tr w14:paraId="437F18D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8" w:hRule="atLeast"/>
        </w:trPr>
        <w:tc>
          <w:tcPr>
            <w:tcW w:w="494" w:type="dxa"/>
            <w:vMerge w:val="continue"/>
            <w:tcBorders>
              <w:top w:val="nil"/>
              <w:left w:val="single" w:color="000000" w:sz="10" w:space="0"/>
              <w:bottom w:val="single" w:color="000000" w:sz="10" w:space="0"/>
            </w:tcBorders>
            <w:vAlign w:val="top"/>
          </w:tcPr>
          <w:p w14:paraId="5CD713C5">
            <w:pPr>
              <w:rPr>
                <w:rFonts w:ascii="Arial"/>
                <w:sz w:val="21"/>
              </w:rPr>
            </w:pPr>
          </w:p>
        </w:tc>
        <w:tc>
          <w:tcPr>
            <w:tcW w:w="3990" w:type="dxa"/>
            <w:vMerge w:val="continue"/>
            <w:tcBorders>
              <w:top w:val="nil"/>
              <w:bottom w:val="single" w:color="000000" w:sz="10" w:space="0"/>
            </w:tcBorders>
            <w:vAlign w:val="top"/>
          </w:tcPr>
          <w:p w14:paraId="106AB776">
            <w:pPr>
              <w:rPr>
                <w:rFonts w:ascii="Arial"/>
                <w:sz w:val="21"/>
              </w:rPr>
            </w:pPr>
          </w:p>
        </w:tc>
        <w:tc>
          <w:tcPr>
            <w:tcW w:w="3456" w:type="dxa"/>
            <w:tcBorders>
              <w:bottom w:val="single" w:color="000000" w:sz="10" w:space="0"/>
            </w:tcBorders>
            <w:vAlign w:val="top"/>
          </w:tcPr>
          <w:p w14:paraId="0F76805C">
            <w:pPr>
              <w:pStyle w:val="6"/>
              <w:spacing w:before="95" w:line="280" w:lineRule="auto"/>
              <w:ind w:left="130" w:right="26" w:firstLine="421"/>
              <w:rPr>
                <w:sz w:val="20"/>
                <w:szCs w:val="20"/>
              </w:rPr>
            </w:pPr>
            <w:r>
              <w:rPr>
                <w:spacing w:val="-4"/>
                <w:sz w:val="20"/>
                <w:szCs w:val="20"/>
              </w:rPr>
              <w:t>固</w:t>
            </w:r>
            <w:r>
              <w:rPr>
                <w:spacing w:val="-9"/>
                <w:sz w:val="20"/>
                <w:szCs w:val="20"/>
              </w:rPr>
              <w:t xml:space="preserve"> </w:t>
            </w:r>
            <w:r>
              <w:rPr>
                <w:spacing w:val="-4"/>
                <w:sz w:val="20"/>
                <w:szCs w:val="20"/>
              </w:rPr>
              <w:t>体</w:t>
            </w:r>
            <w:r>
              <w:rPr>
                <w:spacing w:val="-19"/>
                <w:sz w:val="20"/>
                <w:szCs w:val="20"/>
              </w:rPr>
              <w:t xml:space="preserve"> </w:t>
            </w:r>
            <w:r>
              <w:rPr>
                <w:spacing w:val="-4"/>
                <w:sz w:val="20"/>
                <w:szCs w:val="20"/>
              </w:rPr>
              <w:t>废</w:t>
            </w:r>
            <w:r>
              <w:rPr>
                <w:spacing w:val="-20"/>
                <w:sz w:val="20"/>
                <w:szCs w:val="20"/>
              </w:rPr>
              <w:t xml:space="preserve"> </w:t>
            </w:r>
            <w:r>
              <w:rPr>
                <w:spacing w:val="-4"/>
                <w:sz w:val="20"/>
                <w:szCs w:val="20"/>
              </w:rPr>
              <w:t>物 的</w:t>
            </w:r>
            <w:r>
              <w:rPr>
                <w:spacing w:val="-21"/>
                <w:sz w:val="20"/>
                <w:szCs w:val="20"/>
              </w:rPr>
              <w:t xml:space="preserve"> </w:t>
            </w:r>
            <w:r>
              <w:rPr>
                <w:spacing w:val="-4"/>
                <w:sz w:val="20"/>
                <w:szCs w:val="20"/>
              </w:rPr>
              <w:t>储</w:t>
            </w:r>
            <w:r>
              <w:rPr>
                <w:spacing w:val="-18"/>
                <w:sz w:val="20"/>
                <w:szCs w:val="20"/>
              </w:rPr>
              <w:t xml:space="preserve"> </w:t>
            </w:r>
            <w:r>
              <w:rPr>
                <w:spacing w:val="-4"/>
                <w:sz w:val="20"/>
                <w:szCs w:val="20"/>
              </w:rPr>
              <w:t>存</w:t>
            </w:r>
            <w:r>
              <w:rPr>
                <w:spacing w:val="-18"/>
                <w:sz w:val="20"/>
                <w:szCs w:val="20"/>
              </w:rPr>
              <w:t xml:space="preserve"> </w:t>
            </w:r>
            <w:r>
              <w:rPr>
                <w:spacing w:val="-4"/>
                <w:sz w:val="20"/>
                <w:szCs w:val="20"/>
              </w:rPr>
              <w:t>符 合</w:t>
            </w:r>
            <w:r>
              <w:rPr>
                <w:spacing w:val="-21"/>
                <w:sz w:val="20"/>
                <w:szCs w:val="20"/>
              </w:rPr>
              <w:t xml:space="preserve"> </w:t>
            </w:r>
            <w:r>
              <w:rPr>
                <w:rFonts w:ascii="Times New Roman" w:hAnsi="Times New Roman" w:eastAsia="Times New Roman" w:cs="Times New Roman"/>
                <w:spacing w:val="-4"/>
                <w:sz w:val="20"/>
                <w:szCs w:val="20"/>
              </w:rPr>
              <w:t>GB</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2"/>
                <w:sz w:val="20"/>
                <w:szCs w:val="20"/>
              </w:rPr>
              <w:t>18599</w:t>
            </w:r>
            <w:r>
              <w:rPr>
                <w:rFonts w:ascii="Times New Roman" w:hAnsi="Times New Roman" w:eastAsia="Times New Roman" w:cs="Times New Roman"/>
                <w:spacing w:val="-29"/>
                <w:sz w:val="20"/>
                <w:szCs w:val="20"/>
              </w:rPr>
              <w:t xml:space="preserve"> </w:t>
            </w:r>
            <w:r>
              <w:rPr>
                <w:spacing w:val="2"/>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29"/>
                <w:w w:val="101"/>
                <w:sz w:val="20"/>
                <w:szCs w:val="20"/>
              </w:rPr>
              <w:t xml:space="preserve"> </w:t>
            </w:r>
            <w:r>
              <w:rPr>
                <w:rFonts w:ascii="Times New Roman" w:hAnsi="Times New Roman" w:eastAsia="Times New Roman" w:cs="Times New Roman"/>
                <w:spacing w:val="2"/>
                <w:sz w:val="20"/>
                <w:szCs w:val="20"/>
              </w:rPr>
              <w:t>18597</w:t>
            </w:r>
            <w:r>
              <w:rPr>
                <w:spacing w:val="2"/>
                <w:sz w:val="20"/>
                <w:szCs w:val="20"/>
              </w:rPr>
              <w:t>和</w:t>
            </w:r>
            <w:r>
              <w:rPr>
                <w:rFonts w:ascii="Times New Roman" w:hAnsi="Times New Roman" w:eastAsia="Times New Roman" w:cs="Times New Roman"/>
                <w:sz w:val="20"/>
                <w:szCs w:val="20"/>
              </w:rPr>
              <w:t>HJ</w:t>
            </w:r>
            <w:r>
              <w:rPr>
                <w:rFonts w:ascii="Times New Roman" w:hAnsi="Times New Roman" w:eastAsia="Times New Roman" w:cs="Times New Roman"/>
                <w:spacing w:val="2"/>
                <w:sz w:val="20"/>
                <w:szCs w:val="20"/>
              </w:rPr>
              <w:t xml:space="preserve"> 2025</w:t>
            </w:r>
            <w:r>
              <w:rPr>
                <w:spacing w:val="2"/>
                <w:sz w:val="20"/>
                <w:szCs w:val="20"/>
              </w:rPr>
              <w:t>的规定。</w:t>
            </w:r>
          </w:p>
          <w:p w14:paraId="35CFFD6F">
            <w:pPr>
              <w:pStyle w:val="6"/>
              <w:spacing w:before="34" w:line="291" w:lineRule="auto"/>
              <w:ind w:left="114" w:right="26" w:firstLine="423"/>
              <w:rPr>
                <w:sz w:val="20"/>
                <w:szCs w:val="20"/>
              </w:rPr>
            </w:pPr>
            <w:r>
              <w:rPr>
                <w:spacing w:val="16"/>
                <w:sz w:val="20"/>
                <w:szCs w:val="20"/>
              </w:rPr>
              <w:t>一般工业固体废物储存设施及</w:t>
            </w:r>
            <w:r>
              <w:rPr>
                <w:spacing w:val="9"/>
                <w:sz w:val="20"/>
                <w:szCs w:val="20"/>
              </w:rPr>
              <w:t xml:space="preserve"> </w:t>
            </w:r>
            <w:r>
              <w:rPr>
                <w:spacing w:val="18"/>
                <w:sz w:val="20"/>
                <w:szCs w:val="20"/>
              </w:rPr>
              <w:t>包装物按照</w:t>
            </w:r>
            <w:r>
              <w:rPr>
                <w:rFonts w:ascii="Times New Roman" w:hAnsi="Times New Roman" w:eastAsia="Times New Roman" w:cs="Times New Roman"/>
                <w:sz w:val="20"/>
                <w:szCs w:val="20"/>
              </w:rPr>
              <w:t>GB</w:t>
            </w:r>
            <w:r>
              <w:rPr>
                <w:rFonts w:ascii="Times New Roman" w:hAnsi="Times New Roman" w:eastAsia="Times New Roman" w:cs="Times New Roman"/>
                <w:spacing w:val="18"/>
                <w:sz w:val="20"/>
                <w:szCs w:val="20"/>
              </w:rPr>
              <w:t>15562.2</w:t>
            </w:r>
            <w:r>
              <w:rPr>
                <w:spacing w:val="18"/>
                <w:sz w:val="20"/>
                <w:szCs w:val="20"/>
              </w:rPr>
              <w:t>的规定进行</w:t>
            </w:r>
            <w:r>
              <w:rPr>
                <w:spacing w:val="4"/>
                <w:sz w:val="20"/>
                <w:szCs w:val="20"/>
              </w:rPr>
              <w:t xml:space="preserve"> </w:t>
            </w:r>
            <w:r>
              <w:rPr>
                <w:spacing w:val="15"/>
                <w:sz w:val="20"/>
                <w:szCs w:val="20"/>
              </w:rPr>
              <w:t>标识，危险废物储存设施及包装物</w:t>
            </w:r>
            <w:r>
              <w:rPr>
                <w:spacing w:val="13"/>
                <w:sz w:val="20"/>
                <w:szCs w:val="20"/>
              </w:rPr>
              <w:t xml:space="preserve"> </w:t>
            </w:r>
            <w:r>
              <w:rPr>
                <w:spacing w:val="10"/>
                <w:sz w:val="20"/>
                <w:szCs w:val="20"/>
              </w:rPr>
              <w:t>的标志符合</w:t>
            </w:r>
            <w:r>
              <w:rPr>
                <w:rFonts w:ascii="Times New Roman" w:hAnsi="Times New Roman" w:eastAsia="Times New Roman" w:cs="Times New Roman"/>
                <w:sz w:val="20"/>
                <w:szCs w:val="20"/>
              </w:rPr>
              <w:t>GB</w:t>
            </w:r>
            <w:r>
              <w:rPr>
                <w:rFonts w:ascii="Times New Roman" w:hAnsi="Times New Roman" w:eastAsia="Times New Roman" w:cs="Times New Roman"/>
                <w:spacing w:val="62"/>
                <w:sz w:val="20"/>
                <w:szCs w:val="20"/>
              </w:rPr>
              <w:t xml:space="preserve"> </w:t>
            </w:r>
            <w:r>
              <w:rPr>
                <w:rFonts w:ascii="Times New Roman" w:hAnsi="Times New Roman" w:eastAsia="Times New Roman" w:cs="Times New Roman"/>
                <w:spacing w:val="10"/>
                <w:sz w:val="20"/>
                <w:szCs w:val="20"/>
              </w:rPr>
              <w:t>18597</w:t>
            </w:r>
            <w:r>
              <w:rPr>
                <w:rFonts w:ascii="Times New Roman" w:hAnsi="Times New Roman" w:eastAsia="Times New Roman" w:cs="Times New Roman"/>
                <w:spacing w:val="-21"/>
                <w:sz w:val="20"/>
                <w:szCs w:val="20"/>
              </w:rPr>
              <w:t xml:space="preserve"> </w:t>
            </w:r>
            <w:r>
              <w:rPr>
                <w:spacing w:val="10"/>
                <w:sz w:val="20"/>
                <w:szCs w:val="20"/>
              </w:rPr>
              <w:t>和</w:t>
            </w:r>
            <w:r>
              <w:rPr>
                <w:rFonts w:ascii="Times New Roman" w:hAnsi="Times New Roman" w:eastAsia="Times New Roman" w:cs="Times New Roman"/>
                <w:sz w:val="20"/>
                <w:szCs w:val="20"/>
              </w:rPr>
              <w:t>HJ</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10"/>
                <w:sz w:val="20"/>
                <w:szCs w:val="20"/>
              </w:rPr>
              <w:t xml:space="preserve">2025 </w:t>
            </w:r>
            <w:r>
              <w:rPr>
                <w:spacing w:val="10"/>
                <w:sz w:val="20"/>
                <w:szCs w:val="20"/>
              </w:rPr>
              <w:t>的</w:t>
            </w:r>
            <w:r>
              <w:rPr>
                <w:sz w:val="20"/>
                <w:szCs w:val="20"/>
              </w:rPr>
              <w:t xml:space="preserve"> </w:t>
            </w:r>
            <w:r>
              <w:rPr>
                <w:spacing w:val="15"/>
                <w:sz w:val="20"/>
                <w:szCs w:val="20"/>
              </w:rPr>
              <w:t>规定。报废农业机械与其他废弃物</w:t>
            </w:r>
            <w:r>
              <w:rPr>
                <w:spacing w:val="13"/>
                <w:sz w:val="20"/>
                <w:szCs w:val="20"/>
              </w:rPr>
              <w:t xml:space="preserve"> </w:t>
            </w:r>
            <w:r>
              <w:rPr>
                <w:spacing w:val="6"/>
                <w:sz w:val="20"/>
                <w:szCs w:val="20"/>
              </w:rPr>
              <w:t>分开储存，所有固体废物避免混合、</w:t>
            </w:r>
            <w:r>
              <w:rPr>
                <w:spacing w:val="13"/>
                <w:sz w:val="20"/>
                <w:szCs w:val="20"/>
              </w:rPr>
              <w:t xml:space="preserve"> </w:t>
            </w:r>
            <w:r>
              <w:rPr>
                <w:spacing w:val="3"/>
                <w:sz w:val="20"/>
                <w:szCs w:val="20"/>
              </w:rPr>
              <w:t>混放。</w:t>
            </w:r>
          </w:p>
          <w:p w14:paraId="3BC64ECF">
            <w:pPr>
              <w:pStyle w:val="6"/>
              <w:spacing w:before="31" w:line="288" w:lineRule="auto"/>
              <w:ind w:left="114" w:right="94" w:firstLine="421"/>
              <w:jc w:val="both"/>
              <w:rPr>
                <w:sz w:val="20"/>
                <w:szCs w:val="20"/>
              </w:rPr>
            </w:pPr>
            <w:r>
              <w:rPr>
                <w:spacing w:val="16"/>
                <w:sz w:val="20"/>
                <w:szCs w:val="20"/>
              </w:rPr>
              <w:t>妥善处置固体废物，不非法转</w:t>
            </w:r>
            <w:r>
              <w:rPr>
                <w:spacing w:val="8"/>
                <w:sz w:val="20"/>
                <w:szCs w:val="20"/>
              </w:rPr>
              <w:t xml:space="preserve"> </w:t>
            </w:r>
            <w:r>
              <w:rPr>
                <w:spacing w:val="15"/>
                <w:sz w:val="20"/>
                <w:szCs w:val="20"/>
              </w:rPr>
              <w:t>移、倾倒、利用和处置。玻璃、废</w:t>
            </w:r>
            <w:r>
              <w:rPr>
                <w:spacing w:val="13"/>
                <w:sz w:val="20"/>
                <w:szCs w:val="20"/>
              </w:rPr>
              <w:t xml:space="preserve"> </w:t>
            </w:r>
            <w:r>
              <w:rPr>
                <w:spacing w:val="16"/>
                <w:sz w:val="20"/>
                <w:szCs w:val="20"/>
              </w:rPr>
              <w:t>旧轮胎、塑料、密封胶条、金属类</w:t>
            </w:r>
            <w:r>
              <w:rPr>
                <w:sz w:val="20"/>
                <w:szCs w:val="20"/>
              </w:rPr>
              <w:t xml:space="preserve"> </w:t>
            </w:r>
            <w:r>
              <w:rPr>
                <w:spacing w:val="16"/>
                <w:sz w:val="20"/>
                <w:szCs w:val="20"/>
              </w:rPr>
              <w:t>等收集在拆解后物料存储区，定期</w:t>
            </w:r>
            <w:r>
              <w:rPr>
                <w:sz w:val="20"/>
                <w:szCs w:val="20"/>
              </w:rPr>
              <w:t xml:space="preserve"> </w:t>
            </w:r>
            <w:r>
              <w:rPr>
                <w:spacing w:val="12"/>
                <w:sz w:val="20"/>
                <w:szCs w:val="20"/>
              </w:rPr>
              <w:t>外售废旧资源回收公司；</w:t>
            </w:r>
            <w:r>
              <w:rPr>
                <w:spacing w:val="-42"/>
                <w:sz w:val="20"/>
                <w:szCs w:val="20"/>
              </w:rPr>
              <w:t xml:space="preserve"> </w:t>
            </w:r>
            <w:r>
              <w:rPr>
                <w:spacing w:val="12"/>
                <w:sz w:val="20"/>
                <w:szCs w:val="20"/>
              </w:rPr>
              <w:t>电子电器</w:t>
            </w:r>
            <w:r>
              <w:rPr>
                <w:sz w:val="20"/>
                <w:szCs w:val="20"/>
              </w:rPr>
              <w:t xml:space="preserve"> </w:t>
            </w:r>
            <w:r>
              <w:rPr>
                <w:spacing w:val="11"/>
                <w:sz w:val="20"/>
                <w:szCs w:val="20"/>
              </w:rPr>
              <w:t>产品</w:t>
            </w:r>
            <w:r>
              <w:rPr>
                <w:rFonts w:ascii="Times New Roman" w:hAnsi="Times New Roman" w:eastAsia="Times New Roman" w:cs="Times New Roman"/>
                <w:spacing w:val="11"/>
                <w:sz w:val="20"/>
                <w:szCs w:val="20"/>
              </w:rPr>
              <w:t>/</w:t>
            </w:r>
            <w:r>
              <w:rPr>
                <w:spacing w:val="11"/>
                <w:sz w:val="20"/>
                <w:szCs w:val="20"/>
              </w:rPr>
              <w:t>元器件收集在拆解后物料存储</w:t>
            </w:r>
            <w:r>
              <w:rPr>
                <w:spacing w:val="6"/>
                <w:sz w:val="20"/>
                <w:szCs w:val="20"/>
              </w:rPr>
              <w:t xml:space="preserve"> </w:t>
            </w:r>
            <w:r>
              <w:rPr>
                <w:spacing w:val="14"/>
                <w:sz w:val="20"/>
                <w:szCs w:val="20"/>
              </w:rPr>
              <w:t>区，交由有废电器资质企业拆解，</w:t>
            </w:r>
          </w:p>
        </w:tc>
        <w:tc>
          <w:tcPr>
            <w:tcW w:w="982" w:type="dxa"/>
            <w:vMerge w:val="continue"/>
            <w:tcBorders>
              <w:top w:val="nil"/>
              <w:bottom w:val="single" w:color="000000" w:sz="10" w:space="0"/>
              <w:right w:val="single" w:color="000000" w:sz="10" w:space="0"/>
            </w:tcBorders>
            <w:vAlign w:val="top"/>
          </w:tcPr>
          <w:p w14:paraId="758AF804">
            <w:pPr>
              <w:rPr>
                <w:rFonts w:ascii="Arial"/>
                <w:sz w:val="21"/>
              </w:rPr>
            </w:pPr>
          </w:p>
        </w:tc>
      </w:tr>
    </w:tbl>
    <w:p w14:paraId="613C8A3E">
      <w:pPr>
        <w:pStyle w:val="2"/>
        <w:spacing w:line="108" w:lineRule="exact"/>
        <w:rPr>
          <w:sz w:val="9"/>
        </w:rPr>
      </w:pPr>
    </w:p>
    <w:p w14:paraId="3741FBCA">
      <w:pPr>
        <w:spacing w:line="108" w:lineRule="exact"/>
        <w:rPr>
          <w:sz w:val="9"/>
          <w:szCs w:val="9"/>
        </w:rPr>
        <w:sectPr>
          <w:footerReference r:id="rId29"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3990"/>
        <w:gridCol w:w="3456"/>
        <w:gridCol w:w="982"/>
      </w:tblGrid>
      <w:tr w14:paraId="34B926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69" w:hRule="atLeast"/>
        </w:trPr>
        <w:tc>
          <w:tcPr>
            <w:tcW w:w="494" w:type="dxa"/>
            <w:vMerge w:val="restart"/>
            <w:tcBorders>
              <w:top w:val="single" w:color="000000" w:sz="10" w:space="0"/>
              <w:left w:val="single" w:color="000000" w:sz="10" w:space="0"/>
              <w:bottom w:val="nil"/>
            </w:tcBorders>
            <w:vAlign w:val="top"/>
          </w:tcPr>
          <w:p w14:paraId="711E78A8">
            <w:pPr>
              <w:rPr>
                <w:rFonts w:ascii="Arial"/>
                <w:sz w:val="21"/>
              </w:rPr>
            </w:pPr>
          </w:p>
        </w:tc>
        <w:tc>
          <w:tcPr>
            <w:tcW w:w="3990" w:type="dxa"/>
            <w:vMerge w:val="restart"/>
            <w:tcBorders>
              <w:top w:val="single" w:color="000000" w:sz="10" w:space="0"/>
              <w:bottom w:val="nil"/>
            </w:tcBorders>
            <w:vAlign w:val="top"/>
          </w:tcPr>
          <w:p w14:paraId="1E6A3124">
            <w:pPr>
              <w:pStyle w:val="6"/>
              <w:spacing w:before="70" w:line="262" w:lineRule="auto"/>
              <w:ind w:left="210" w:right="106"/>
              <w:rPr>
                <w:sz w:val="20"/>
                <w:szCs w:val="20"/>
              </w:rPr>
            </w:pPr>
            <w:r>
              <w:rPr>
                <w:rFonts w:ascii="Times New Roman" w:hAnsi="Times New Roman" w:eastAsia="Times New Roman" w:cs="Times New Roman"/>
                <w:spacing w:val="13"/>
                <w:sz w:val="20"/>
                <w:szCs w:val="20"/>
              </w:rPr>
              <w:t>6.2.7</w:t>
            </w:r>
            <w:r>
              <w:rPr>
                <w:spacing w:val="13"/>
                <w:sz w:val="20"/>
                <w:szCs w:val="20"/>
              </w:rPr>
              <w:t>对拆解后的所有固体废物分类贮存</w:t>
            </w:r>
            <w:r>
              <w:rPr>
                <w:spacing w:val="6"/>
                <w:sz w:val="20"/>
                <w:szCs w:val="20"/>
              </w:rPr>
              <w:t xml:space="preserve"> </w:t>
            </w:r>
            <w:r>
              <w:rPr>
                <w:spacing w:val="4"/>
                <w:sz w:val="20"/>
                <w:szCs w:val="20"/>
              </w:rPr>
              <w:t>和标识。</w:t>
            </w:r>
          </w:p>
          <w:p w14:paraId="3E51D1EE">
            <w:pPr>
              <w:pStyle w:val="6"/>
              <w:spacing w:before="72" w:line="262" w:lineRule="auto"/>
              <w:ind w:left="210" w:right="106"/>
              <w:rPr>
                <w:sz w:val="20"/>
                <w:szCs w:val="20"/>
              </w:rPr>
            </w:pPr>
            <w:r>
              <w:rPr>
                <w:rFonts w:ascii="Times New Roman" w:hAnsi="Times New Roman" w:eastAsia="Times New Roman" w:cs="Times New Roman"/>
                <w:spacing w:val="13"/>
                <w:sz w:val="20"/>
                <w:szCs w:val="20"/>
              </w:rPr>
              <w:t>6.2.8</w:t>
            </w:r>
            <w:r>
              <w:rPr>
                <w:spacing w:val="13"/>
                <w:sz w:val="20"/>
                <w:szCs w:val="20"/>
              </w:rPr>
              <w:t>报废机动车主要固体废物的贮存方</w:t>
            </w:r>
            <w:r>
              <w:rPr>
                <w:spacing w:val="6"/>
                <w:sz w:val="20"/>
                <w:szCs w:val="20"/>
              </w:rPr>
              <w:t xml:space="preserve"> </w:t>
            </w:r>
            <w:r>
              <w:rPr>
                <w:spacing w:val="3"/>
                <w:sz w:val="20"/>
                <w:szCs w:val="20"/>
              </w:rPr>
              <w:t>法可参见表</w:t>
            </w:r>
            <w:r>
              <w:rPr>
                <w:rFonts w:ascii="Times New Roman" w:hAnsi="Times New Roman" w:eastAsia="Times New Roman" w:cs="Times New Roman"/>
                <w:spacing w:val="3"/>
                <w:sz w:val="20"/>
                <w:szCs w:val="20"/>
              </w:rPr>
              <w:t>B.</w:t>
            </w:r>
            <w:r>
              <w:rPr>
                <w:rFonts w:ascii="Times New Roman" w:hAnsi="Times New Roman" w:eastAsia="Times New Roman" w:cs="Times New Roman"/>
                <w:spacing w:val="-23"/>
                <w:sz w:val="20"/>
                <w:szCs w:val="20"/>
              </w:rPr>
              <w:t xml:space="preserve"> </w:t>
            </w:r>
            <w:r>
              <w:rPr>
                <w:rFonts w:ascii="Times New Roman" w:hAnsi="Times New Roman" w:eastAsia="Times New Roman" w:cs="Times New Roman"/>
                <w:spacing w:val="3"/>
                <w:sz w:val="20"/>
                <w:szCs w:val="20"/>
              </w:rPr>
              <w:t>1</w:t>
            </w:r>
            <w:r>
              <w:rPr>
                <w:spacing w:val="3"/>
                <w:sz w:val="20"/>
                <w:szCs w:val="20"/>
              </w:rPr>
              <w:t>。</w:t>
            </w:r>
          </w:p>
          <w:p w14:paraId="249CEA91">
            <w:pPr>
              <w:spacing w:line="246" w:lineRule="auto"/>
              <w:rPr>
                <w:rFonts w:ascii="Arial"/>
                <w:sz w:val="21"/>
              </w:rPr>
            </w:pPr>
          </w:p>
          <w:p w14:paraId="228DAAD6">
            <w:pPr>
              <w:spacing w:line="246" w:lineRule="auto"/>
              <w:rPr>
                <w:rFonts w:ascii="Arial"/>
                <w:sz w:val="21"/>
              </w:rPr>
            </w:pPr>
          </w:p>
          <w:p w14:paraId="2A6F1D6D">
            <w:pPr>
              <w:spacing w:line="246" w:lineRule="auto"/>
              <w:rPr>
                <w:rFonts w:ascii="Arial"/>
                <w:sz w:val="21"/>
              </w:rPr>
            </w:pPr>
          </w:p>
          <w:p w14:paraId="132A978C">
            <w:pPr>
              <w:spacing w:line="246" w:lineRule="auto"/>
              <w:rPr>
                <w:rFonts w:ascii="Arial"/>
                <w:sz w:val="21"/>
              </w:rPr>
            </w:pPr>
          </w:p>
          <w:p w14:paraId="5E6C7204">
            <w:pPr>
              <w:spacing w:line="246" w:lineRule="auto"/>
              <w:rPr>
                <w:rFonts w:ascii="Arial"/>
                <w:sz w:val="21"/>
              </w:rPr>
            </w:pPr>
          </w:p>
          <w:p w14:paraId="39921484">
            <w:pPr>
              <w:spacing w:line="246" w:lineRule="auto"/>
              <w:rPr>
                <w:rFonts w:ascii="Arial"/>
                <w:sz w:val="21"/>
              </w:rPr>
            </w:pPr>
          </w:p>
          <w:p w14:paraId="3AEC262A">
            <w:pPr>
              <w:spacing w:line="246" w:lineRule="auto"/>
              <w:rPr>
                <w:rFonts w:ascii="Arial"/>
                <w:sz w:val="21"/>
              </w:rPr>
            </w:pPr>
          </w:p>
          <w:p w14:paraId="4F9A6FA8">
            <w:pPr>
              <w:spacing w:line="246" w:lineRule="auto"/>
              <w:rPr>
                <w:rFonts w:ascii="Arial"/>
                <w:sz w:val="21"/>
              </w:rPr>
            </w:pPr>
          </w:p>
          <w:p w14:paraId="2F024321">
            <w:pPr>
              <w:spacing w:line="246" w:lineRule="auto"/>
              <w:rPr>
                <w:rFonts w:ascii="Arial"/>
                <w:sz w:val="21"/>
              </w:rPr>
            </w:pPr>
          </w:p>
          <w:p w14:paraId="7F3BBB80">
            <w:pPr>
              <w:spacing w:line="246" w:lineRule="auto"/>
              <w:rPr>
                <w:rFonts w:ascii="Arial"/>
                <w:sz w:val="21"/>
              </w:rPr>
            </w:pPr>
          </w:p>
          <w:p w14:paraId="21BD0711">
            <w:pPr>
              <w:spacing w:line="247" w:lineRule="auto"/>
              <w:rPr>
                <w:rFonts w:ascii="Arial"/>
                <w:sz w:val="21"/>
              </w:rPr>
            </w:pPr>
          </w:p>
          <w:p w14:paraId="19F0B853">
            <w:pPr>
              <w:spacing w:line="247" w:lineRule="auto"/>
              <w:rPr>
                <w:rFonts w:ascii="Arial"/>
                <w:sz w:val="21"/>
              </w:rPr>
            </w:pPr>
          </w:p>
          <w:p w14:paraId="690B821A">
            <w:pPr>
              <w:spacing w:line="247" w:lineRule="auto"/>
              <w:rPr>
                <w:rFonts w:ascii="Arial"/>
                <w:sz w:val="21"/>
              </w:rPr>
            </w:pPr>
          </w:p>
          <w:p w14:paraId="722770C3">
            <w:pPr>
              <w:spacing w:line="247" w:lineRule="auto"/>
              <w:rPr>
                <w:rFonts w:ascii="Arial"/>
                <w:sz w:val="21"/>
              </w:rPr>
            </w:pPr>
          </w:p>
          <w:p w14:paraId="480447EE">
            <w:pPr>
              <w:spacing w:line="247" w:lineRule="auto"/>
              <w:rPr>
                <w:rFonts w:ascii="Arial"/>
                <w:sz w:val="21"/>
              </w:rPr>
            </w:pPr>
          </w:p>
          <w:p w14:paraId="6F3B2033">
            <w:pPr>
              <w:spacing w:line="247" w:lineRule="auto"/>
              <w:rPr>
                <w:rFonts w:ascii="Arial"/>
                <w:sz w:val="21"/>
              </w:rPr>
            </w:pPr>
          </w:p>
          <w:p w14:paraId="7A316497">
            <w:pPr>
              <w:spacing w:line="247" w:lineRule="auto"/>
              <w:rPr>
                <w:rFonts w:ascii="Arial"/>
                <w:sz w:val="21"/>
              </w:rPr>
            </w:pPr>
          </w:p>
          <w:p w14:paraId="6FD232E5">
            <w:pPr>
              <w:spacing w:line="247" w:lineRule="auto"/>
              <w:rPr>
                <w:rFonts w:ascii="Arial"/>
                <w:sz w:val="21"/>
              </w:rPr>
            </w:pPr>
          </w:p>
          <w:p w14:paraId="3375F0B5">
            <w:pPr>
              <w:spacing w:line="247" w:lineRule="auto"/>
              <w:rPr>
                <w:rFonts w:ascii="Arial"/>
                <w:sz w:val="21"/>
              </w:rPr>
            </w:pPr>
          </w:p>
          <w:p w14:paraId="1F4692D0">
            <w:pPr>
              <w:spacing w:line="247" w:lineRule="auto"/>
              <w:rPr>
                <w:rFonts w:ascii="Arial"/>
                <w:sz w:val="21"/>
              </w:rPr>
            </w:pPr>
          </w:p>
          <w:p w14:paraId="787CC8EA">
            <w:pPr>
              <w:spacing w:line="247" w:lineRule="auto"/>
              <w:rPr>
                <w:rFonts w:ascii="Arial"/>
                <w:sz w:val="21"/>
              </w:rPr>
            </w:pPr>
          </w:p>
          <w:p w14:paraId="0024F21E">
            <w:pPr>
              <w:spacing w:line="247" w:lineRule="auto"/>
              <w:rPr>
                <w:rFonts w:ascii="Arial"/>
                <w:sz w:val="21"/>
              </w:rPr>
            </w:pPr>
          </w:p>
          <w:p w14:paraId="3DA6F913">
            <w:pPr>
              <w:pStyle w:val="6"/>
              <w:spacing w:before="65" w:line="228" w:lineRule="auto"/>
              <w:ind w:left="210"/>
              <w:rPr>
                <w:sz w:val="20"/>
                <w:szCs w:val="20"/>
              </w:rPr>
            </w:pPr>
            <w:r>
              <w:rPr>
                <w:rFonts w:ascii="Times New Roman" w:hAnsi="Times New Roman" w:eastAsia="Times New Roman" w:cs="Times New Roman"/>
                <w:spacing w:val="7"/>
                <w:sz w:val="20"/>
                <w:szCs w:val="20"/>
              </w:rPr>
              <w:t>6.4</w:t>
            </w:r>
            <w:r>
              <w:rPr>
                <w:spacing w:val="7"/>
                <w:sz w:val="20"/>
                <w:szCs w:val="20"/>
              </w:rPr>
              <w:t>动力蓄电池贮存</w:t>
            </w:r>
          </w:p>
          <w:p w14:paraId="4F0938B2">
            <w:pPr>
              <w:pStyle w:val="6"/>
              <w:spacing w:before="73" w:line="262" w:lineRule="auto"/>
              <w:ind w:left="225" w:right="104" w:hanging="15"/>
              <w:rPr>
                <w:sz w:val="20"/>
                <w:szCs w:val="20"/>
              </w:rPr>
            </w:pPr>
            <w:r>
              <w:rPr>
                <w:rFonts w:ascii="Times New Roman" w:hAnsi="Times New Roman" w:eastAsia="Times New Roman" w:cs="Times New Roman"/>
                <w:spacing w:val="-1"/>
                <w:sz w:val="20"/>
                <w:szCs w:val="20"/>
              </w:rPr>
              <w:t>6.4.</w:t>
            </w:r>
            <w:r>
              <w:rPr>
                <w:rFonts w:ascii="Times New Roman" w:hAnsi="Times New Roman" w:eastAsia="Times New Roman" w:cs="Times New Roman"/>
                <w:spacing w:val="-19"/>
                <w:sz w:val="20"/>
                <w:szCs w:val="20"/>
              </w:rPr>
              <w:t xml:space="preserve"> </w:t>
            </w:r>
            <w:r>
              <w:rPr>
                <w:rFonts w:ascii="Times New Roman" w:hAnsi="Times New Roman" w:eastAsia="Times New Roman" w:cs="Times New Roman"/>
                <w:spacing w:val="-1"/>
                <w:sz w:val="20"/>
                <w:szCs w:val="20"/>
              </w:rPr>
              <w:t xml:space="preserve">1 </w:t>
            </w:r>
            <w:r>
              <w:rPr>
                <w:spacing w:val="-1"/>
                <w:sz w:val="20"/>
                <w:szCs w:val="20"/>
              </w:rPr>
              <w:t>动</w:t>
            </w:r>
            <w:r>
              <w:rPr>
                <w:spacing w:val="-52"/>
                <w:sz w:val="20"/>
                <w:szCs w:val="20"/>
              </w:rPr>
              <w:t xml:space="preserve"> </w:t>
            </w:r>
            <w:r>
              <w:rPr>
                <w:spacing w:val="-1"/>
                <w:sz w:val="20"/>
                <w:szCs w:val="20"/>
              </w:rPr>
              <w:t>力</w:t>
            </w:r>
            <w:r>
              <w:rPr>
                <w:spacing w:val="-45"/>
                <w:sz w:val="20"/>
                <w:szCs w:val="20"/>
              </w:rPr>
              <w:t xml:space="preserve"> </w:t>
            </w:r>
            <w:r>
              <w:rPr>
                <w:spacing w:val="-1"/>
                <w:sz w:val="20"/>
                <w:szCs w:val="20"/>
              </w:rPr>
              <w:t>蓄</w:t>
            </w:r>
            <w:r>
              <w:rPr>
                <w:spacing w:val="-32"/>
                <w:sz w:val="20"/>
                <w:szCs w:val="20"/>
              </w:rPr>
              <w:t xml:space="preserve"> </w:t>
            </w:r>
            <w:r>
              <w:rPr>
                <w:spacing w:val="-1"/>
                <w:sz w:val="20"/>
                <w:szCs w:val="20"/>
              </w:rPr>
              <w:t>电</w:t>
            </w:r>
            <w:r>
              <w:rPr>
                <w:spacing w:val="-56"/>
                <w:sz w:val="20"/>
                <w:szCs w:val="20"/>
              </w:rPr>
              <w:t xml:space="preserve"> </w:t>
            </w:r>
            <w:r>
              <w:rPr>
                <w:spacing w:val="-1"/>
                <w:sz w:val="20"/>
                <w:szCs w:val="20"/>
              </w:rPr>
              <w:t>池</w:t>
            </w:r>
            <w:r>
              <w:rPr>
                <w:spacing w:val="-39"/>
                <w:sz w:val="20"/>
                <w:szCs w:val="20"/>
              </w:rPr>
              <w:t xml:space="preserve"> </w:t>
            </w:r>
            <w:r>
              <w:rPr>
                <w:spacing w:val="-1"/>
                <w:sz w:val="20"/>
                <w:szCs w:val="20"/>
              </w:rPr>
              <w:t>的</w:t>
            </w:r>
            <w:r>
              <w:rPr>
                <w:spacing w:val="-52"/>
                <w:sz w:val="20"/>
                <w:szCs w:val="20"/>
              </w:rPr>
              <w:t xml:space="preserve"> </w:t>
            </w:r>
            <w:r>
              <w:rPr>
                <w:spacing w:val="-1"/>
                <w:sz w:val="20"/>
                <w:szCs w:val="20"/>
              </w:rPr>
              <w:t>贮</w:t>
            </w:r>
            <w:r>
              <w:rPr>
                <w:spacing w:val="-57"/>
                <w:sz w:val="20"/>
                <w:szCs w:val="20"/>
              </w:rPr>
              <w:t xml:space="preserve"> </w:t>
            </w:r>
            <w:r>
              <w:rPr>
                <w:spacing w:val="-1"/>
                <w:sz w:val="20"/>
                <w:szCs w:val="20"/>
              </w:rPr>
              <w:t>存</w:t>
            </w:r>
            <w:r>
              <w:rPr>
                <w:spacing w:val="-56"/>
                <w:sz w:val="20"/>
                <w:szCs w:val="20"/>
              </w:rPr>
              <w:t xml:space="preserve"> </w:t>
            </w:r>
            <w:r>
              <w:rPr>
                <w:spacing w:val="-1"/>
                <w:sz w:val="20"/>
                <w:szCs w:val="20"/>
              </w:rPr>
              <w:t>应</w:t>
            </w:r>
            <w:r>
              <w:rPr>
                <w:spacing w:val="-52"/>
                <w:sz w:val="20"/>
                <w:szCs w:val="20"/>
              </w:rPr>
              <w:t xml:space="preserve"> </w:t>
            </w:r>
            <w:r>
              <w:rPr>
                <w:spacing w:val="-1"/>
                <w:sz w:val="20"/>
                <w:szCs w:val="20"/>
              </w:rPr>
              <w:t>按</w:t>
            </w:r>
            <w:r>
              <w:rPr>
                <w:spacing w:val="-50"/>
                <w:sz w:val="20"/>
                <w:szCs w:val="20"/>
              </w:rPr>
              <w:t xml:space="preserve"> </w:t>
            </w:r>
            <w:r>
              <w:rPr>
                <w:spacing w:val="-1"/>
                <w:sz w:val="20"/>
                <w:szCs w:val="20"/>
              </w:rPr>
              <w:t>照</w:t>
            </w:r>
            <w:r>
              <w:rPr>
                <w:rFonts w:ascii="Times New Roman" w:hAnsi="Times New Roman" w:eastAsia="Times New Roman" w:cs="Times New Roman"/>
                <w:spacing w:val="-1"/>
                <w:sz w:val="20"/>
                <w:szCs w:val="20"/>
              </w:rPr>
              <w:t>WB/T</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5"/>
                <w:sz w:val="20"/>
                <w:szCs w:val="20"/>
              </w:rPr>
              <w:t>1061</w:t>
            </w:r>
            <w:r>
              <w:rPr>
                <w:spacing w:val="5"/>
                <w:sz w:val="20"/>
                <w:szCs w:val="20"/>
              </w:rPr>
              <w:t>的贮存要求执行。</w:t>
            </w:r>
          </w:p>
          <w:p w14:paraId="08E99BA1">
            <w:pPr>
              <w:pStyle w:val="6"/>
              <w:spacing w:before="72" w:line="261" w:lineRule="auto"/>
              <w:ind w:left="214" w:right="106" w:hanging="4"/>
              <w:rPr>
                <w:sz w:val="20"/>
                <w:szCs w:val="20"/>
              </w:rPr>
            </w:pPr>
            <w:r>
              <w:rPr>
                <w:rFonts w:ascii="Times New Roman" w:hAnsi="Times New Roman" w:eastAsia="Times New Roman" w:cs="Times New Roman"/>
                <w:spacing w:val="13"/>
                <w:sz w:val="20"/>
                <w:szCs w:val="20"/>
              </w:rPr>
              <w:t>6.4.2</w:t>
            </w:r>
            <w:r>
              <w:rPr>
                <w:spacing w:val="13"/>
                <w:sz w:val="20"/>
                <w:szCs w:val="20"/>
              </w:rPr>
              <w:t>动力蓄电池多层贮存时应采取框架</w:t>
            </w:r>
            <w:r>
              <w:rPr>
                <w:spacing w:val="6"/>
                <w:sz w:val="20"/>
                <w:szCs w:val="20"/>
              </w:rPr>
              <w:t xml:space="preserve"> </w:t>
            </w:r>
            <w:r>
              <w:rPr>
                <w:spacing w:val="8"/>
                <w:sz w:val="20"/>
                <w:szCs w:val="20"/>
              </w:rPr>
              <w:t>结构并确保承重安全，且便于存取。</w:t>
            </w:r>
          </w:p>
          <w:p w14:paraId="4154B315">
            <w:pPr>
              <w:pStyle w:val="6"/>
              <w:spacing w:before="75" w:line="261" w:lineRule="auto"/>
              <w:ind w:left="210" w:right="106"/>
              <w:rPr>
                <w:sz w:val="20"/>
                <w:szCs w:val="20"/>
              </w:rPr>
            </w:pPr>
            <w:r>
              <w:rPr>
                <w:rFonts w:ascii="Times New Roman" w:hAnsi="Times New Roman" w:eastAsia="Times New Roman" w:cs="Times New Roman"/>
                <w:spacing w:val="3"/>
                <w:sz w:val="20"/>
                <w:szCs w:val="20"/>
              </w:rPr>
              <w:t>6.4.3</w:t>
            </w:r>
            <w:r>
              <w:rPr>
                <w:spacing w:val="3"/>
                <w:sz w:val="20"/>
                <w:szCs w:val="20"/>
              </w:rPr>
              <w:t>存在漏电，漏液、破损等安全隐患的 动力蓄电池应采取适当方式处理，并隔离</w:t>
            </w:r>
          </w:p>
          <w:p w14:paraId="6CAAF170">
            <w:pPr>
              <w:pStyle w:val="6"/>
              <w:spacing w:before="73" w:line="228" w:lineRule="auto"/>
              <w:ind w:left="208"/>
              <w:rPr>
                <w:sz w:val="20"/>
                <w:szCs w:val="20"/>
              </w:rPr>
            </w:pPr>
            <w:r>
              <w:rPr>
                <w:spacing w:val="3"/>
                <w:sz w:val="20"/>
                <w:szCs w:val="20"/>
              </w:rPr>
              <w:t>存放。</w:t>
            </w:r>
          </w:p>
          <w:p w14:paraId="5B3E4F26">
            <w:pPr>
              <w:spacing w:line="327" w:lineRule="auto"/>
              <w:rPr>
                <w:rFonts w:ascii="Arial"/>
                <w:sz w:val="21"/>
              </w:rPr>
            </w:pPr>
          </w:p>
          <w:p w14:paraId="639DAB92">
            <w:pPr>
              <w:spacing w:line="327" w:lineRule="auto"/>
              <w:rPr>
                <w:rFonts w:ascii="Arial"/>
                <w:sz w:val="21"/>
              </w:rPr>
            </w:pPr>
          </w:p>
          <w:p w14:paraId="496C0417">
            <w:pPr>
              <w:pStyle w:val="6"/>
              <w:spacing w:before="65" w:line="292" w:lineRule="auto"/>
              <w:ind w:left="208" w:right="38"/>
              <w:jc w:val="both"/>
              <w:rPr>
                <w:sz w:val="20"/>
                <w:szCs w:val="20"/>
              </w:rPr>
            </w:pPr>
            <w:r>
              <w:rPr>
                <w:rFonts w:ascii="Times New Roman" w:hAnsi="Times New Roman" w:eastAsia="Times New Roman" w:cs="Times New Roman"/>
                <w:spacing w:val="2"/>
                <w:sz w:val="20"/>
                <w:szCs w:val="20"/>
              </w:rPr>
              <w:t>7.</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2"/>
                <w:sz w:val="20"/>
                <w:szCs w:val="20"/>
              </w:rPr>
              <w:t>1.3</w:t>
            </w:r>
            <w:r>
              <w:rPr>
                <w:spacing w:val="2"/>
                <w:sz w:val="20"/>
                <w:szCs w:val="20"/>
              </w:rPr>
              <w:t>拆解电动汽车的企业，应接受汽车生</w:t>
            </w:r>
            <w:r>
              <w:rPr>
                <w:sz w:val="20"/>
                <w:szCs w:val="20"/>
              </w:rPr>
              <w:t xml:space="preserve"> </w:t>
            </w:r>
            <w:r>
              <w:rPr>
                <w:spacing w:val="3"/>
                <w:sz w:val="20"/>
                <w:szCs w:val="20"/>
              </w:rPr>
              <w:t>产企业的技术指导，根据汽车生产企业提</w:t>
            </w:r>
            <w:r>
              <w:rPr>
                <w:spacing w:val="14"/>
                <w:sz w:val="20"/>
                <w:szCs w:val="20"/>
              </w:rPr>
              <w:t xml:space="preserve"> </w:t>
            </w:r>
            <w:r>
              <w:rPr>
                <w:spacing w:val="15"/>
                <w:sz w:val="20"/>
                <w:szCs w:val="20"/>
              </w:rPr>
              <w:t>供的拆解信息或手册制定拆解作业程序</w:t>
            </w:r>
            <w:r>
              <w:rPr>
                <w:spacing w:val="13"/>
                <w:sz w:val="20"/>
                <w:szCs w:val="20"/>
              </w:rPr>
              <w:t xml:space="preserve"> </w:t>
            </w:r>
            <w:r>
              <w:rPr>
                <w:spacing w:val="7"/>
                <w:sz w:val="20"/>
                <w:szCs w:val="20"/>
              </w:rPr>
              <w:t>或作业指导书，配备相应安全技术人员。</w:t>
            </w:r>
            <w:r>
              <w:rPr>
                <w:spacing w:val="11"/>
                <w:sz w:val="20"/>
                <w:szCs w:val="20"/>
              </w:rPr>
              <w:t xml:space="preserve"> </w:t>
            </w:r>
            <w:r>
              <w:rPr>
                <w:spacing w:val="15"/>
                <w:sz w:val="20"/>
                <w:szCs w:val="20"/>
              </w:rPr>
              <w:t>应将从报废电动汽车上拆卸下来的动力</w:t>
            </w:r>
            <w:r>
              <w:rPr>
                <w:spacing w:val="13"/>
                <w:sz w:val="20"/>
                <w:szCs w:val="20"/>
              </w:rPr>
              <w:t xml:space="preserve"> </w:t>
            </w:r>
            <w:r>
              <w:rPr>
                <w:spacing w:val="18"/>
                <w:sz w:val="20"/>
                <w:szCs w:val="20"/>
              </w:rPr>
              <w:t>蓄电池包</w:t>
            </w:r>
            <w:r>
              <w:rPr>
                <w:rFonts w:ascii="Times New Roman" w:hAnsi="Times New Roman" w:eastAsia="Times New Roman" w:cs="Times New Roman"/>
                <w:spacing w:val="18"/>
                <w:sz w:val="20"/>
                <w:szCs w:val="20"/>
              </w:rPr>
              <w:t>(</w:t>
            </w:r>
            <w:r>
              <w:rPr>
                <w:spacing w:val="18"/>
                <w:sz w:val="20"/>
                <w:szCs w:val="20"/>
              </w:rPr>
              <w:t>组</w:t>
            </w:r>
            <w:r>
              <w:rPr>
                <w:rFonts w:ascii="Times New Roman" w:hAnsi="Times New Roman" w:eastAsia="Times New Roman" w:cs="Times New Roman"/>
                <w:spacing w:val="18"/>
                <w:sz w:val="20"/>
                <w:szCs w:val="20"/>
              </w:rPr>
              <w:t>)</w:t>
            </w:r>
            <w:r>
              <w:rPr>
                <w:spacing w:val="18"/>
                <w:sz w:val="20"/>
                <w:szCs w:val="20"/>
              </w:rPr>
              <w:t>交售给电动汽车生产企业</w:t>
            </w:r>
            <w:r>
              <w:rPr>
                <w:spacing w:val="9"/>
                <w:sz w:val="20"/>
                <w:szCs w:val="20"/>
              </w:rPr>
              <w:t xml:space="preserve"> </w:t>
            </w:r>
            <w:r>
              <w:rPr>
                <w:spacing w:val="15"/>
                <w:sz w:val="20"/>
                <w:szCs w:val="20"/>
              </w:rPr>
              <w:t>建立的动力蓄电池回收服务网点或从事</w:t>
            </w:r>
            <w:r>
              <w:rPr>
                <w:spacing w:val="13"/>
                <w:sz w:val="20"/>
                <w:szCs w:val="20"/>
              </w:rPr>
              <w:t xml:space="preserve"> </w:t>
            </w:r>
            <w:r>
              <w:rPr>
                <w:spacing w:val="3"/>
                <w:sz w:val="20"/>
                <w:szCs w:val="20"/>
              </w:rPr>
              <w:t>废旧动力蓄电池综合利用的企业处理，不</w:t>
            </w:r>
            <w:r>
              <w:rPr>
                <w:spacing w:val="14"/>
                <w:sz w:val="20"/>
                <w:szCs w:val="20"/>
              </w:rPr>
              <w:t xml:space="preserve"> </w:t>
            </w:r>
            <w:r>
              <w:rPr>
                <w:spacing w:val="5"/>
                <w:sz w:val="20"/>
                <w:szCs w:val="20"/>
              </w:rPr>
              <w:t>应拆解。</w:t>
            </w:r>
          </w:p>
          <w:p w14:paraId="72D80C4F">
            <w:pPr>
              <w:pStyle w:val="6"/>
              <w:spacing w:before="44" w:line="228" w:lineRule="auto"/>
              <w:ind w:left="208"/>
              <w:rPr>
                <w:sz w:val="20"/>
                <w:szCs w:val="20"/>
              </w:rPr>
            </w:pPr>
            <w:r>
              <w:rPr>
                <w:rFonts w:ascii="Times New Roman" w:hAnsi="Times New Roman" w:eastAsia="Times New Roman" w:cs="Times New Roman"/>
                <w:spacing w:val="5"/>
                <w:sz w:val="20"/>
                <w:szCs w:val="20"/>
              </w:rPr>
              <w:t>7.2.</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5"/>
                <w:sz w:val="20"/>
                <w:szCs w:val="20"/>
              </w:rPr>
              <w:t>1</w:t>
            </w:r>
            <w:r>
              <w:rPr>
                <w:spacing w:val="5"/>
                <w:sz w:val="20"/>
                <w:szCs w:val="20"/>
              </w:rPr>
              <w:t>拆解预处理技术要求：</w:t>
            </w:r>
          </w:p>
          <w:p w14:paraId="305F40AB">
            <w:pPr>
              <w:pStyle w:val="6"/>
              <w:spacing w:before="74" w:line="278" w:lineRule="auto"/>
              <w:ind w:left="210" w:right="106" w:hanging="2"/>
              <w:jc w:val="both"/>
              <w:rPr>
                <w:sz w:val="20"/>
                <w:szCs w:val="20"/>
              </w:rPr>
            </w:pPr>
            <w:r>
              <w:rPr>
                <w:rFonts w:ascii="Times New Roman" w:hAnsi="Times New Roman" w:eastAsia="Times New Roman" w:cs="Times New Roman"/>
                <w:spacing w:val="17"/>
                <w:sz w:val="20"/>
                <w:szCs w:val="20"/>
              </w:rPr>
              <w:t>a)</w:t>
            </w:r>
            <w:r>
              <w:rPr>
                <w:spacing w:val="17"/>
                <w:sz w:val="20"/>
                <w:szCs w:val="20"/>
              </w:rPr>
              <w:t>在室内或有防雨顶棚的拆解预处理平</w:t>
            </w:r>
            <w:r>
              <w:rPr>
                <w:spacing w:val="7"/>
                <w:sz w:val="20"/>
                <w:szCs w:val="20"/>
              </w:rPr>
              <w:t xml:space="preserve"> </w:t>
            </w:r>
            <w:r>
              <w:rPr>
                <w:spacing w:val="15"/>
                <w:sz w:val="20"/>
                <w:szCs w:val="20"/>
              </w:rPr>
              <w:t>台上使用专用工具排空存留在车内的废</w:t>
            </w:r>
            <w:r>
              <w:rPr>
                <w:spacing w:val="11"/>
                <w:sz w:val="20"/>
                <w:szCs w:val="20"/>
              </w:rPr>
              <w:t xml:space="preserve"> </w:t>
            </w:r>
            <w:r>
              <w:rPr>
                <w:spacing w:val="8"/>
                <w:sz w:val="20"/>
                <w:szCs w:val="20"/>
              </w:rPr>
              <w:t>液，并使用专用容器分类回收；</w:t>
            </w:r>
          </w:p>
        </w:tc>
        <w:tc>
          <w:tcPr>
            <w:tcW w:w="3456" w:type="dxa"/>
            <w:tcBorders>
              <w:top w:val="single" w:color="000000" w:sz="10" w:space="0"/>
            </w:tcBorders>
            <w:vAlign w:val="top"/>
          </w:tcPr>
          <w:p w14:paraId="101BF3A9">
            <w:pPr>
              <w:pStyle w:val="6"/>
              <w:spacing w:before="73" w:line="292" w:lineRule="auto"/>
              <w:ind w:left="113" w:right="94" w:firstLine="4"/>
              <w:rPr>
                <w:sz w:val="20"/>
                <w:szCs w:val="20"/>
              </w:rPr>
            </w:pPr>
            <w:r>
              <w:rPr>
                <w:spacing w:val="15"/>
                <w:sz w:val="20"/>
                <w:szCs w:val="20"/>
              </w:rPr>
              <w:t>不自行拆解；废油类、制冷剂采用</w:t>
            </w:r>
            <w:r>
              <w:rPr>
                <w:spacing w:val="7"/>
                <w:sz w:val="20"/>
                <w:szCs w:val="20"/>
              </w:rPr>
              <w:t xml:space="preserve"> </w:t>
            </w:r>
            <w:r>
              <w:rPr>
                <w:spacing w:val="15"/>
                <w:sz w:val="20"/>
                <w:szCs w:val="20"/>
              </w:rPr>
              <w:t>废液的专用密闭容器分类暂存于</w:t>
            </w:r>
            <w:r>
              <w:rPr>
                <w:rFonts w:ascii="Times New Roman" w:hAnsi="Times New Roman" w:eastAsia="Times New Roman" w:cs="Times New Roman"/>
                <w:spacing w:val="15"/>
                <w:sz w:val="20"/>
                <w:szCs w:val="20"/>
              </w:rPr>
              <w:t>3#</w:t>
            </w:r>
            <w:r>
              <w:rPr>
                <w:rFonts w:ascii="Times New Roman" w:hAnsi="Times New Roman" w:eastAsia="Times New Roman" w:cs="Times New Roman"/>
                <w:sz w:val="20"/>
                <w:szCs w:val="20"/>
              </w:rPr>
              <w:t xml:space="preserve"> </w:t>
            </w:r>
            <w:r>
              <w:rPr>
                <w:spacing w:val="12"/>
                <w:sz w:val="20"/>
                <w:szCs w:val="20"/>
              </w:rPr>
              <w:t>废矿物油暂存区，</w:t>
            </w:r>
            <w:r>
              <w:rPr>
                <w:spacing w:val="-39"/>
                <w:sz w:val="20"/>
                <w:szCs w:val="20"/>
              </w:rPr>
              <w:t xml:space="preserve"> </w:t>
            </w:r>
            <w:r>
              <w:rPr>
                <w:spacing w:val="12"/>
                <w:sz w:val="20"/>
                <w:szCs w:val="20"/>
              </w:rPr>
              <w:t>由有资质单位处</w:t>
            </w:r>
            <w:r>
              <w:rPr>
                <w:sz w:val="20"/>
                <w:szCs w:val="20"/>
              </w:rPr>
              <w:t xml:space="preserve"> </w:t>
            </w:r>
            <w:r>
              <w:rPr>
                <w:spacing w:val="15"/>
                <w:sz w:val="20"/>
                <w:szCs w:val="20"/>
              </w:rPr>
              <w:t>理；废电池暂存于</w:t>
            </w:r>
            <w:r>
              <w:rPr>
                <w:rFonts w:ascii="Times New Roman" w:hAnsi="Times New Roman" w:eastAsia="Times New Roman" w:cs="Times New Roman"/>
                <w:spacing w:val="15"/>
                <w:sz w:val="20"/>
                <w:szCs w:val="20"/>
              </w:rPr>
              <w:t>2#</w:t>
            </w:r>
            <w:r>
              <w:rPr>
                <w:spacing w:val="15"/>
                <w:sz w:val="20"/>
                <w:szCs w:val="20"/>
              </w:rPr>
              <w:t>废蓄电池暂存</w:t>
            </w:r>
            <w:r>
              <w:rPr>
                <w:sz w:val="20"/>
                <w:szCs w:val="20"/>
              </w:rPr>
              <w:t xml:space="preserve"> </w:t>
            </w:r>
            <w:r>
              <w:rPr>
                <w:spacing w:val="13"/>
                <w:sz w:val="20"/>
                <w:szCs w:val="20"/>
              </w:rPr>
              <w:t>区，</w:t>
            </w:r>
            <w:r>
              <w:rPr>
                <w:spacing w:val="-53"/>
                <w:sz w:val="20"/>
                <w:szCs w:val="20"/>
              </w:rPr>
              <w:t xml:space="preserve"> </w:t>
            </w:r>
            <w:r>
              <w:rPr>
                <w:spacing w:val="13"/>
                <w:sz w:val="20"/>
                <w:szCs w:val="20"/>
              </w:rPr>
              <w:t>由有资质单位处理；燃料罐、</w:t>
            </w:r>
            <w:r>
              <w:rPr>
                <w:sz w:val="20"/>
                <w:szCs w:val="20"/>
              </w:rPr>
              <w:t xml:space="preserve"> </w:t>
            </w:r>
            <w:r>
              <w:rPr>
                <w:spacing w:val="16"/>
                <w:sz w:val="20"/>
                <w:szCs w:val="20"/>
              </w:rPr>
              <w:t>液压油管、催化器、废活性炭、含</w:t>
            </w:r>
            <w:r>
              <w:rPr>
                <w:sz w:val="20"/>
                <w:szCs w:val="20"/>
              </w:rPr>
              <w:t xml:space="preserve"> </w:t>
            </w:r>
            <w:r>
              <w:rPr>
                <w:spacing w:val="15"/>
                <w:sz w:val="20"/>
                <w:szCs w:val="20"/>
              </w:rPr>
              <w:t>油抹布、拖布和手套分类暂存于</w:t>
            </w:r>
            <w:r>
              <w:rPr>
                <w:rFonts w:ascii="Times New Roman" w:hAnsi="Times New Roman" w:eastAsia="Times New Roman" w:cs="Times New Roman"/>
                <w:spacing w:val="15"/>
                <w:sz w:val="20"/>
                <w:szCs w:val="20"/>
              </w:rPr>
              <w:t>1#</w:t>
            </w:r>
            <w:r>
              <w:rPr>
                <w:rFonts w:ascii="Times New Roman" w:hAnsi="Times New Roman" w:eastAsia="Times New Roman" w:cs="Times New Roman"/>
                <w:sz w:val="20"/>
                <w:szCs w:val="20"/>
              </w:rPr>
              <w:t xml:space="preserve"> </w:t>
            </w:r>
            <w:r>
              <w:rPr>
                <w:spacing w:val="12"/>
                <w:sz w:val="20"/>
                <w:szCs w:val="20"/>
              </w:rPr>
              <w:t>其他危险废物暂存区，</w:t>
            </w:r>
            <w:r>
              <w:rPr>
                <w:spacing w:val="-39"/>
                <w:sz w:val="20"/>
                <w:szCs w:val="20"/>
              </w:rPr>
              <w:t xml:space="preserve"> </w:t>
            </w:r>
            <w:r>
              <w:rPr>
                <w:spacing w:val="12"/>
                <w:sz w:val="20"/>
                <w:szCs w:val="20"/>
              </w:rPr>
              <w:t>由有资质单</w:t>
            </w:r>
            <w:r>
              <w:rPr>
                <w:sz w:val="20"/>
                <w:szCs w:val="20"/>
              </w:rPr>
              <w:t xml:space="preserve"> </w:t>
            </w:r>
            <w:r>
              <w:rPr>
                <w:spacing w:val="5"/>
                <w:sz w:val="20"/>
                <w:szCs w:val="20"/>
              </w:rPr>
              <w:t>位处理。</w:t>
            </w:r>
          </w:p>
          <w:p w14:paraId="5D2A3D78">
            <w:pPr>
              <w:pStyle w:val="6"/>
              <w:spacing w:before="32" w:line="285" w:lineRule="auto"/>
              <w:ind w:left="114" w:right="97" w:firstLine="420"/>
              <w:rPr>
                <w:sz w:val="20"/>
                <w:szCs w:val="20"/>
              </w:rPr>
            </w:pPr>
            <w:r>
              <w:rPr>
                <w:spacing w:val="16"/>
                <w:sz w:val="20"/>
                <w:szCs w:val="20"/>
              </w:rPr>
              <w:t>制冷剂采用废液的专用密闭容</w:t>
            </w:r>
            <w:r>
              <w:rPr>
                <w:spacing w:val="9"/>
                <w:sz w:val="20"/>
                <w:szCs w:val="20"/>
              </w:rPr>
              <w:t xml:space="preserve"> </w:t>
            </w:r>
            <w:r>
              <w:rPr>
                <w:spacing w:val="14"/>
                <w:sz w:val="20"/>
                <w:szCs w:val="20"/>
              </w:rPr>
              <w:t>器分类暂存于</w:t>
            </w:r>
            <w:r>
              <w:rPr>
                <w:rFonts w:ascii="Times New Roman" w:hAnsi="Times New Roman" w:eastAsia="Times New Roman" w:cs="Times New Roman"/>
                <w:spacing w:val="14"/>
                <w:sz w:val="20"/>
                <w:szCs w:val="20"/>
              </w:rPr>
              <w:t>3#</w:t>
            </w:r>
            <w:r>
              <w:rPr>
                <w:spacing w:val="14"/>
                <w:sz w:val="20"/>
                <w:szCs w:val="20"/>
              </w:rPr>
              <w:t xml:space="preserve">废矿物油暂存区， </w:t>
            </w:r>
            <w:r>
              <w:rPr>
                <w:spacing w:val="7"/>
                <w:sz w:val="20"/>
                <w:szCs w:val="20"/>
              </w:rPr>
              <w:t>由有资质单位处理。</w:t>
            </w:r>
          </w:p>
          <w:p w14:paraId="38B5954F">
            <w:pPr>
              <w:pStyle w:val="6"/>
              <w:spacing w:before="32" w:line="285" w:lineRule="auto"/>
              <w:ind w:left="113" w:right="97" w:firstLine="420"/>
              <w:rPr>
                <w:sz w:val="20"/>
                <w:szCs w:val="20"/>
              </w:rPr>
            </w:pPr>
            <w:r>
              <w:rPr>
                <w:spacing w:val="16"/>
                <w:sz w:val="20"/>
                <w:szCs w:val="20"/>
              </w:rPr>
              <w:t>废弃电器收集在拆解后物料存</w:t>
            </w:r>
            <w:r>
              <w:rPr>
                <w:spacing w:val="10"/>
                <w:sz w:val="20"/>
                <w:szCs w:val="20"/>
              </w:rPr>
              <w:t xml:space="preserve"> </w:t>
            </w:r>
            <w:r>
              <w:rPr>
                <w:spacing w:val="15"/>
                <w:sz w:val="20"/>
                <w:szCs w:val="20"/>
              </w:rPr>
              <w:t>储区，废电池暂存于</w:t>
            </w:r>
            <w:r>
              <w:rPr>
                <w:rFonts w:ascii="Times New Roman" w:hAnsi="Times New Roman" w:eastAsia="Times New Roman" w:cs="Times New Roman"/>
                <w:spacing w:val="15"/>
                <w:sz w:val="20"/>
                <w:szCs w:val="20"/>
              </w:rPr>
              <w:t>2#</w:t>
            </w:r>
            <w:r>
              <w:rPr>
                <w:spacing w:val="15"/>
                <w:sz w:val="20"/>
                <w:szCs w:val="20"/>
              </w:rPr>
              <w:t>废蓄电池暂</w:t>
            </w:r>
            <w:r>
              <w:rPr>
                <w:sz w:val="20"/>
                <w:szCs w:val="20"/>
              </w:rPr>
              <w:t xml:space="preserve"> </w:t>
            </w:r>
            <w:r>
              <w:rPr>
                <w:spacing w:val="7"/>
                <w:sz w:val="20"/>
                <w:szCs w:val="20"/>
              </w:rPr>
              <w:t>存区，场地禁止明火。</w:t>
            </w:r>
          </w:p>
          <w:p w14:paraId="7D379F8F">
            <w:pPr>
              <w:pStyle w:val="6"/>
              <w:spacing w:before="34" w:line="279" w:lineRule="auto"/>
              <w:ind w:left="113" w:right="94" w:firstLine="423"/>
              <w:rPr>
                <w:sz w:val="20"/>
                <w:szCs w:val="20"/>
              </w:rPr>
            </w:pPr>
            <w:r>
              <w:rPr>
                <w:spacing w:val="16"/>
                <w:sz w:val="20"/>
                <w:szCs w:val="20"/>
              </w:rPr>
              <w:t>容器和装置做到防漏和防止洒</w:t>
            </w:r>
            <w:r>
              <w:rPr>
                <w:spacing w:val="10"/>
                <w:sz w:val="20"/>
                <w:szCs w:val="20"/>
              </w:rPr>
              <w:t xml:space="preserve"> </w:t>
            </w:r>
            <w:r>
              <w:rPr>
                <w:spacing w:val="8"/>
                <w:sz w:val="20"/>
                <w:szCs w:val="20"/>
              </w:rPr>
              <w:t>溅，并定期对其进行日常性检查。</w:t>
            </w:r>
          </w:p>
          <w:p w14:paraId="0FC3E411">
            <w:pPr>
              <w:pStyle w:val="6"/>
              <w:spacing w:before="33" w:line="253" w:lineRule="auto"/>
              <w:ind w:left="117" w:right="94" w:firstLine="416"/>
              <w:rPr>
                <w:sz w:val="20"/>
                <w:szCs w:val="20"/>
              </w:rPr>
            </w:pPr>
            <w:r>
              <w:rPr>
                <w:spacing w:val="17"/>
                <w:sz w:val="20"/>
                <w:szCs w:val="20"/>
              </w:rPr>
              <w:t>对拆解后的所有固体废物按照</w:t>
            </w:r>
            <w:r>
              <w:rPr>
                <w:sz w:val="20"/>
                <w:szCs w:val="20"/>
              </w:rPr>
              <w:t xml:space="preserve"> </w:t>
            </w:r>
            <w:r>
              <w:rPr>
                <w:spacing w:val="8"/>
                <w:sz w:val="20"/>
                <w:szCs w:val="20"/>
              </w:rPr>
              <w:t>分类进行储存，并做相应标识。</w:t>
            </w:r>
          </w:p>
        </w:tc>
        <w:tc>
          <w:tcPr>
            <w:tcW w:w="982" w:type="dxa"/>
            <w:vMerge w:val="restart"/>
            <w:tcBorders>
              <w:top w:val="single" w:color="000000" w:sz="10" w:space="0"/>
              <w:bottom w:val="nil"/>
              <w:right w:val="single" w:color="000000" w:sz="10" w:space="0"/>
            </w:tcBorders>
            <w:vAlign w:val="top"/>
          </w:tcPr>
          <w:p w14:paraId="2D318B6D">
            <w:pPr>
              <w:spacing w:line="244" w:lineRule="auto"/>
              <w:rPr>
                <w:rFonts w:ascii="Arial"/>
                <w:sz w:val="21"/>
              </w:rPr>
            </w:pPr>
          </w:p>
          <w:p w14:paraId="4BFFDFCB">
            <w:pPr>
              <w:spacing w:line="244" w:lineRule="auto"/>
              <w:rPr>
                <w:rFonts w:ascii="Arial"/>
                <w:sz w:val="21"/>
              </w:rPr>
            </w:pPr>
          </w:p>
          <w:p w14:paraId="7BD26C0B">
            <w:pPr>
              <w:spacing w:line="244" w:lineRule="auto"/>
              <w:rPr>
                <w:rFonts w:ascii="Arial"/>
                <w:sz w:val="21"/>
              </w:rPr>
            </w:pPr>
          </w:p>
          <w:p w14:paraId="212E4E07">
            <w:pPr>
              <w:spacing w:line="244" w:lineRule="auto"/>
              <w:rPr>
                <w:rFonts w:ascii="Arial"/>
                <w:sz w:val="21"/>
              </w:rPr>
            </w:pPr>
          </w:p>
          <w:p w14:paraId="0CE96879">
            <w:pPr>
              <w:spacing w:line="244" w:lineRule="auto"/>
              <w:rPr>
                <w:rFonts w:ascii="Arial"/>
                <w:sz w:val="21"/>
              </w:rPr>
            </w:pPr>
          </w:p>
          <w:p w14:paraId="72891E36">
            <w:pPr>
              <w:spacing w:line="244" w:lineRule="auto"/>
              <w:rPr>
                <w:rFonts w:ascii="Arial"/>
                <w:sz w:val="21"/>
              </w:rPr>
            </w:pPr>
          </w:p>
          <w:p w14:paraId="2ACE2038">
            <w:pPr>
              <w:spacing w:line="244" w:lineRule="auto"/>
              <w:rPr>
                <w:rFonts w:ascii="Arial"/>
                <w:sz w:val="21"/>
              </w:rPr>
            </w:pPr>
          </w:p>
          <w:p w14:paraId="4FC6401F">
            <w:pPr>
              <w:spacing w:line="244" w:lineRule="auto"/>
              <w:rPr>
                <w:rFonts w:ascii="Arial"/>
                <w:sz w:val="21"/>
              </w:rPr>
            </w:pPr>
          </w:p>
          <w:p w14:paraId="7BD622B1">
            <w:pPr>
              <w:spacing w:line="244" w:lineRule="auto"/>
              <w:rPr>
                <w:rFonts w:ascii="Arial"/>
                <w:sz w:val="21"/>
              </w:rPr>
            </w:pPr>
          </w:p>
          <w:p w14:paraId="13726771">
            <w:pPr>
              <w:spacing w:line="244" w:lineRule="auto"/>
              <w:rPr>
                <w:rFonts w:ascii="Arial"/>
                <w:sz w:val="21"/>
              </w:rPr>
            </w:pPr>
          </w:p>
          <w:p w14:paraId="0EA896BC">
            <w:pPr>
              <w:spacing w:line="244" w:lineRule="auto"/>
              <w:rPr>
                <w:rFonts w:ascii="Arial"/>
                <w:sz w:val="21"/>
              </w:rPr>
            </w:pPr>
          </w:p>
          <w:p w14:paraId="2C40C791">
            <w:pPr>
              <w:spacing w:line="244" w:lineRule="auto"/>
              <w:rPr>
                <w:rFonts w:ascii="Arial"/>
                <w:sz w:val="21"/>
              </w:rPr>
            </w:pPr>
          </w:p>
          <w:p w14:paraId="2CC4DE90">
            <w:pPr>
              <w:spacing w:line="244" w:lineRule="auto"/>
              <w:rPr>
                <w:rFonts w:ascii="Arial"/>
                <w:sz w:val="21"/>
              </w:rPr>
            </w:pPr>
          </w:p>
          <w:p w14:paraId="203E0948">
            <w:pPr>
              <w:spacing w:line="244" w:lineRule="auto"/>
              <w:rPr>
                <w:rFonts w:ascii="Arial"/>
                <w:sz w:val="21"/>
              </w:rPr>
            </w:pPr>
          </w:p>
          <w:p w14:paraId="069041A5">
            <w:pPr>
              <w:spacing w:line="244" w:lineRule="auto"/>
              <w:rPr>
                <w:rFonts w:ascii="Arial"/>
                <w:sz w:val="21"/>
              </w:rPr>
            </w:pPr>
          </w:p>
          <w:p w14:paraId="4DAF6546">
            <w:pPr>
              <w:spacing w:line="244" w:lineRule="auto"/>
              <w:rPr>
                <w:rFonts w:ascii="Arial"/>
                <w:sz w:val="21"/>
              </w:rPr>
            </w:pPr>
          </w:p>
          <w:p w14:paraId="794436D5">
            <w:pPr>
              <w:spacing w:line="244" w:lineRule="auto"/>
              <w:rPr>
                <w:rFonts w:ascii="Arial"/>
                <w:sz w:val="21"/>
              </w:rPr>
            </w:pPr>
          </w:p>
          <w:p w14:paraId="7DB108FB">
            <w:pPr>
              <w:spacing w:line="244" w:lineRule="auto"/>
              <w:rPr>
                <w:rFonts w:ascii="Arial"/>
                <w:sz w:val="21"/>
              </w:rPr>
            </w:pPr>
          </w:p>
          <w:p w14:paraId="2BF76549">
            <w:pPr>
              <w:spacing w:line="244" w:lineRule="auto"/>
              <w:rPr>
                <w:rFonts w:ascii="Arial"/>
                <w:sz w:val="21"/>
              </w:rPr>
            </w:pPr>
          </w:p>
          <w:p w14:paraId="1B519D7C">
            <w:pPr>
              <w:spacing w:line="244" w:lineRule="auto"/>
              <w:rPr>
                <w:rFonts w:ascii="Arial"/>
                <w:sz w:val="21"/>
              </w:rPr>
            </w:pPr>
          </w:p>
          <w:p w14:paraId="7769661D">
            <w:pPr>
              <w:spacing w:line="244" w:lineRule="auto"/>
              <w:rPr>
                <w:rFonts w:ascii="Arial"/>
                <w:sz w:val="21"/>
              </w:rPr>
            </w:pPr>
          </w:p>
          <w:p w14:paraId="1A8B951B">
            <w:pPr>
              <w:spacing w:line="244" w:lineRule="auto"/>
              <w:rPr>
                <w:rFonts w:ascii="Arial"/>
                <w:sz w:val="21"/>
              </w:rPr>
            </w:pPr>
          </w:p>
          <w:p w14:paraId="1B41C00A">
            <w:pPr>
              <w:spacing w:line="244" w:lineRule="auto"/>
              <w:rPr>
                <w:rFonts w:ascii="Arial"/>
                <w:sz w:val="21"/>
              </w:rPr>
            </w:pPr>
          </w:p>
          <w:p w14:paraId="7336671E">
            <w:pPr>
              <w:spacing w:line="244" w:lineRule="auto"/>
              <w:rPr>
                <w:rFonts w:ascii="Arial"/>
                <w:sz w:val="21"/>
              </w:rPr>
            </w:pPr>
          </w:p>
          <w:p w14:paraId="18CE8A1F">
            <w:pPr>
              <w:spacing w:line="244" w:lineRule="auto"/>
              <w:rPr>
                <w:rFonts w:ascii="Arial"/>
                <w:sz w:val="21"/>
              </w:rPr>
            </w:pPr>
          </w:p>
          <w:p w14:paraId="6C6B2516">
            <w:pPr>
              <w:spacing w:line="244" w:lineRule="auto"/>
              <w:rPr>
                <w:rFonts w:ascii="Arial"/>
                <w:sz w:val="21"/>
              </w:rPr>
            </w:pPr>
          </w:p>
          <w:p w14:paraId="3B22A56A">
            <w:pPr>
              <w:spacing w:line="244" w:lineRule="auto"/>
              <w:rPr>
                <w:rFonts w:ascii="Arial"/>
                <w:sz w:val="21"/>
              </w:rPr>
            </w:pPr>
          </w:p>
          <w:p w14:paraId="4E7230BE">
            <w:pPr>
              <w:spacing w:line="244" w:lineRule="auto"/>
              <w:rPr>
                <w:rFonts w:ascii="Arial"/>
                <w:sz w:val="21"/>
              </w:rPr>
            </w:pPr>
          </w:p>
          <w:p w14:paraId="325AA5CB">
            <w:pPr>
              <w:spacing w:line="244" w:lineRule="auto"/>
              <w:rPr>
                <w:rFonts w:ascii="Arial"/>
                <w:sz w:val="21"/>
              </w:rPr>
            </w:pPr>
          </w:p>
          <w:p w14:paraId="5EDD5003">
            <w:pPr>
              <w:spacing w:line="244" w:lineRule="auto"/>
              <w:rPr>
                <w:rFonts w:ascii="Arial"/>
                <w:sz w:val="21"/>
              </w:rPr>
            </w:pPr>
          </w:p>
          <w:p w14:paraId="598460BC">
            <w:pPr>
              <w:spacing w:line="244" w:lineRule="auto"/>
              <w:rPr>
                <w:rFonts w:ascii="Arial"/>
                <w:sz w:val="21"/>
              </w:rPr>
            </w:pPr>
          </w:p>
          <w:p w14:paraId="02AD073B">
            <w:pPr>
              <w:spacing w:line="244" w:lineRule="auto"/>
              <w:rPr>
                <w:rFonts w:ascii="Arial"/>
                <w:sz w:val="21"/>
              </w:rPr>
            </w:pPr>
          </w:p>
          <w:p w14:paraId="3BCDC6AC">
            <w:pPr>
              <w:pStyle w:val="6"/>
              <w:spacing w:before="65" w:line="228" w:lineRule="auto"/>
              <w:ind w:left="238"/>
              <w:rPr>
                <w:sz w:val="20"/>
                <w:szCs w:val="20"/>
              </w:rPr>
            </w:pPr>
            <w:r>
              <w:rPr>
                <w:spacing w:val="3"/>
                <w:sz w:val="20"/>
                <w:szCs w:val="20"/>
              </w:rPr>
              <w:t>符合</w:t>
            </w:r>
          </w:p>
          <w:p w14:paraId="54F5F125">
            <w:pPr>
              <w:spacing w:line="253" w:lineRule="auto"/>
              <w:rPr>
                <w:rFonts w:ascii="Arial"/>
                <w:sz w:val="21"/>
              </w:rPr>
            </w:pPr>
          </w:p>
          <w:p w14:paraId="65A9BA53">
            <w:pPr>
              <w:spacing w:line="253" w:lineRule="auto"/>
              <w:rPr>
                <w:rFonts w:ascii="Arial"/>
                <w:sz w:val="21"/>
              </w:rPr>
            </w:pPr>
          </w:p>
          <w:p w14:paraId="07A89864">
            <w:pPr>
              <w:spacing w:line="253" w:lineRule="auto"/>
              <w:rPr>
                <w:rFonts w:ascii="Arial"/>
                <w:sz w:val="21"/>
              </w:rPr>
            </w:pPr>
          </w:p>
          <w:p w14:paraId="39AB101C">
            <w:pPr>
              <w:spacing w:line="253" w:lineRule="auto"/>
              <w:rPr>
                <w:rFonts w:ascii="Arial"/>
                <w:sz w:val="21"/>
              </w:rPr>
            </w:pPr>
          </w:p>
          <w:p w14:paraId="28E22715">
            <w:pPr>
              <w:spacing w:line="253" w:lineRule="auto"/>
              <w:rPr>
                <w:rFonts w:ascii="Arial"/>
                <w:sz w:val="21"/>
              </w:rPr>
            </w:pPr>
          </w:p>
          <w:p w14:paraId="4D6581F2">
            <w:pPr>
              <w:spacing w:line="253" w:lineRule="auto"/>
              <w:rPr>
                <w:rFonts w:ascii="Arial"/>
                <w:sz w:val="21"/>
              </w:rPr>
            </w:pPr>
          </w:p>
          <w:p w14:paraId="02E36159">
            <w:pPr>
              <w:spacing w:line="253" w:lineRule="auto"/>
              <w:rPr>
                <w:rFonts w:ascii="Arial"/>
                <w:sz w:val="21"/>
              </w:rPr>
            </w:pPr>
          </w:p>
          <w:p w14:paraId="29B5A8E8">
            <w:pPr>
              <w:spacing w:line="253" w:lineRule="auto"/>
              <w:rPr>
                <w:rFonts w:ascii="Arial"/>
                <w:sz w:val="21"/>
              </w:rPr>
            </w:pPr>
          </w:p>
          <w:p w14:paraId="3E3238F1">
            <w:pPr>
              <w:spacing w:line="253" w:lineRule="auto"/>
              <w:rPr>
                <w:rFonts w:ascii="Arial"/>
                <w:sz w:val="21"/>
              </w:rPr>
            </w:pPr>
          </w:p>
          <w:p w14:paraId="34270132">
            <w:pPr>
              <w:spacing w:line="253" w:lineRule="auto"/>
              <w:rPr>
                <w:rFonts w:ascii="Arial"/>
                <w:sz w:val="21"/>
              </w:rPr>
            </w:pPr>
          </w:p>
          <w:p w14:paraId="48F27431">
            <w:pPr>
              <w:spacing w:line="254" w:lineRule="auto"/>
              <w:rPr>
                <w:rFonts w:ascii="Arial"/>
                <w:sz w:val="21"/>
              </w:rPr>
            </w:pPr>
          </w:p>
          <w:p w14:paraId="43201D3A">
            <w:pPr>
              <w:spacing w:line="254" w:lineRule="auto"/>
              <w:rPr>
                <w:rFonts w:ascii="Arial"/>
                <w:sz w:val="21"/>
              </w:rPr>
            </w:pPr>
          </w:p>
          <w:p w14:paraId="6F1A7EF1">
            <w:pPr>
              <w:pStyle w:val="6"/>
              <w:spacing w:before="65" w:line="228" w:lineRule="auto"/>
              <w:ind w:left="238"/>
              <w:rPr>
                <w:sz w:val="20"/>
                <w:szCs w:val="20"/>
              </w:rPr>
            </w:pPr>
            <w:r>
              <w:rPr>
                <w:spacing w:val="3"/>
                <w:sz w:val="20"/>
                <w:szCs w:val="20"/>
              </w:rPr>
              <w:t>符合</w:t>
            </w:r>
          </w:p>
          <w:p w14:paraId="773E5F66">
            <w:pPr>
              <w:spacing w:line="252" w:lineRule="auto"/>
              <w:rPr>
                <w:rFonts w:ascii="Arial"/>
                <w:sz w:val="21"/>
              </w:rPr>
            </w:pPr>
          </w:p>
          <w:p w14:paraId="63379ACA">
            <w:pPr>
              <w:spacing w:line="252" w:lineRule="auto"/>
              <w:rPr>
                <w:rFonts w:ascii="Arial"/>
                <w:sz w:val="21"/>
              </w:rPr>
            </w:pPr>
          </w:p>
          <w:p w14:paraId="08B8DD7D">
            <w:pPr>
              <w:spacing w:line="252" w:lineRule="auto"/>
              <w:rPr>
                <w:rFonts w:ascii="Arial"/>
                <w:sz w:val="21"/>
              </w:rPr>
            </w:pPr>
          </w:p>
          <w:p w14:paraId="08F5F245">
            <w:pPr>
              <w:spacing w:line="252" w:lineRule="auto"/>
              <w:rPr>
                <w:rFonts w:ascii="Arial"/>
                <w:sz w:val="21"/>
              </w:rPr>
            </w:pPr>
          </w:p>
          <w:p w14:paraId="5DBB6242">
            <w:pPr>
              <w:spacing w:line="253" w:lineRule="auto"/>
              <w:rPr>
                <w:rFonts w:ascii="Arial"/>
                <w:sz w:val="21"/>
              </w:rPr>
            </w:pPr>
          </w:p>
          <w:p w14:paraId="3C68EB9F">
            <w:pPr>
              <w:spacing w:line="253" w:lineRule="auto"/>
              <w:rPr>
                <w:rFonts w:ascii="Arial"/>
                <w:sz w:val="21"/>
              </w:rPr>
            </w:pPr>
          </w:p>
          <w:p w14:paraId="212734F2">
            <w:pPr>
              <w:spacing w:line="253" w:lineRule="auto"/>
              <w:rPr>
                <w:rFonts w:ascii="Arial"/>
                <w:sz w:val="21"/>
              </w:rPr>
            </w:pPr>
          </w:p>
          <w:p w14:paraId="52B3201B">
            <w:pPr>
              <w:pStyle w:val="6"/>
              <w:spacing w:before="65" w:line="228" w:lineRule="auto"/>
              <w:ind w:left="238"/>
              <w:rPr>
                <w:sz w:val="20"/>
                <w:szCs w:val="20"/>
              </w:rPr>
            </w:pPr>
            <w:r>
              <w:rPr>
                <w:spacing w:val="3"/>
                <w:sz w:val="20"/>
                <w:szCs w:val="20"/>
              </w:rPr>
              <w:t>符合</w:t>
            </w:r>
          </w:p>
        </w:tc>
      </w:tr>
      <w:tr w14:paraId="5BE1A4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8" w:hRule="atLeast"/>
        </w:trPr>
        <w:tc>
          <w:tcPr>
            <w:tcW w:w="494" w:type="dxa"/>
            <w:vMerge w:val="continue"/>
            <w:tcBorders>
              <w:top w:val="nil"/>
              <w:left w:val="single" w:color="000000" w:sz="10" w:space="0"/>
              <w:bottom w:val="nil"/>
            </w:tcBorders>
            <w:vAlign w:val="top"/>
          </w:tcPr>
          <w:p w14:paraId="12E9367F">
            <w:pPr>
              <w:rPr>
                <w:rFonts w:ascii="Arial"/>
                <w:sz w:val="21"/>
              </w:rPr>
            </w:pPr>
          </w:p>
        </w:tc>
        <w:tc>
          <w:tcPr>
            <w:tcW w:w="3990" w:type="dxa"/>
            <w:vMerge w:val="continue"/>
            <w:tcBorders>
              <w:top w:val="nil"/>
              <w:bottom w:val="nil"/>
            </w:tcBorders>
            <w:vAlign w:val="top"/>
          </w:tcPr>
          <w:p w14:paraId="79FD18D2">
            <w:pPr>
              <w:rPr>
                <w:rFonts w:ascii="Arial"/>
                <w:sz w:val="21"/>
              </w:rPr>
            </w:pPr>
          </w:p>
        </w:tc>
        <w:tc>
          <w:tcPr>
            <w:tcW w:w="3456" w:type="dxa"/>
            <w:vAlign w:val="top"/>
          </w:tcPr>
          <w:p w14:paraId="4A0EE71D">
            <w:pPr>
              <w:pStyle w:val="6"/>
              <w:spacing w:before="87" w:line="288" w:lineRule="auto"/>
              <w:ind w:left="106" w:right="94" w:firstLine="428"/>
              <w:jc w:val="both"/>
              <w:rPr>
                <w:sz w:val="20"/>
                <w:szCs w:val="20"/>
              </w:rPr>
            </w:pPr>
            <w:r>
              <w:rPr>
                <w:spacing w:val="16"/>
                <w:sz w:val="20"/>
                <w:szCs w:val="20"/>
              </w:rPr>
              <w:t>动力蓄电池暂存在危险废物贮</w:t>
            </w:r>
            <w:r>
              <w:rPr>
                <w:spacing w:val="11"/>
                <w:sz w:val="20"/>
                <w:szCs w:val="20"/>
              </w:rPr>
              <w:t xml:space="preserve"> </w:t>
            </w:r>
            <w:r>
              <w:rPr>
                <w:spacing w:val="8"/>
                <w:sz w:val="20"/>
                <w:szCs w:val="20"/>
              </w:rPr>
              <w:t>存库</w:t>
            </w:r>
            <w:r>
              <w:rPr>
                <w:rFonts w:ascii="Calibri" w:hAnsi="Calibri" w:eastAsia="Calibri" w:cs="Calibri"/>
                <w:spacing w:val="8"/>
                <w:sz w:val="20"/>
                <w:szCs w:val="20"/>
              </w:rPr>
              <w:t>2#</w:t>
            </w:r>
            <w:r>
              <w:rPr>
                <w:spacing w:val="8"/>
                <w:sz w:val="20"/>
                <w:szCs w:val="20"/>
              </w:rPr>
              <w:t>废蓄电池暂存区内，按照</w:t>
            </w:r>
            <w:r>
              <w:rPr>
                <w:rFonts w:ascii="Times New Roman" w:hAnsi="Times New Roman" w:eastAsia="Times New Roman" w:cs="Times New Roman"/>
                <w:sz w:val="20"/>
                <w:szCs w:val="20"/>
              </w:rPr>
              <w:t xml:space="preserve">WB </w:t>
            </w:r>
            <w:r>
              <w:rPr>
                <w:rFonts w:ascii="Times New Roman" w:hAnsi="Times New Roman" w:eastAsia="Times New Roman" w:cs="Times New Roman"/>
                <w:spacing w:val="9"/>
                <w:sz w:val="20"/>
                <w:szCs w:val="20"/>
              </w:rPr>
              <w:t>/T</w:t>
            </w:r>
            <w:r>
              <w:rPr>
                <w:rFonts w:ascii="Times New Roman" w:hAnsi="Times New Roman" w:eastAsia="Times New Roman" w:cs="Times New Roman"/>
                <w:spacing w:val="20"/>
                <w:w w:val="101"/>
                <w:sz w:val="20"/>
                <w:szCs w:val="20"/>
              </w:rPr>
              <w:t xml:space="preserve">  </w:t>
            </w:r>
            <w:r>
              <w:rPr>
                <w:rFonts w:ascii="Times New Roman" w:hAnsi="Times New Roman" w:eastAsia="Times New Roman" w:cs="Times New Roman"/>
                <w:spacing w:val="9"/>
                <w:sz w:val="20"/>
                <w:szCs w:val="20"/>
              </w:rPr>
              <w:t>1061</w:t>
            </w:r>
            <w:r>
              <w:rPr>
                <w:spacing w:val="9"/>
                <w:sz w:val="20"/>
                <w:szCs w:val="20"/>
              </w:rPr>
              <w:t>和</w:t>
            </w:r>
            <w:r>
              <w:rPr>
                <w:rFonts w:ascii="Times New Roman" w:hAnsi="Times New Roman" w:eastAsia="Times New Roman" w:cs="Times New Roman"/>
                <w:sz w:val="20"/>
                <w:szCs w:val="20"/>
              </w:rPr>
              <w:t>HJ</w:t>
            </w:r>
            <w:r>
              <w:rPr>
                <w:rFonts w:ascii="Times New Roman" w:hAnsi="Times New Roman" w:eastAsia="Times New Roman" w:cs="Times New Roman"/>
                <w:spacing w:val="21"/>
                <w:w w:val="101"/>
                <w:sz w:val="20"/>
                <w:szCs w:val="20"/>
              </w:rPr>
              <w:t xml:space="preserve">  </w:t>
            </w:r>
            <w:r>
              <w:rPr>
                <w:rFonts w:ascii="Times New Roman" w:hAnsi="Times New Roman" w:eastAsia="Times New Roman" w:cs="Times New Roman"/>
                <w:spacing w:val="9"/>
                <w:sz w:val="20"/>
                <w:szCs w:val="20"/>
              </w:rPr>
              <w:t>1186</w:t>
            </w:r>
            <w:r>
              <w:rPr>
                <w:spacing w:val="9"/>
                <w:sz w:val="20"/>
                <w:szCs w:val="20"/>
              </w:rPr>
              <w:t>规定的储存要求</w:t>
            </w:r>
            <w:r>
              <w:rPr>
                <w:sz w:val="20"/>
                <w:szCs w:val="20"/>
              </w:rPr>
              <w:t xml:space="preserve"> </w:t>
            </w:r>
            <w:r>
              <w:rPr>
                <w:spacing w:val="5"/>
                <w:sz w:val="20"/>
                <w:szCs w:val="20"/>
              </w:rPr>
              <w:t>执行。</w:t>
            </w:r>
          </w:p>
          <w:p w14:paraId="6552356D">
            <w:pPr>
              <w:pStyle w:val="6"/>
              <w:spacing w:before="35" w:line="289" w:lineRule="auto"/>
              <w:ind w:left="113" w:right="94" w:firstLine="420"/>
              <w:jc w:val="both"/>
              <w:rPr>
                <w:sz w:val="20"/>
                <w:szCs w:val="20"/>
              </w:rPr>
            </w:pPr>
            <w:r>
              <w:rPr>
                <w:spacing w:val="17"/>
                <w:sz w:val="20"/>
                <w:szCs w:val="20"/>
              </w:rPr>
              <w:t>废电池完好的放在塑料箱中并</w:t>
            </w:r>
            <w:r>
              <w:rPr>
                <w:sz w:val="20"/>
                <w:szCs w:val="20"/>
              </w:rPr>
              <w:t xml:space="preserve"> </w:t>
            </w:r>
            <w:r>
              <w:rPr>
                <w:spacing w:val="16"/>
                <w:sz w:val="20"/>
                <w:szCs w:val="20"/>
              </w:rPr>
              <w:t>采用塑料膜包装以防碰撞破损；在</w:t>
            </w:r>
            <w:r>
              <w:rPr>
                <w:spacing w:val="1"/>
                <w:sz w:val="20"/>
                <w:szCs w:val="20"/>
              </w:rPr>
              <w:t xml:space="preserve"> </w:t>
            </w:r>
            <w:r>
              <w:rPr>
                <w:spacing w:val="16"/>
                <w:sz w:val="20"/>
                <w:szCs w:val="20"/>
              </w:rPr>
              <w:t>多层储存时，放在塑料箱中并采用</w:t>
            </w:r>
            <w:r>
              <w:rPr>
                <w:spacing w:val="1"/>
                <w:sz w:val="20"/>
                <w:szCs w:val="20"/>
              </w:rPr>
              <w:t xml:space="preserve"> </w:t>
            </w:r>
            <w:r>
              <w:rPr>
                <w:spacing w:val="16"/>
                <w:sz w:val="20"/>
                <w:szCs w:val="20"/>
              </w:rPr>
              <w:t>塑料膜包装后存放在采用便于存取</w:t>
            </w:r>
            <w:r>
              <w:rPr>
                <w:sz w:val="20"/>
                <w:szCs w:val="20"/>
              </w:rPr>
              <w:t xml:space="preserve"> </w:t>
            </w:r>
            <w:r>
              <w:rPr>
                <w:spacing w:val="7"/>
                <w:sz w:val="20"/>
                <w:szCs w:val="20"/>
              </w:rPr>
              <w:t>的钢质框架结构。</w:t>
            </w:r>
          </w:p>
          <w:p w14:paraId="0C8C0FB3">
            <w:pPr>
              <w:pStyle w:val="6"/>
              <w:spacing w:before="31" w:line="265" w:lineRule="auto"/>
              <w:ind w:left="114" w:right="94" w:firstLine="419"/>
              <w:jc w:val="both"/>
              <w:rPr>
                <w:sz w:val="20"/>
                <w:szCs w:val="20"/>
              </w:rPr>
            </w:pPr>
            <w:r>
              <w:rPr>
                <w:spacing w:val="17"/>
                <w:sz w:val="20"/>
                <w:szCs w:val="20"/>
              </w:rPr>
              <w:t>对存在漏电、漏液、破损等安</w:t>
            </w:r>
            <w:r>
              <w:rPr>
                <w:sz w:val="20"/>
                <w:szCs w:val="20"/>
              </w:rPr>
              <w:t xml:space="preserve"> </w:t>
            </w:r>
            <w:r>
              <w:rPr>
                <w:spacing w:val="25"/>
                <w:sz w:val="20"/>
                <w:szCs w:val="20"/>
              </w:rPr>
              <w:t>全隐</w:t>
            </w:r>
            <w:r>
              <w:rPr>
                <w:spacing w:val="-53"/>
                <w:sz w:val="20"/>
                <w:szCs w:val="20"/>
              </w:rPr>
              <w:t xml:space="preserve"> </w:t>
            </w:r>
            <w:r>
              <w:rPr>
                <w:spacing w:val="25"/>
                <w:sz w:val="20"/>
                <w:szCs w:val="20"/>
              </w:rPr>
              <w:t>患的动力</w:t>
            </w:r>
            <w:r>
              <w:rPr>
                <w:spacing w:val="-57"/>
                <w:sz w:val="20"/>
                <w:szCs w:val="20"/>
              </w:rPr>
              <w:t xml:space="preserve"> </w:t>
            </w:r>
            <w:r>
              <w:rPr>
                <w:spacing w:val="25"/>
                <w:sz w:val="20"/>
                <w:szCs w:val="20"/>
              </w:rPr>
              <w:t>蓄电池采取密封处</w:t>
            </w:r>
            <w:r>
              <w:rPr>
                <w:sz w:val="20"/>
                <w:szCs w:val="20"/>
              </w:rPr>
              <w:t xml:space="preserve"> </w:t>
            </w:r>
            <w:r>
              <w:rPr>
                <w:spacing w:val="8"/>
                <w:sz w:val="20"/>
                <w:szCs w:val="20"/>
              </w:rPr>
              <w:t>理，并隔离单独存放。</w:t>
            </w:r>
          </w:p>
        </w:tc>
        <w:tc>
          <w:tcPr>
            <w:tcW w:w="982" w:type="dxa"/>
            <w:vMerge w:val="continue"/>
            <w:tcBorders>
              <w:top w:val="nil"/>
              <w:bottom w:val="nil"/>
              <w:right w:val="single" w:color="000000" w:sz="10" w:space="0"/>
            </w:tcBorders>
            <w:vAlign w:val="top"/>
          </w:tcPr>
          <w:p w14:paraId="7AF8C248">
            <w:pPr>
              <w:rPr>
                <w:rFonts w:ascii="Arial"/>
                <w:sz w:val="21"/>
              </w:rPr>
            </w:pPr>
          </w:p>
        </w:tc>
      </w:tr>
      <w:tr w14:paraId="66C2B6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0" w:hRule="atLeast"/>
        </w:trPr>
        <w:tc>
          <w:tcPr>
            <w:tcW w:w="494" w:type="dxa"/>
            <w:vMerge w:val="continue"/>
            <w:tcBorders>
              <w:top w:val="nil"/>
              <w:left w:val="single" w:color="000000" w:sz="10" w:space="0"/>
              <w:bottom w:val="nil"/>
            </w:tcBorders>
            <w:vAlign w:val="top"/>
          </w:tcPr>
          <w:p w14:paraId="32098CCD">
            <w:pPr>
              <w:rPr>
                <w:rFonts w:ascii="Arial"/>
                <w:sz w:val="21"/>
              </w:rPr>
            </w:pPr>
          </w:p>
        </w:tc>
        <w:tc>
          <w:tcPr>
            <w:tcW w:w="3990" w:type="dxa"/>
            <w:vMerge w:val="continue"/>
            <w:tcBorders>
              <w:top w:val="nil"/>
              <w:bottom w:val="nil"/>
            </w:tcBorders>
            <w:vAlign w:val="top"/>
          </w:tcPr>
          <w:p w14:paraId="20D4D499">
            <w:pPr>
              <w:rPr>
                <w:rFonts w:ascii="Arial"/>
                <w:sz w:val="21"/>
              </w:rPr>
            </w:pPr>
          </w:p>
        </w:tc>
        <w:tc>
          <w:tcPr>
            <w:tcW w:w="3456" w:type="dxa"/>
            <w:vAlign w:val="top"/>
          </w:tcPr>
          <w:p w14:paraId="2DC1F83D">
            <w:pPr>
              <w:spacing w:line="260" w:lineRule="auto"/>
              <w:rPr>
                <w:rFonts w:ascii="Arial"/>
                <w:sz w:val="21"/>
              </w:rPr>
            </w:pPr>
          </w:p>
          <w:p w14:paraId="63238C3F">
            <w:pPr>
              <w:spacing w:line="260" w:lineRule="auto"/>
              <w:rPr>
                <w:rFonts w:ascii="Arial"/>
                <w:sz w:val="21"/>
              </w:rPr>
            </w:pPr>
          </w:p>
          <w:p w14:paraId="34D3A349">
            <w:pPr>
              <w:spacing w:line="260" w:lineRule="auto"/>
              <w:rPr>
                <w:rFonts w:ascii="Arial"/>
                <w:sz w:val="21"/>
              </w:rPr>
            </w:pPr>
          </w:p>
          <w:p w14:paraId="02243974">
            <w:pPr>
              <w:spacing w:line="260" w:lineRule="auto"/>
              <w:rPr>
                <w:rFonts w:ascii="Arial"/>
                <w:sz w:val="21"/>
              </w:rPr>
            </w:pPr>
          </w:p>
          <w:p w14:paraId="26E391C7">
            <w:pPr>
              <w:spacing w:line="261" w:lineRule="auto"/>
              <w:rPr>
                <w:rFonts w:ascii="Arial"/>
                <w:sz w:val="21"/>
              </w:rPr>
            </w:pPr>
          </w:p>
          <w:p w14:paraId="3EEDDC4F">
            <w:pPr>
              <w:pStyle w:val="6"/>
              <w:spacing w:before="65" w:line="227" w:lineRule="auto"/>
              <w:ind w:left="583"/>
              <w:rPr>
                <w:sz w:val="20"/>
                <w:szCs w:val="20"/>
              </w:rPr>
            </w:pPr>
            <w:r>
              <w:rPr>
                <w:spacing w:val="8"/>
                <w:sz w:val="20"/>
                <w:szCs w:val="20"/>
              </w:rPr>
              <w:t>本项目不拆解电动汽车。</w:t>
            </w:r>
          </w:p>
        </w:tc>
        <w:tc>
          <w:tcPr>
            <w:tcW w:w="982" w:type="dxa"/>
            <w:vMerge w:val="continue"/>
            <w:tcBorders>
              <w:top w:val="nil"/>
              <w:bottom w:val="nil"/>
              <w:right w:val="single" w:color="000000" w:sz="10" w:space="0"/>
            </w:tcBorders>
            <w:vAlign w:val="top"/>
          </w:tcPr>
          <w:p w14:paraId="115F2ECD">
            <w:pPr>
              <w:rPr>
                <w:rFonts w:ascii="Arial"/>
                <w:sz w:val="21"/>
              </w:rPr>
            </w:pPr>
          </w:p>
        </w:tc>
      </w:tr>
      <w:tr w14:paraId="0FF74A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34" w:hRule="atLeast"/>
        </w:trPr>
        <w:tc>
          <w:tcPr>
            <w:tcW w:w="494" w:type="dxa"/>
            <w:vMerge w:val="continue"/>
            <w:tcBorders>
              <w:top w:val="nil"/>
              <w:left w:val="single" w:color="000000" w:sz="10" w:space="0"/>
              <w:bottom w:val="single" w:color="000000" w:sz="10" w:space="0"/>
            </w:tcBorders>
            <w:vAlign w:val="top"/>
          </w:tcPr>
          <w:p w14:paraId="1486A9D4">
            <w:pPr>
              <w:rPr>
                <w:rFonts w:ascii="Arial"/>
                <w:sz w:val="21"/>
              </w:rPr>
            </w:pPr>
          </w:p>
        </w:tc>
        <w:tc>
          <w:tcPr>
            <w:tcW w:w="3990" w:type="dxa"/>
            <w:vMerge w:val="continue"/>
            <w:tcBorders>
              <w:top w:val="nil"/>
              <w:bottom w:val="single" w:color="000000" w:sz="10" w:space="0"/>
            </w:tcBorders>
            <w:vAlign w:val="top"/>
          </w:tcPr>
          <w:p w14:paraId="32C73121">
            <w:pPr>
              <w:rPr>
                <w:rFonts w:ascii="Arial"/>
                <w:sz w:val="21"/>
              </w:rPr>
            </w:pPr>
          </w:p>
        </w:tc>
        <w:tc>
          <w:tcPr>
            <w:tcW w:w="3456" w:type="dxa"/>
            <w:tcBorders>
              <w:bottom w:val="single" w:color="000000" w:sz="10" w:space="0"/>
            </w:tcBorders>
            <w:vAlign w:val="top"/>
          </w:tcPr>
          <w:p w14:paraId="2E08CA74">
            <w:pPr>
              <w:pStyle w:val="6"/>
              <w:spacing w:before="101" w:line="282" w:lineRule="auto"/>
              <w:ind w:left="115" w:right="94" w:hanging="2"/>
              <w:jc w:val="both"/>
              <w:rPr>
                <w:sz w:val="20"/>
                <w:szCs w:val="20"/>
              </w:rPr>
            </w:pPr>
            <w:r>
              <w:rPr>
                <w:spacing w:val="16"/>
                <w:sz w:val="20"/>
                <w:szCs w:val="20"/>
              </w:rPr>
              <w:t>在室内拆解预处理平台上使用专用</w:t>
            </w:r>
            <w:r>
              <w:rPr>
                <w:spacing w:val="1"/>
                <w:sz w:val="20"/>
                <w:szCs w:val="20"/>
              </w:rPr>
              <w:t xml:space="preserve"> </w:t>
            </w:r>
            <w:r>
              <w:rPr>
                <w:spacing w:val="15"/>
                <w:sz w:val="20"/>
                <w:szCs w:val="20"/>
              </w:rPr>
              <w:t>工具排空存留在车内的废液，并使</w:t>
            </w:r>
            <w:r>
              <w:rPr>
                <w:spacing w:val="13"/>
                <w:sz w:val="20"/>
                <w:szCs w:val="20"/>
              </w:rPr>
              <w:t xml:space="preserve"> </w:t>
            </w:r>
            <w:r>
              <w:rPr>
                <w:spacing w:val="15"/>
                <w:sz w:val="20"/>
                <w:szCs w:val="20"/>
              </w:rPr>
              <w:t>用专用容器分类回收；拆除铅酸蓄</w:t>
            </w:r>
            <w:r>
              <w:rPr>
                <w:spacing w:val="13"/>
                <w:sz w:val="20"/>
                <w:szCs w:val="20"/>
              </w:rPr>
              <w:t xml:space="preserve"> </w:t>
            </w:r>
            <w:r>
              <w:rPr>
                <w:spacing w:val="15"/>
                <w:sz w:val="20"/>
                <w:szCs w:val="20"/>
              </w:rPr>
              <w:t>电池；用专门设备回收机动车空调</w:t>
            </w:r>
          </w:p>
        </w:tc>
        <w:tc>
          <w:tcPr>
            <w:tcW w:w="982" w:type="dxa"/>
            <w:vMerge w:val="continue"/>
            <w:tcBorders>
              <w:top w:val="nil"/>
              <w:bottom w:val="single" w:color="000000" w:sz="10" w:space="0"/>
              <w:right w:val="single" w:color="000000" w:sz="10" w:space="0"/>
            </w:tcBorders>
            <w:vAlign w:val="top"/>
          </w:tcPr>
          <w:p w14:paraId="115A3CDB">
            <w:pPr>
              <w:rPr>
                <w:rFonts w:ascii="Arial"/>
                <w:sz w:val="21"/>
              </w:rPr>
            </w:pPr>
          </w:p>
        </w:tc>
      </w:tr>
    </w:tbl>
    <w:p w14:paraId="5DEA0CB6">
      <w:pPr>
        <w:pStyle w:val="2"/>
        <w:spacing w:line="108" w:lineRule="exact"/>
        <w:rPr>
          <w:sz w:val="9"/>
        </w:rPr>
      </w:pPr>
    </w:p>
    <w:p w14:paraId="5EC61FE1">
      <w:pPr>
        <w:spacing w:line="108" w:lineRule="exact"/>
        <w:rPr>
          <w:sz w:val="9"/>
          <w:szCs w:val="9"/>
        </w:rPr>
        <w:sectPr>
          <w:footerReference r:id="rId30"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73B8D14F">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22" w:hRule="atLeast"/>
        </w:trPr>
        <w:tc>
          <w:tcPr>
            <w:tcW w:w="494" w:type="dxa"/>
            <w:tcBorders>
              <w:right w:val="single" w:color="000000" w:sz="2" w:space="0"/>
            </w:tcBorders>
            <w:vAlign w:val="top"/>
          </w:tcPr>
          <w:p w14:paraId="7EB1EB02">
            <w:pPr>
              <w:rPr>
                <w:rFonts w:ascii="Arial"/>
                <w:sz w:val="21"/>
              </w:rPr>
            </w:pPr>
          </w:p>
        </w:tc>
        <w:tc>
          <w:tcPr>
            <w:tcW w:w="8428" w:type="dxa"/>
            <w:tcBorders>
              <w:left w:val="single" w:color="000000" w:sz="2" w:space="0"/>
            </w:tcBorders>
            <w:vAlign w:val="top"/>
          </w:tcPr>
          <w:p w14:paraId="4D28217E">
            <w:pPr>
              <w:spacing w:line="144" w:lineRule="auto"/>
              <w:rPr>
                <w:rFonts w:ascii="Arial"/>
                <w:sz w:val="2"/>
              </w:rPr>
            </w:pPr>
          </w:p>
          <w:tbl>
            <w:tblPr>
              <w:tblStyle w:val="5"/>
              <w:tblW w:w="8222"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93"/>
              <w:gridCol w:w="3466"/>
              <w:gridCol w:w="863"/>
            </w:tblGrid>
            <w:tr w14:paraId="672C8B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1" w:hRule="atLeast"/>
              </w:trPr>
              <w:tc>
                <w:tcPr>
                  <w:tcW w:w="3893" w:type="dxa"/>
                  <w:tcBorders>
                    <w:top w:val="nil"/>
                    <w:left w:val="nil"/>
                  </w:tcBorders>
                  <w:vAlign w:val="top"/>
                </w:tcPr>
                <w:p w14:paraId="11E5B77B">
                  <w:pPr>
                    <w:pStyle w:val="6"/>
                    <w:spacing w:before="58" w:line="221" w:lineRule="auto"/>
                    <w:ind w:left="106"/>
                    <w:rPr>
                      <w:sz w:val="20"/>
                      <w:szCs w:val="20"/>
                    </w:rPr>
                  </w:pPr>
                  <w:r>
                    <w:rPr>
                      <w:rFonts w:ascii="Times New Roman" w:hAnsi="Times New Roman" w:eastAsia="Times New Roman" w:cs="Times New Roman"/>
                      <w:spacing w:val="7"/>
                      <w:sz w:val="20"/>
                      <w:szCs w:val="20"/>
                    </w:rPr>
                    <w:t>b)</w:t>
                  </w:r>
                  <w:r>
                    <w:rPr>
                      <w:spacing w:val="7"/>
                      <w:sz w:val="20"/>
                      <w:szCs w:val="20"/>
                    </w:rPr>
                    <w:t>拆除铅酸蓄电池；</w:t>
                  </w:r>
                </w:p>
                <w:p w14:paraId="318D9E4B">
                  <w:pPr>
                    <w:pStyle w:val="6"/>
                    <w:spacing w:before="79" w:line="227" w:lineRule="auto"/>
                    <w:ind w:left="113"/>
                    <w:rPr>
                      <w:sz w:val="20"/>
                      <w:szCs w:val="20"/>
                    </w:rPr>
                  </w:pPr>
                  <w:r>
                    <w:rPr>
                      <w:rFonts w:ascii="Times New Roman" w:hAnsi="Times New Roman" w:eastAsia="Times New Roman" w:cs="Times New Roman"/>
                      <w:spacing w:val="8"/>
                      <w:sz w:val="20"/>
                      <w:szCs w:val="20"/>
                    </w:rPr>
                    <w:t>c</w:t>
                  </w:r>
                  <w:r>
                    <w:rPr>
                      <w:spacing w:val="8"/>
                      <w:sz w:val="20"/>
                      <w:szCs w:val="20"/>
                    </w:rPr>
                    <w:t>）用专门设备回收机动车空调制冷剂；</w:t>
                  </w:r>
                </w:p>
                <w:p w14:paraId="69B8CA75">
                  <w:pPr>
                    <w:pStyle w:val="6"/>
                    <w:spacing w:before="73" w:line="259" w:lineRule="auto"/>
                    <w:ind w:left="113" w:right="1633"/>
                    <w:rPr>
                      <w:sz w:val="20"/>
                      <w:szCs w:val="20"/>
                    </w:rPr>
                  </w:pPr>
                  <w:r>
                    <w:rPr>
                      <w:rFonts w:ascii="Times New Roman" w:hAnsi="Times New Roman" w:eastAsia="Times New Roman" w:cs="Times New Roman"/>
                      <w:spacing w:val="3"/>
                      <w:sz w:val="20"/>
                      <w:szCs w:val="20"/>
                    </w:rPr>
                    <w:t>d</w:t>
                  </w:r>
                  <w:r>
                    <w:rPr>
                      <w:spacing w:val="3"/>
                      <w:sz w:val="20"/>
                      <w:szCs w:val="20"/>
                    </w:rPr>
                    <w:t>）拆除油箱和燃料罐；</w:t>
                  </w:r>
                  <w:r>
                    <w:rPr>
                      <w:spacing w:val="9"/>
                      <w:sz w:val="20"/>
                      <w:szCs w:val="20"/>
                    </w:rPr>
                    <w:t xml:space="preserve"> </w:t>
                  </w:r>
                  <w:r>
                    <w:rPr>
                      <w:rFonts w:ascii="Times New Roman" w:hAnsi="Times New Roman" w:eastAsia="Times New Roman" w:cs="Times New Roman"/>
                      <w:spacing w:val="6"/>
                      <w:sz w:val="20"/>
                      <w:szCs w:val="20"/>
                    </w:rPr>
                    <w:t>e)</w:t>
                  </w:r>
                  <w:r>
                    <w:rPr>
                      <w:spacing w:val="6"/>
                      <w:sz w:val="20"/>
                      <w:szCs w:val="20"/>
                    </w:rPr>
                    <w:t>拆除机油滤清器；</w:t>
                  </w:r>
                </w:p>
                <w:p w14:paraId="4E14B010">
                  <w:pPr>
                    <w:pStyle w:val="6"/>
                    <w:spacing w:before="80" w:line="270" w:lineRule="auto"/>
                    <w:ind w:left="116" w:right="106" w:hanging="2"/>
                    <w:rPr>
                      <w:sz w:val="20"/>
                      <w:szCs w:val="20"/>
                    </w:rPr>
                  </w:pPr>
                  <w:r>
                    <w:rPr>
                      <w:rFonts w:ascii="Times New Roman" w:hAnsi="Times New Roman" w:eastAsia="Times New Roman" w:cs="Times New Roman"/>
                      <w:spacing w:val="18"/>
                      <w:sz w:val="20"/>
                      <w:szCs w:val="20"/>
                    </w:rPr>
                    <w:t>f)</w:t>
                  </w:r>
                  <w:r>
                    <w:rPr>
                      <w:spacing w:val="18"/>
                      <w:sz w:val="20"/>
                      <w:szCs w:val="20"/>
                    </w:rPr>
                    <w:t>直接引爆安全气囊或者拆除安全气囊</w:t>
                  </w:r>
                  <w:r>
                    <w:rPr>
                      <w:spacing w:val="10"/>
                      <w:sz w:val="20"/>
                      <w:szCs w:val="20"/>
                    </w:rPr>
                    <w:t xml:space="preserve"> </w:t>
                  </w:r>
                  <w:r>
                    <w:rPr>
                      <w:spacing w:val="6"/>
                      <w:sz w:val="20"/>
                      <w:szCs w:val="20"/>
                    </w:rPr>
                    <w:t>组件后引爆；</w:t>
                  </w:r>
                </w:p>
                <w:p w14:paraId="07FA6CA5">
                  <w:pPr>
                    <w:pStyle w:val="6"/>
                    <w:spacing w:before="55" w:line="255" w:lineRule="auto"/>
                    <w:ind w:left="115" w:right="106" w:hanging="2"/>
                    <w:rPr>
                      <w:sz w:val="20"/>
                      <w:szCs w:val="20"/>
                    </w:rPr>
                  </w:pPr>
                  <w:r>
                    <w:rPr>
                      <w:rFonts w:ascii="Times New Roman" w:hAnsi="Times New Roman" w:eastAsia="Times New Roman" w:cs="Times New Roman"/>
                      <w:spacing w:val="5"/>
                      <w:sz w:val="20"/>
                      <w:szCs w:val="20"/>
                    </w:rPr>
                    <w:t>g</w:t>
                  </w:r>
                  <w:r>
                    <w:rPr>
                      <w:spacing w:val="5"/>
                      <w:sz w:val="20"/>
                      <w:szCs w:val="20"/>
                    </w:rPr>
                    <w:t>）拆除催化系统</w:t>
                  </w:r>
                  <w:r>
                    <w:rPr>
                      <w:rFonts w:ascii="Times New Roman" w:hAnsi="Times New Roman" w:eastAsia="Times New Roman" w:cs="Times New Roman"/>
                      <w:spacing w:val="5"/>
                      <w:sz w:val="20"/>
                      <w:szCs w:val="20"/>
                    </w:rPr>
                    <w:t>(</w:t>
                  </w:r>
                  <w:r>
                    <w:rPr>
                      <w:spacing w:val="5"/>
                      <w:sz w:val="20"/>
                      <w:szCs w:val="20"/>
                    </w:rPr>
                    <w:t>催化转化器、选择性催</w:t>
                  </w:r>
                  <w:r>
                    <w:rPr>
                      <w:spacing w:val="8"/>
                      <w:sz w:val="20"/>
                      <w:szCs w:val="20"/>
                    </w:rPr>
                    <w:t xml:space="preserve"> 化还原装置、柴油颗粒物捕集器等</w:t>
                  </w:r>
                  <w:r>
                    <w:rPr>
                      <w:rFonts w:ascii="Times New Roman" w:hAnsi="Times New Roman" w:eastAsia="Times New Roman" w:cs="Times New Roman"/>
                      <w:spacing w:val="8"/>
                      <w:sz w:val="20"/>
                      <w:szCs w:val="20"/>
                    </w:rPr>
                    <w:t>)</w:t>
                  </w:r>
                  <w:r>
                    <w:rPr>
                      <w:spacing w:val="8"/>
                      <w:sz w:val="20"/>
                      <w:szCs w:val="20"/>
                    </w:rPr>
                    <w:t>。</w:t>
                  </w:r>
                </w:p>
              </w:tc>
              <w:tc>
                <w:tcPr>
                  <w:tcW w:w="3466" w:type="dxa"/>
                  <w:tcBorders>
                    <w:top w:val="nil"/>
                  </w:tcBorders>
                  <w:vAlign w:val="top"/>
                </w:tcPr>
                <w:p w14:paraId="1A521947">
                  <w:pPr>
                    <w:pStyle w:val="6"/>
                    <w:spacing w:before="60" w:line="287" w:lineRule="auto"/>
                    <w:ind w:left="113" w:right="104" w:firstLine="1"/>
                    <w:rPr>
                      <w:sz w:val="20"/>
                      <w:szCs w:val="20"/>
                    </w:rPr>
                  </w:pPr>
                  <w:r>
                    <w:rPr>
                      <w:spacing w:val="16"/>
                      <w:sz w:val="20"/>
                      <w:szCs w:val="20"/>
                    </w:rPr>
                    <w:t>制冷剂；拆除油箱和燃料罐；拆除</w:t>
                  </w:r>
                  <w:r>
                    <w:rPr>
                      <w:sz w:val="20"/>
                      <w:szCs w:val="20"/>
                    </w:rPr>
                    <w:t xml:space="preserve"> </w:t>
                  </w:r>
                  <w:r>
                    <w:rPr>
                      <w:spacing w:val="16"/>
                      <w:sz w:val="20"/>
                      <w:szCs w:val="20"/>
                    </w:rPr>
                    <w:t>机油滤清器；项目拆解的农机具中</w:t>
                  </w:r>
                  <w:r>
                    <w:rPr>
                      <w:sz w:val="20"/>
                      <w:szCs w:val="20"/>
                    </w:rPr>
                    <w:t xml:space="preserve"> </w:t>
                  </w:r>
                  <w:r>
                    <w:rPr>
                      <w:spacing w:val="10"/>
                      <w:sz w:val="20"/>
                      <w:szCs w:val="20"/>
                    </w:rPr>
                    <w:t>不涉及安全气囊；拆除催化系统</w:t>
                  </w:r>
                  <w:r>
                    <w:rPr>
                      <w:rFonts w:ascii="Times New Roman" w:hAnsi="Times New Roman" w:eastAsia="Times New Roman" w:cs="Times New Roman"/>
                      <w:spacing w:val="10"/>
                      <w:sz w:val="20"/>
                      <w:szCs w:val="20"/>
                    </w:rPr>
                    <w:t>(</w:t>
                  </w:r>
                  <w:r>
                    <w:rPr>
                      <w:spacing w:val="10"/>
                      <w:sz w:val="20"/>
                      <w:szCs w:val="20"/>
                    </w:rPr>
                    <w:t>催</w:t>
                  </w:r>
                  <w:r>
                    <w:rPr>
                      <w:spacing w:val="12"/>
                      <w:sz w:val="20"/>
                      <w:szCs w:val="20"/>
                    </w:rPr>
                    <w:t xml:space="preserve"> </w:t>
                  </w:r>
                  <w:r>
                    <w:rPr>
                      <w:spacing w:val="16"/>
                      <w:sz w:val="20"/>
                      <w:szCs w:val="20"/>
                    </w:rPr>
                    <w:t>化转化器、选择性催化还原装置、</w:t>
                  </w:r>
                  <w:r>
                    <w:rPr>
                      <w:spacing w:val="1"/>
                      <w:sz w:val="20"/>
                      <w:szCs w:val="20"/>
                    </w:rPr>
                    <w:t xml:space="preserve"> </w:t>
                  </w:r>
                  <w:r>
                    <w:rPr>
                      <w:spacing w:val="7"/>
                      <w:sz w:val="20"/>
                      <w:szCs w:val="20"/>
                    </w:rPr>
                    <w:t>柴油颗粒物捕集器等</w:t>
                  </w:r>
                  <w:r>
                    <w:rPr>
                      <w:rFonts w:ascii="Times New Roman" w:hAnsi="Times New Roman" w:eastAsia="Times New Roman" w:cs="Times New Roman"/>
                      <w:spacing w:val="7"/>
                      <w:sz w:val="20"/>
                      <w:szCs w:val="20"/>
                    </w:rPr>
                    <w:t>)</w:t>
                  </w:r>
                  <w:r>
                    <w:rPr>
                      <w:spacing w:val="7"/>
                      <w:sz w:val="20"/>
                      <w:szCs w:val="20"/>
                    </w:rPr>
                    <w:t>。</w:t>
                  </w:r>
                </w:p>
              </w:tc>
              <w:tc>
                <w:tcPr>
                  <w:tcW w:w="863" w:type="dxa"/>
                  <w:tcBorders>
                    <w:top w:val="nil"/>
                    <w:right w:val="nil"/>
                  </w:tcBorders>
                  <w:vAlign w:val="top"/>
                </w:tcPr>
                <w:p w14:paraId="15AF6090">
                  <w:pPr>
                    <w:rPr>
                      <w:rFonts w:ascii="Arial"/>
                      <w:sz w:val="21"/>
                    </w:rPr>
                  </w:pPr>
                </w:p>
              </w:tc>
            </w:tr>
            <w:tr w14:paraId="393951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37" w:hRule="atLeast"/>
              </w:trPr>
              <w:tc>
                <w:tcPr>
                  <w:tcW w:w="3893" w:type="dxa"/>
                  <w:tcBorders>
                    <w:left w:val="nil"/>
                  </w:tcBorders>
                  <w:vAlign w:val="top"/>
                </w:tcPr>
                <w:p w14:paraId="1D1B95F6">
                  <w:pPr>
                    <w:pStyle w:val="6"/>
                    <w:spacing w:before="82" w:line="228" w:lineRule="auto"/>
                    <w:ind w:left="114"/>
                    <w:rPr>
                      <w:sz w:val="20"/>
                      <w:szCs w:val="20"/>
                    </w:rPr>
                  </w:pPr>
                  <w:r>
                    <w:rPr>
                      <w:rFonts w:ascii="Times New Roman" w:hAnsi="Times New Roman" w:eastAsia="Times New Roman" w:cs="Times New Roman"/>
                      <w:spacing w:val="6"/>
                      <w:sz w:val="20"/>
                      <w:szCs w:val="20"/>
                    </w:rPr>
                    <w:t>7.3.</w:t>
                  </w:r>
                  <w:r>
                    <w:rPr>
                      <w:rFonts w:ascii="Times New Roman" w:hAnsi="Times New Roman" w:eastAsia="Times New Roman" w:cs="Times New Roman"/>
                      <w:spacing w:val="-22"/>
                      <w:sz w:val="20"/>
                      <w:szCs w:val="20"/>
                    </w:rPr>
                    <w:t xml:space="preserve"> </w:t>
                  </w:r>
                  <w:r>
                    <w:rPr>
                      <w:rFonts w:ascii="Times New Roman" w:hAnsi="Times New Roman" w:eastAsia="Times New Roman" w:cs="Times New Roman"/>
                      <w:spacing w:val="6"/>
                      <w:sz w:val="20"/>
                      <w:szCs w:val="20"/>
                    </w:rPr>
                    <w:t>1</w:t>
                  </w:r>
                  <w:r>
                    <w:rPr>
                      <w:spacing w:val="6"/>
                      <w:sz w:val="20"/>
                      <w:szCs w:val="20"/>
                    </w:rPr>
                    <w:t>动力蓄电池拆卸预处理技术要求：</w:t>
                  </w:r>
                </w:p>
                <w:p w14:paraId="3F598DB3">
                  <w:pPr>
                    <w:pStyle w:val="6"/>
                    <w:spacing w:before="72" w:line="221" w:lineRule="auto"/>
                    <w:ind w:left="114"/>
                    <w:rPr>
                      <w:sz w:val="20"/>
                      <w:szCs w:val="20"/>
                    </w:rPr>
                  </w:pPr>
                  <w:r>
                    <w:rPr>
                      <w:rFonts w:ascii="Times New Roman" w:hAnsi="Times New Roman" w:eastAsia="Times New Roman" w:cs="Times New Roman"/>
                      <w:spacing w:val="8"/>
                      <w:sz w:val="20"/>
                      <w:szCs w:val="20"/>
                    </w:rPr>
                    <w:t>a)</w:t>
                  </w:r>
                  <w:r>
                    <w:rPr>
                      <w:spacing w:val="8"/>
                      <w:sz w:val="20"/>
                      <w:szCs w:val="20"/>
                    </w:rPr>
                    <w:t>检查车身有无漏液。有无带电；</w:t>
                  </w:r>
                </w:p>
                <w:p w14:paraId="4C18F344">
                  <w:pPr>
                    <w:pStyle w:val="6"/>
                    <w:spacing w:before="80" w:line="273" w:lineRule="auto"/>
                    <w:ind w:left="115" w:right="106" w:hanging="9"/>
                    <w:rPr>
                      <w:sz w:val="20"/>
                      <w:szCs w:val="20"/>
                    </w:rPr>
                  </w:pPr>
                  <w:r>
                    <w:rPr>
                      <w:rFonts w:ascii="Times New Roman" w:hAnsi="Times New Roman" w:eastAsia="Times New Roman" w:cs="Times New Roman"/>
                      <w:spacing w:val="5"/>
                      <w:sz w:val="20"/>
                      <w:szCs w:val="20"/>
                    </w:rPr>
                    <w:t>b)</w:t>
                  </w:r>
                  <w:r>
                    <w:rPr>
                      <w:spacing w:val="5"/>
                      <w:sz w:val="20"/>
                      <w:szCs w:val="20"/>
                    </w:rPr>
                    <w:t>检查动力蓄电池布局和安装位置，确认</w:t>
                  </w:r>
                  <w:r>
                    <w:rPr>
                      <w:spacing w:val="14"/>
                      <w:sz w:val="20"/>
                      <w:szCs w:val="20"/>
                    </w:rPr>
                    <w:t xml:space="preserve"> </w:t>
                  </w:r>
                  <w:r>
                    <w:rPr>
                      <w:spacing w:val="7"/>
                      <w:sz w:val="20"/>
                      <w:szCs w:val="20"/>
                    </w:rPr>
                    <w:t>诊断接口是否完好；</w:t>
                  </w:r>
                </w:p>
                <w:p w14:paraId="38AF3ADE">
                  <w:pPr>
                    <w:pStyle w:val="6"/>
                    <w:spacing w:before="49" w:line="270" w:lineRule="auto"/>
                    <w:ind w:left="114" w:right="106" w:hanging="1"/>
                    <w:rPr>
                      <w:sz w:val="20"/>
                      <w:szCs w:val="20"/>
                    </w:rPr>
                  </w:pPr>
                  <w:r>
                    <w:rPr>
                      <w:rFonts w:ascii="Times New Roman" w:hAnsi="Times New Roman" w:eastAsia="Times New Roman" w:cs="Times New Roman"/>
                      <w:spacing w:val="6"/>
                      <w:sz w:val="20"/>
                      <w:szCs w:val="20"/>
                    </w:rPr>
                    <w:t>c)</w:t>
                  </w:r>
                  <w:r>
                    <w:rPr>
                      <w:spacing w:val="6"/>
                      <w:sz w:val="20"/>
                      <w:szCs w:val="20"/>
                    </w:rPr>
                    <w:t>对动力蓄电池电压，温度等参数进行检</w:t>
                  </w:r>
                  <w:r>
                    <w:rPr>
                      <w:sz w:val="20"/>
                      <w:szCs w:val="20"/>
                    </w:rPr>
                    <w:t xml:space="preserve"> </w:t>
                  </w:r>
                  <w:r>
                    <w:rPr>
                      <w:spacing w:val="7"/>
                      <w:sz w:val="20"/>
                      <w:szCs w:val="20"/>
                    </w:rPr>
                    <w:t>测，评估其安全状态；</w:t>
                  </w:r>
                </w:p>
                <w:p w14:paraId="2B8BBC5C">
                  <w:pPr>
                    <w:pStyle w:val="6"/>
                    <w:spacing w:before="55" w:line="221" w:lineRule="auto"/>
                    <w:ind w:left="113"/>
                    <w:rPr>
                      <w:sz w:val="20"/>
                      <w:szCs w:val="20"/>
                    </w:rPr>
                  </w:pPr>
                  <w:r>
                    <w:rPr>
                      <w:rFonts w:ascii="Times New Roman" w:hAnsi="Times New Roman" w:eastAsia="Times New Roman" w:cs="Times New Roman"/>
                      <w:spacing w:val="7"/>
                      <w:sz w:val="20"/>
                      <w:szCs w:val="20"/>
                    </w:rPr>
                    <w:t>d)</w:t>
                  </w:r>
                  <w:r>
                    <w:rPr>
                      <w:spacing w:val="7"/>
                      <w:sz w:val="20"/>
                      <w:szCs w:val="20"/>
                    </w:rPr>
                    <w:t>断开动力蓄电池高压回路；</w:t>
                  </w:r>
                </w:p>
                <w:p w14:paraId="5A9AF7F9">
                  <w:pPr>
                    <w:pStyle w:val="6"/>
                    <w:spacing w:before="79" w:line="283" w:lineRule="auto"/>
                    <w:ind w:left="114" w:right="106"/>
                    <w:jc w:val="both"/>
                    <w:rPr>
                      <w:sz w:val="20"/>
                      <w:szCs w:val="20"/>
                    </w:rPr>
                  </w:pPr>
                  <w:r>
                    <w:rPr>
                      <w:rFonts w:ascii="Times New Roman" w:hAnsi="Times New Roman" w:eastAsia="Times New Roman" w:cs="Times New Roman"/>
                      <w:spacing w:val="17"/>
                      <w:sz w:val="20"/>
                      <w:szCs w:val="20"/>
                    </w:rPr>
                    <w:t>e)</w:t>
                  </w:r>
                  <w:r>
                    <w:rPr>
                      <w:spacing w:val="17"/>
                      <w:sz w:val="20"/>
                      <w:szCs w:val="20"/>
                    </w:rPr>
                    <w:t>在室内或有防雨顶棚的拆解预处理平</w:t>
                  </w:r>
                  <w:r>
                    <w:rPr>
                      <w:spacing w:val="6"/>
                      <w:sz w:val="20"/>
                      <w:szCs w:val="20"/>
                    </w:rPr>
                    <w:t xml:space="preserve"> </w:t>
                  </w:r>
                  <w:r>
                    <w:rPr>
                      <w:spacing w:val="15"/>
                      <w:sz w:val="20"/>
                      <w:szCs w:val="20"/>
                    </w:rPr>
                    <w:t>台上使用防静电工具排空存留在车内的</w:t>
                  </w:r>
                  <w:r>
                    <w:rPr>
                      <w:spacing w:val="13"/>
                      <w:sz w:val="20"/>
                      <w:szCs w:val="20"/>
                    </w:rPr>
                    <w:t xml:space="preserve"> </w:t>
                  </w:r>
                  <w:r>
                    <w:rPr>
                      <w:spacing w:val="8"/>
                      <w:sz w:val="20"/>
                      <w:szCs w:val="20"/>
                    </w:rPr>
                    <w:t>废液，并使用专用容器分类回收；</w:t>
                  </w:r>
                </w:p>
                <w:p w14:paraId="5B3D98A5">
                  <w:pPr>
                    <w:pStyle w:val="6"/>
                    <w:spacing w:before="39" w:line="252" w:lineRule="auto"/>
                    <w:ind w:left="115" w:right="106" w:hanging="1"/>
                    <w:rPr>
                      <w:sz w:val="20"/>
                      <w:szCs w:val="20"/>
                    </w:rPr>
                  </w:pPr>
                  <w:r>
                    <w:rPr>
                      <w:rFonts w:ascii="Times New Roman" w:hAnsi="Times New Roman" w:eastAsia="Times New Roman" w:cs="Times New Roman"/>
                      <w:spacing w:val="18"/>
                      <w:sz w:val="20"/>
                      <w:szCs w:val="20"/>
                    </w:rPr>
                    <w:t>f)</w:t>
                  </w:r>
                  <w:r>
                    <w:rPr>
                      <w:spacing w:val="18"/>
                      <w:sz w:val="20"/>
                      <w:szCs w:val="20"/>
                    </w:rPr>
                    <w:t>使用防静电设备回收电动汽车空调制</w:t>
                  </w:r>
                  <w:r>
                    <w:rPr>
                      <w:spacing w:val="10"/>
                      <w:sz w:val="20"/>
                      <w:szCs w:val="20"/>
                    </w:rPr>
                    <w:t xml:space="preserve"> </w:t>
                  </w:r>
                  <w:r>
                    <w:rPr>
                      <w:spacing w:val="2"/>
                      <w:sz w:val="20"/>
                      <w:szCs w:val="20"/>
                    </w:rPr>
                    <w:t>冷剂。</w:t>
                  </w:r>
                </w:p>
              </w:tc>
              <w:tc>
                <w:tcPr>
                  <w:tcW w:w="3466" w:type="dxa"/>
                  <w:vAlign w:val="top"/>
                </w:tcPr>
                <w:p w14:paraId="37C14BB1">
                  <w:pPr>
                    <w:spacing w:line="338" w:lineRule="auto"/>
                    <w:rPr>
                      <w:rFonts w:ascii="Arial"/>
                      <w:sz w:val="21"/>
                    </w:rPr>
                  </w:pPr>
                </w:p>
                <w:p w14:paraId="42FB24BC">
                  <w:pPr>
                    <w:pStyle w:val="6"/>
                    <w:spacing w:before="65" w:line="292" w:lineRule="auto"/>
                    <w:ind w:left="113" w:right="104"/>
                    <w:jc w:val="both"/>
                    <w:rPr>
                      <w:sz w:val="20"/>
                      <w:szCs w:val="20"/>
                    </w:rPr>
                  </w:pPr>
                  <w:r>
                    <w:rPr>
                      <w:spacing w:val="16"/>
                      <w:sz w:val="20"/>
                      <w:szCs w:val="20"/>
                    </w:rPr>
                    <w:t>检查车身有无漏液。有无带电；检</w:t>
                  </w:r>
                  <w:r>
                    <w:rPr>
                      <w:sz w:val="20"/>
                      <w:szCs w:val="20"/>
                    </w:rPr>
                    <w:t xml:space="preserve"> </w:t>
                  </w:r>
                  <w:r>
                    <w:rPr>
                      <w:spacing w:val="16"/>
                      <w:sz w:val="20"/>
                      <w:szCs w:val="20"/>
                    </w:rPr>
                    <w:t>查动力蓄电池布局和安装位置，确</w:t>
                  </w:r>
                  <w:r>
                    <w:rPr>
                      <w:spacing w:val="1"/>
                      <w:sz w:val="20"/>
                      <w:szCs w:val="20"/>
                    </w:rPr>
                    <w:t xml:space="preserve"> </w:t>
                  </w:r>
                  <w:r>
                    <w:rPr>
                      <w:spacing w:val="16"/>
                      <w:sz w:val="20"/>
                      <w:szCs w:val="20"/>
                    </w:rPr>
                    <w:t>认诊断接口是否完好；对动力蓄电</w:t>
                  </w:r>
                  <w:r>
                    <w:rPr>
                      <w:spacing w:val="1"/>
                      <w:sz w:val="20"/>
                      <w:szCs w:val="20"/>
                    </w:rPr>
                    <w:t xml:space="preserve"> </w:t>
                  </w:r>
                  <w:r>
                    <w:rPr>
                      <w:spacing w:val="16"/>
                      <w:sz w:val="20"/>
                      <w:szCs w:val="20"/>
                    </w:rPr>
                    <w:t>池电压，温度等参数进行检测，评</w:t>
                  </w:r>
                  <w:r>
                    <w:rPr>
                      <w:spacing w:val="1"/>
                      <w:sz w:val="20"/>
                      <w:szCs w:val="20"/>
                    </w:rPr>
                    <w:t xml:space="preserve"> </w:t>
                  </w:r>
                  <w:r>
                    <w:rPr>
                      <w:spacing w:val="13"/>
                      <w:sz w:val="20"/>
                      <w:szCs w:val="20"/>
                    </w:rPr>
                    <w:t>估其安全状态；</w:t>
                  </w:r>
                  <w:r>
                    <w:rPr>
                      <w:spacing w:val="-54"/>
                      <w:sz w:val="20"/>
                      <w:szCs w:val="20"/>
                    </w:rPr>
                    <w:t xml:space="preserve"> </w:t>
                  </w:r>
                  <w:r>
                    <w:rPr>
                      <w:spacing w:val="13"/>
                      <w:sz w:val="20"/>
                      <w:szCs w:val="20"/>
                    </w:rPr>
                    <w:t>断开动力蓄电池高</w:t>
                  </w:r>
                  <w:r>
                    <w:rPr>
                      <w:sz w:val="20"/>
                      <w:szCs w:val="20"/>
                    </w:rPr>
                    <w:t xml:space="preserve"> </w:t>
                  </w:r>
                  <w:r>
                    <w:rPr>
                      <w:spacing w:val="16"/>
                      <w:sz w:val="20"/>
                      <w:szCs w:val="20"/>
                    </w:rPr>
                    <w:t>压回路；在室内或有防雨顶棚的拆</w:t>
                  </w:r>
                  <w:r>
                    <w:rPr>
                      <w:spacing w:val="1"/>
                      <w:sz w:val="20"/>
                      <w:szCs w:val="20"/>
                    </w:rPr>
                    <w:t xml:space="preserve"> </w:t>
                  </w:r>
                  <w:r>
                    <w:rPr>
                      <w:spacing w:val="16"/>
                      <w:sz w:val="20"/>
                      <w:szCs w:val="20"/>
                    </w:rPr>
                    <w:t>解预处理平台上使用防静电工具排</w:t>
                  </w:r>
                  <w:r>
                    <w:rPr>
                      <w:spacing w:val="1"/>
                      <w:sz w:val="20"/>
                      <w:szCs w:val="20"/>
                    </w:rPr>
                    <w:t xml:space="preserve"> </w:t>
                  </w:r>
                  <w:r>
                    <w:rPr>
                      <w:spacing w:val="16"/>
                      <w:sz w:val="20"/>
                      <w:szCs w:val="20"/>
                    </w:rPr>
                    <w:t>空存留在车内的废液，并使用专用</w:t>
                  </w:r>
                  <w:r>
                    <w:rPr>
                      <w:spacing w:val="1"/>
                      <w:sz w:val="20"/>
                      <w:szCs w:val="20"/>
                    </w:rPr>
                    <w:t xml:space="preserve"> </w:t>
                  </w:r>
                  <w:r>
                    <w:rPr>
                      <w:spacing w:val="16"/>
                      <w:sz w:val="20"/>
                      <w:szCs w:val="20"/>
                    </w:rPr>
                    <w:t>容器分类回收；使用防静电设备回</w:t>
                  </w:r>
                  <w:r>
                    <w:rPr>
                      <w:spacing w:val="1"/>
                      <w:sz w:val="20"/>
                      <w:szCs w:val="20"/>
                    </w:rPr>
                    <w:t xml:space="preserve"> </w:t>
                  </w:r>
                  <w:r>
                    <w:rPr>
                      <w:spacing w:val="8"/>
                      <w:sz w:val="20"/>
                      <w:szCs w:val="20"/>
                    </w:rPr>
                    <w:t>收电动汽车空调制冷剂。</w:t>
                  </w:r>
                </w:p>
              </w:tc>
              <w:tc>
                <w:tcPr>
                  <w:tcW w:w="863" w:type="dxa"/>
                  <w:tcBorders>
                    <w:right w:val="nil"/>
                  </w:tcBorders>
                  <w:vAlign w:val="top"/>
                </w:tcPr>
                <w:p w14:paraId="3B883799">
                  <w:pPr>
                    <w:spacing w:line="252" w:lineRule="auto"/>
                    <w:rPr>
                      <w:rFonts w:ascii="Arial"/>
                      <w:sz w:val="21"/>
                    </w:rPr>
                  </w:pPr>
                </w:p>
                <w:p w14:paraId="6101C0CA">
                  <w:pPr>
                    <w:spacing w:line="252" w:lineRule="auto"/>
                    <w:rPr>
                      <w:rFonts w:ascii="Arial"/>
                      <w:sz w:val="21"/>
                    </w:rPr>
                  </w:pPr>
                </w:p>
                <w:p w14:paraId="184AC5B1">
                  <w:pPr>
                    <w:spacing w:line="252" w:lineRule="auto"/>
                    <w:rPr>
                      <w:rFonts w:ascii="Arial"/>
                      <w:sz w:val="21"/>
                    </w:rPr>
                  </w:pPr>
                </w:p>
                <w:p w14:paraId="3497AB72">
                  <w:pPr>
                    <w:spacing w:line="252" w:lineRule="auto"/>
                    <w:rPr>
                      <w:rFonts w:ascii="Arial"/>
                      <w:sz w:val="21"/>
                    </w:rPr>
                  </w:pPr>
                </w:p>
                <w:p w14:paraId="657BA983">
                  <w:pPr>
                    <w:spacing w:line="252" w:lineRule="auto"/>
                    <w:rPr>
                      <w:rFonts w:ascii="Arial"/>
                      <w:sz w:val="21"/>
                    </w:rPr>
                  </w:pPr>
                </w:p>
                <w:p w14:paraId="1F3D6A08">
                  <w:pPr>
                    <w:spacing w:line="252" w:lineRule="auto"/>
                    <w:rPr>
                      <w:rFonts w:ascii="Arial"/>
                      <w:sz w:val="21"/>
                    </w:rPr>
                  </w:pPr>
                </w:p>
                <w:p w14:paraId="2832CD0B">
                  <w:pPr>
                    <w:spacing w:line="253" w:lineRule="auto"/>
                    <w:rPr>
                      <w:rFonts w:ascii="Arial"/>
                      <w:sz w:val="21"/>
                    </w:rPr>
                  </w:pPr>
                </w:p>
                <w:p w14:paraId="2AE3A7AB">
                  <w:pPr>
                    <w:pStyle w:val="6"/>
                    <w:spacing w:before="65" w:line="228" w:lineRule="auto"/>
                    <w:ind w:left="228"/>
                    <w:rPr>
                      <w:sz w:val="20"/>
                      <w:szCs w:val="20"/>
                    </w:rPr>
                  </w:pPr>
                  <w:r>
                    <w:rPr>
                      <w:spacing w:val="3"/>
                      <w:sz w:val="20"/>
                      <w:szCs w:val="20"/>
                    </w:rPr>
                    <w:t>符合</w:t>
                  </w:r>
                </w:p>
              </w:tc>
            </w:tr>
            <w:tr w14:paraId="0E0675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7" w:hRule="atLeast"/>
              </w:trPr>
              <w:tc>
                <w:tcPr>
                  <w:tcW w:w="3893" w:type="dxa"/>
                  <w:tcBorders>
                    <w:left w:val="nil"/>
                  </w:tcBorders>
                  <w:vAlign w:val="top"/>
                </w:tcPr>
                <w:p w14:paraId="706BDF7D">
                  <w:pPr>
                    <w:pStyle w:val="6"/>
                    <w:spacing w:before="89" w:line="228" w:lineRule="auto"/>
                    <w:ind w:left="114"/>
                    <w:rPr>
                      <w:sz w:val="20"/>
                      <w:szCs w:val="20"/>
                    </w:rPr>
                  </w:pPr>
                  <w:r>
                    <w:rPr>
                      <w:rFonts w:ascii="Times New Roman" w:hAnsi="Times New Roman" w:eastAsia="Times New Roman" w:cs="Times New Roman"/>
                      <w:spacing w:val="7"/>
                      <w:sz w:val="20"/>
                      <w:szCs w:val="20"/>
                    </w:rPr>
                    <w:t>7.3.2</w:t>
                  </w:r>
                  <w:r>
                    <w:rPr>
                      <w:spacing w:val="7"/>
                      <w:sz w:val="20"/>
                      <w:szCs w:val="20"/>
                    </w:rPr>
                    <w:t>动力蓄电池拆卸技术要求：</w:t>
                  </w:r>
                </w:p>
                <w:p w14:paraId="56CF68C1">
                  <w:pPr>
                    <w:pStyle w:val="6"/>
                    <w:spacing w:before="72" w:line="280" w:lineRule="auto"/>
                    <w:ind w:left="117" w:right="35" w:hanging="3"/>
                    <w:rPr>
                      <w:sz w:val="20"/>
                      <w:szCs w:val="20"/>
                    </w:rPr>
                  </w:pPr>
                  <w:r>
                    <w:rPr>
                      <w:rFonts w:ascii="Times New Roman" w:hAnsi="Times New Roman" w:eastAsia="Times New Roman" w:cs="Times New Roman"/>
                      <w:spacing w:val="2"/>
                      <w:sz w:val="20"/>
                      <w:szCs w:val="20"/>
                    </w:rPr>
                    <w:t>a</w:t>
                  </w:r>
                  <w:r>
                    <w:rPr>
                      <w:spacing w:val="2"/>
                      <w:sz w:val="20"/>
                      <w:szCs w:val="20"/>
                    </w:rPr>
                    <w:t>）拆卸动力蓄电池阻挡部件，如引擎盖、</w:t>
                  </w:r>
                  <w:r>
                    <w:rPr>
                      <w:spacing w:val="12"/>
                      <w:sz w:val="20"/>
                      <w:szCs w:val="20"/>
                    </w:rPr>
                    <w:t xml:space="preserve"> </w:t>
                  </w:r>
                  <w:r>
                    <w:rPr>
                      <w:spacing w:val="7"/>
                      <w:sz w:val="20"/>
                      <w:szCs w:val="20"/>
                    </w:rPr>
                    <w:t>行李箱盖、车门等；</w:t>
                  </w:r>
                </w:p>
                <w:p w14:paraId="262F807E">
                  <w:pPr>
                    <w:pStyle w:val="6"/>
                    <w:spacing w:before="34" w:line="271" w:lineRule="auto"/>
                    <w:ind w:left="112" w:right="106" w:hanging="6"/>
                    <w:rPr>
                      <w:sz w:val="20"/>
                      <w:szCs w:val="20"/>
                    </w:rPr>
                  </w:pPr>
                  <w:r>
                    <w:rPr>
                      <w:rFonts w:ascii="Times New Roman" w:hAnsi="Times New Roman" w:eastAsia="Times New Roman" w:cs="Times New Roman"/>
                      <w:spacing w:val="7"/>
                      <w:sz w:val="20"/>
                      <w:szCs w:val="20"/>
                    </w:rPr>
                    <w:t>b)</w:t>
                  </w:r>
                  <w:r>
                    <w:rPr>
                      <w:spacing w:val="7"/>
                      <w:sz w:val="20"/>
                      <w:szCs w:val="20"/>
                    </w:rPr>
                    <w:t>断开电压线束</w:t>
                  </w:r>
                  <w:r>
                    <w:rPr>
                      <w:rFonts w:ascii="Times New Roman" w:hAnsi="Times New Roman" w:eastAsia="Times New Roman" w:cs="Times New Roman"/>
                      <w:spacing w:val="7"/>
                      <w:sz w:val="20"/>
                      <w:szCs w:val="20"/>
                    </w:rPr>
                    <w:t>(</w:t>
                  </w:r>
                  <w:r>
                    <w:rPr>
                      <w:spacing w:val="7"/>
                      <w:sz w:val="20"/>
                      <w:szCs w:val="20"/>
                    </w:rPr>
                    <w:t>电缆</w:t>
                  </w:r>
                  <w:r>
                    <w:rPr>
                      <w:rFonts w:ascii="Times New Roman" w:hAnsi="Times New Roman" w:eastAsia="Times New Roman" w:cs="Times New Roman"/>
                      <w:spacing w:val="7"/>
                      <w:sz w:val="20"/>
                      <w:szCs w:val="20"/>
                    </w:rPr>
                    <w:t>)</w:t>
                  </w:r>
                  <w:r>
                    <w:rPr>
                      <w:rFonts w:ascii="Times New Roman" w:hAnsi="Times New Roman" w:eastAsia="Times New Roman" w:cs="Times New Roman"/>
                      <w:spacing w:val="-14"/>
                      <w:sz w:val="20"/>
                      <w:szCs w:val="20"/>
                    </w:rPr>
                    <w:t xml:space="preserve"> </w:t>
                  </w:r>
                  <w:r>
                    <w:rPr>
                      <w:spacing w:val="7"/>
                      <w:sz w:val="20"/>
                      <w:szCs w:val="20"/>
                    </w:rPr>
                    <w:t>，拆卸不同安装位</w:t>
                  </w:r>
                  <w:r>
                    <w:rPr>
                      <w:sz w:val="20"/>
                      <w:szCs w:val="20"/>
                    </w:rPr>
                    <w:t xml:space="preserve"> </w:t>
                  </w:r>
                  <w:r>
                    <w:rPr>
                      <w:spacing w:val="7"/>
                      <w:sz w:val="20"/>
                      <w:szCs w:val="20"/>
                    </w:rPr>
                    <w:t>置的动力蓄电池；</w:t>
                  </w:r>
                </w:p>
                <w:p w14:paraId="16DE4758">
                  <w:pPr>
                    <w:pStyle w:val="6"/>
                    <w:spacing w:before="51" w:line="279" w:lineRule="auto"/>
                    <w:ind w:left="138" w:right="106" w:hanging="25"/>
                    <w:rPr>
                      <w:sz w:val="20"/>
                      <w:szCs w:val="20"/>
                    </w:rPr>
                  </w:pPr>
                  <w:r>
                    <w:rPr>
                      <w:rFonts w:ascii="Times New Roman" w:hAnsi="Times New Roman" w:eastAsia="Times New Roman" w:cs="Times New Roman"/>
                      <w:spacing w:val="10"/>
                      <w:sz w:val="20"/>
                      <w:szCs w:val="20"/>
                    </w:rPr>
                    <w:t>c</w:t>
                  </w:r>
                  <w:r>
                    <w:rPr>
                      <w:spacing w:val="10"/>
                      <w:sz w:val="20"/>
                      <w:szCs w:val="20"/>
                    </w:rPr>
                    <w:t>）收集采用液冷结构方式散热的动力蓄</w:t>
                  </w:r>
                  <w:r>
                    <w:rPr>
                      <w:sz w:val="20"/>
                      <w:szCs w:val="20"/>
                    </w:rPr>
                    <w:t xml:space="preserve"> </w:t>
                  </w:r>
                  <w:r>
                    <w:rPr>
                      <w:spacing w:val="5"/>
                      <w:sz w:val="20"/>
                      <w:szCs w:val="20"/>
                    </w:rPr>
                    <w:t>电池包</w:t>
                  </w:r>
                  <w:r>
                    <w:rPr>
                      <w:rFonts w:ascii="Times New Roman" w:hAnsi="Times New Roman" w:eastAsia="Times New Roman" w:cs="Times New Roman"/>
                      <w:spacing w:val="5"/>
                      <w:sz w:val="20"/>
                      <w:szCs w:val="20"/>
                    </w:rPr>
                    <w:t>(</w:t>
                  </w:r>
                  <w:r>
                    <w:rPr>
                      <w:spacing w:val="5"/>
                      <w:sz w:val="20"/>
                      <w:szCs w:val="20"/>
                    </w:rPr>
                    <w:t>组</w:t>
                  </w:r>
                  <w:r>
                    <w:rPr>
                      <w:rFonts w:ascii="Times New Roman" w:hAnsi="Times New Roman" w:eastAsia="Times New Roman" w:cs="Times New Roman"/>
                      <w:spacing w:val="5"/>
                      <w:sz w:val="20"/>
                      <w:szCs w:val="20"/>
                    </w:rPr>
                    <w:t>)</w:t>
                  </w:r>
                  <w:r>
                    <w:rPr>
                      <w:spacing w:val="5"/>
                      <w:sz w:val="20"/>
                      <w:szCs w:val="20"/>
                    </w:rPr>
                    <w:t>内的冷却液；</w:t>
                  </w:r>
                </w:p>
                <w:p w14:paraId="10531F9A">
                  <w:pPr>
                    <w:pStyle w:val="6"/>
                    <w:spacing w:before="35" w:line="287" w:lineRule="auto"/>
                    <w:ind w:left="115" w:right="54" w:hanging="2"/>
                    <w:jc w:val="both"/>
                    <w:rPr>
                      <w:sz w:val="20"/>
                      <w:szCs w:val="20"/>
                    </w:rPr>
                  </w:pPr>
                  <w:r>
                    <w:rPr>
                      <w:rFonts w:ascii="Times New Roman" w:hAnsi="Times New Roman" w:eastAsia="Times New Roman" w:cs="Times New Roman"/>
                      <w:spacing w:val="5"/>
                      <w:sz w:val="20"/>
                      <w:szCs w:val="20"/>
                    </w:rPr>
                    <w:t>d)</w:t>
                  </w:r>
                  <w:r>
                    <w:rPr>
                      <w:spacing w:val="5"/>
                      <w:sz w:val="20"/>
                      <w:szCs w:val="20"/>
                    </w:rPr>
                    <w:t>对拆卸下的动力蓄电池线束接头，正负</w:t>
                  </w:r>
                  <w:r>
                    <w:rPr>
                      <w:spacing w:val="7"/>
                      <w:sz w:val="20"/>
                      <w:szCs w:val="20"/>
                    </w:rPr>
                    <w:t xml:space="preserve"> </w:t>
                  </w:r>
                  <w:r>
                    <w:rPr>
                      <w:spacing w:val="6"/>
                      <w:sz w:val="20"/>
                      <w:szCs w:val="20"/>
                    </w:rPr>
                    <w:t>极片等外露线束和金属物进行绝缘处理，</w:t>
                  </w:r>
                  <w:r>
                    <w:rPr>
                      <w:spacing w:val="10"/>
                      <w:sz w:val="20"/>
                      <w:szCs w:val="20"/>
                    </w:rPr>
                    <w:t xml:space="preserve"> </w:t>
                  </w:r>
                  <w:r>
                    <w:rPr>
                      <w:spacing w:val="3"/>
                      <w:sz w:val="20"/>
                      <w:szCs w:val="20"/>
                    </w:rPr>
                    <w:t>并在其明显位置处贴上标签，标明绝缘状</w:t>
                  </w:r>
                  <w:r>
                    <w:rPr>
                      <w:spacing w:val="12"/>
                      <w:sz w:val="20"/>
                      <w:szCs w:val="20"/>
                    </w:rPr>
                    <w:t xml:space="preserve"> </w:t>
                  </w:r>
                  <w:r>
                    <w:rPr>
                      <w:spacing w:val="-1"/>
                      <w:sz w:val="20"/>
                      <w:szCs w:val="20"/>
                    </w:rPr>
                    <w:t>况；</w:t>
                  </w:r>
                </w:p>
                <w:p w14:paraId="776D24CF">
                  <w:pPr>
                    <w:pStyle w:val="6"/>
                    <w:spacing w:before="37" w:line="248" w:lineRule="auto"/>
                    <w:ind w:left="126" w:right="106" w:hanging="12"/>
                    <w:rPr>
                      <w:sz w:val="20"/>
                      <w:szCs w:val="20"/>
                    </w:rPr>
                  </w:pPr>
                  <w:r>
                    <w:rPr>
                      <w:rFonts w:ascii="Times New Roman" w:hAnsi="Times New Roman" w:eastAsia="Times New Roman" w:cs="Times New Roman"/>
                      <w:spacing w:val="5"/>
                      <w:sz w:val="20"/>
                      <w:szCs w:val="20"/>
                    </w:rPr>
                    <w:t>e)</w:t>
                  </w:r>
                  <w:r>
                    <w:rPr>
                      <w:spacing w:val="5"/>
                      <w:sz w:val="20"/>
                      <w:szCs w:val="20"/>
                    </w:rPr>
                    <w:t>收集驱动电机总成内残余冷却液后，拆</w:t>
                  </w:r>
                  <w:r>
                    <w:rPr>
                      <w:spacing w:val="17"/>
                      <w:sz w:val="20"/>
                      <w:szCs w:val="20"/>
                    </w:rPr>
                    <w:t xml:space="preserve"> </w:t>
                  </w:r>
                  <w:r>
                    <w:rPr>
                      <w:spacing w:val="4"/>
                      <w:sz w:val="20"/>
                      <w:szCs w:val="20"/>
                    </w:rPr>
                    <w:t>除驱动电机。</w:t>
                  </w:r>
                </w:p>
              </w:tc>
              <w:tc>
                <w:tcPr>
                  <w:tcW w:w="3466" w:type="dxa"/>
                  <w:vAlign w:val="top"/>
                </w:tcPr>
                <w:p w14:paraId="4553AC5D">
                  <w:pPr>
                    <w:spacing w:line="283" w:lineRule="auto"/>
                    <w:rPr>
                      <w:rFonts w:ascii="Arial"/>
                      <w:sz w:val="21"/>
                    </w:rPr>
                  </w:pPr>
                </w:p>
                <w:p w14:paraId="4867ECDC">
                  <w:pPr>
                    <w:spacing w:line="283" w:lineRule="auto"/>
                    <w:rPr>
                      <w:rFonts w:ascii="Arial"/>
                      <w:sz w:val="21"/>
                    </w:rPr>
                  </w:pPr>
                </w:p>
                <w:p w14:paraId="7A1BAFAF">
                  <w:pPr>
                    <w:spacing w:line="284" w:lineRule="auto"/>
                    <w:rPr>
                      <w:rFonts w:ascii="Arial"/>
                      <w:sz w:val="21"/>
                    </w:rPr>
                  </w:pPr>
                </w:p>
                <w:p w14:paraId="3F08706E">
                  <w:pPr>
                    <w:spacing w:line="284" w:lineRule="auto"/>
                    <w:rPr>
                      <w:rFonts w:ascii="Arial"/>
                      <w:sz w:val="21"/>
                    </w:rPr>
                  </w:pPr>
                </w:p>
                <w:p w14:paraId="6472A4C2">
                  <w:pPr>
                    <w:pStyle w:val="6"/>
                    <w:spacing w:before="65" w:line="291" w:lineRule="auto"/>
                    <w:ind w:left="112" w:right="104"/>
                    <w:rPr>
                      <w:sz w:val="20"/>
                      <w:szCs w:val="20"/>
                    </w:rPr>
                  </w:pPr>
                  <w:r>
                    <w:rPr>
                      <w:spacing w:val="16"/>
                      <w:sz w:val="20"/>
                      <w:szCs w:val="20"/>
                    </w:rPr>
                    <w:t>报废农业机械与其他废弃物分开储</w:t>
                  </w:r>
                  <w:r>
                    <w:rPr>
                      <w:spacing w:val="2"/>
                      <w:sz w:val="20"/>
                      <w:szCs w:val="20"/>
                    </w:rPr>
                    <w:t xml:space="preserve"> </w:t>
                  </w:r>
                  <w:r>
                    <w:rPr>
                      <w:spacing w:val="16"/>
                      <w:sz w:val="20"/>
                      <w:szCs w:val="20"/>
                    </w:rPr>
                    <w:t>存，不进行蓄电池的拆卸。动力蓄</w:t>
                  </w:r>
                  <w:r>
                    <w:rPr>
                      <w:sz w:val="20"/>
                      <w:szCs w:val="20"/>
                    </w:rPr>
                    <w:t xml:space="preserve"> </w:t>
                  </w:r>
                  <w:r>
                    <w:rPr>
                      <w:spacing w:val="16"/>
                      <w:sz w:val="20"/>
                      <w:szCs w:val="20"/>
                    </w:rPr>
                    <w:t>电池在农机上拆解后，直接暂存在</w:t>
                  </w:r>
                  <w:r>
                    <w:rPr>
                      <w:spacing w:val="1"/>
                      <w:sz w:val="20"/>
                      <w:szCs w:val="20"/>
                    </w:rPr>
                    <w:t xml:space="preserve"> </w:t>
                  </w:r>
                  <w:r>
                    <w:rPr>
                      <w:spacing w:val="20"/>
                      <w:sz w:val="20"/>
                      <w:szCs w:val="20"/>
                    </w:rPr>
                    <w:t>危险废物贮存库</w:t>
                  </w:r>
                  <w:r>
                    <w:rPr>
                      <w:rFonts w:ascii="Times New Roman" w:hAnsi="Times New Roman" w:eastAsia="Times New Roman" w:cs="Times New Roman"/>
                      <w:spacing w:val="20"/>
                      <w:sz w:val="20"/>
                      <w:szCs w:val="20"/>
                    </w:rPr>
                    <w:t>2#</w:t>
                  </w:r>
                  <w:r>
                    <w:rPr>
                      <w:rFonts w:ascii="Times New Roman" w:hAnsi="Times New Roman" w:eastAsia="Times New Roman" w:cs="Times New Roman"/>
                      <w:spacing w:val="-11"/>
                      <w:sz w:val="20"/>
                      <w:szCs w:val="20"/>
                    </w:rPr>
                    <w:t xml:space="preserve"> </w:t>
                  </w:r>
                  <w:r>
                    <w:rPr>
                      <w:spacing w:val="20"/>
                      <w:sz w:val="20"/>
                      <w:szCs w:val="20"/>
                    </w:rPr>
                    <w:t>废蓄</w:t>
                  </w:r>
                  <w:r>
                    <w:rPr>
                      <w:spacing w:val="-41"/>
                      <w:sz w:val="20"/>
                      <w:szCs w:val="20"/>
                    </w:rPr>
                    <w:t xml:space="preserve"> </w:t>
                  </w:r>
                  <w:r>
                    <w:rPr>
                      <w:spacing w:val="20"/>
                      <w:sz w:val="20"/>
                      <w:szCs w:val="20"/>
                    </w:rPr>
                    <w:t>电池</w:t>
                  </w:r>
                  <w:r>
                    <w:rPr>
                      <w:spacing w:val="-59"/>
                      <w:sz w:val="20"/>
                      <w:szCs w:val="20"/>
                    </w:rPr>
                    <w:t xml:space="preserve"> </w:t>
                  </w:r>
                  <w:r>
                    <w:rPr>
                      <w:spacing w:val="20"/>
                      <w:sz w:val="20"/>
                      <w:szCs w:val="20"/>
                    </w:rPr>
                    <w:t>暂存</w:t>
                  </w:r>
                  <w:r>
                    <w:rPr>
                      <w:sz w:val="20"/>
                      <w:szCs w:val="20"/>
                    </w:rPr>
                    <w:t xml:space="preserve"> </w:t>
                  </w:r>
                  <w:r>
                    <w:rPr>
                      <w:spacing w:val="16"/>
                      <w:sz w:val="20"/>
                      <w:szCs w:val="20"/>
                    </w:rPr>
                    <w:t>区，定期由有资质单位进行处置，</w:t>
                  </w:r>
                  <w:r>
                    <w:rPr>
                      <w:spacing w:val="1"/>
                      <w:sz w:val="20"/>
                      <w:szCs w:val="20"/>
                    </w:rPr>
                    <w:t xml:space="preserve"> </w:t>
                  </w:r>
                  <w:r>
                    <w:rPr>
                      <w:spacing w:val="7"/>
                      <w:sz w:val="20"/>
                      <w:szCs w:val="20"/>
                    </w:rPr>
                    <w:t>不做进一步拆解。</w:t>
                  </w:r>
                </w:p>
              </w:tc>
              <w:tc>
                <w:tcPr>
                  <w:tcW w:w="863" w:type="dxa"/>
                  <w:tcBorders>
                    <w:right w:val="nil"/>
                  </w:tcBorders>
                  <w:vAlign w:val="top"/>
                </w:tcPr>
                <w:p w14:paraId="5A5AB0F3">
                  <w:pPr>
                    <w:spacing w:line="241" w:lineRule="auto"/>
                    <w:rPr>
                      <w:rFonts w:ascii="Arial"/>
                      <w:sz w:val="21"/>
                    </w:rPr>
                  </w:pPr>
                </w:p>
                <w:p w14:paraId="7949D77E">
                  <w:pPr>
                    <w:spacing w:line="241" w:lineRule="auto"/>
                    <w:rPr>
                      <w:rFonts w:ascii="Arial"/>
                      <w:sz w:val="21"/>
                    </w:rPr>
                  </w:pPr>
                </w:p>
                <w:p w14:paraId="1F5E6A08">
                  <w:pPr>
                    <w:spacing w:line="241" w:lineRule="auto"/>
                    <w:rPr>
                      <w:rFonts w:ascii="Arial"/>
                      <w:sz w:val="21"/>
                    </w:rPr>
                  </w:pPr>
                </w:p>
                <w:p w14:paraId="6603D0AD">
                  <w:pPr>
                    <w:spacing w:line="241" w:lineRule="auto"/>
                    <w:rPr>
                      <w:rFonts w:ascii="Arial"/>
                      <w:sz w:val="21"/>
                    </w:rPr>
                  </w:pPr>
                </w:p>
                <w:p w14:paraId="0B885F04">
                  <w:pPr>
                    <w:spacing w:line="242" w:lineRule="auto"/>
                    <w:rPr>
                      <w:rFonts w:ascii="Arial"/>
                      <w:sz w:val="21"/>
                    </w:rPr>
                  </w:pPr>
                </w:p>
                <w:p w14:paraId="5EC75E9C">
                  <w:pPr>
                    <w:spacing w:line="242" w:lineRule="auto"/>
                    <w:rPr>
                      <w:rFonts w:ascii="Arial"/>
                      <w:sz w:val="21"/>
                    </w:rPr>
                  </w:pPr>
                </w:p>
                <w:p w14:paraId="11199261">
                  <w:pPr>
                    <w:spacing w:line="242" w:lineRule="auto"/>
                    <w:rPr>
                      <w:rFonts w:ascii="Arial"/>
                      <w:sz w:val="21"/>
                    </w:rPr>
                  </w:pPr>
                </w:p>
                <w:p w14:paraId="6CC430B9">
                  <w:pPr>
                    <w:spacing w:line="242" w:lineRule="auto"/>
                    <w:rPr>
                      <w:rFonts w:ascii="Arial"/>
                      <w:sz w:val="21"/>
                    </w:rPr>
                  </w:pPr>
                </w:p>
                <w:p w14:paraId="4CB6D2C9">
                  <w:pPr>
                    <w:pStyle w:val="6"/>
                    <w:spacing w:before="65" w:line="228" w:lineRule="auto"/>
                    <w:ind w:left="228"/>
                    <w:rPr>
                      <w:sz w:val="20"/>
                      <w:szCs w:val="20"/>
                    </w:rPr>
                  </w:pPr>
                  <w:r>
                    <w:rPr>
                      <w:spacing w:val="3"/>
                      <w:sz w:val="20"/>
                      <w:szCs w:val="20"/>
                    </w:rPr>
                    <w:t>符合</w:t>
                  </w:r>
                </w:p>
              </w:tc>
            </w:tr>
            <w:tr w14:paraId="54EB7F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64" w:hRule="atLeast"/>
              </w:trPr>
              <w:tc>
                <w:tcPr>
                  <w:tcW w:w="3893" w:type="dxa"/>
                  <w:tcBorders>
                    <w:left w:val="nil"/>
                    <w:bottom w:val="single" w:color="000000" w:sz="10" w:space="0"/>
                  </w:tcBorders>
                  <w:vAlign w:val="top"/>
                </w:tcPr>
                <w:p w14:paraId="4A323698">
                  <w:pPr>
                    <w:pStyle w:val="6"/>
                    <w:spacing w:before="96" w:line="228" w:lineRule="auto"/>
                    <w:ind w:left="119"/>
                    <w:rPr>
                      <w:sz w:val="20"/>
                      <w:szCs w:val="20"/>
                    </w:rPr>
                  </w:pPr>
                  <w:r>
                    <w:rPr>
                      <w:rFonts w:ascii="Times New Roman" w:hAnsi="Times New Roman" w:eastAsia="Times New Roman" w:cs="Times New Roman"/>
                      <w:spacing w:val="7"/>
                      <w:sz w:val="20"/>
                      <w:szCs w:val="20"/>
                    </w:rPr>
                    <w:t>8</w:t>
                  </w:r>
                  <w:r>
                    <w:rPr>
                      <w:spacing w:val="7"/>
                      <w:sz w:val="20"/>
                      <w:szCs w:val="20"/>
                    </w:rPr>
                    <w:t>企业执行时间要求</w:t>
                  </w:r>
                </w:p>
                <w:p w14:paraId="65FF3738">
                  <w:pPr>
                    <w:pStyle w:val="6"/>
                    <w:spacing w:before="74" w:line="285" w:lineRule="auto"/>
                    <w:ind w:left="116" w:right="106" w:firstLine="2"/>
                    <w:jc w:val="both"/>
                    <w:rPr>
                      <w:sz w:val="20"/>
                      <w:szCs w:val="20"/>
                    </w:rPr>
                  </w:pPr>
                  <w:r>
                    <w:rPr>
                      <w:rFonts w:ascii="Times New Roman" w:hAnsi="Times New Roman" w:eastAsia="Times New Roman" w:cs="Times New Roman"/>
                      <w:spacing w:val="9"/>
                      <w:sz w:val="20"/>
                      <w:szCs w:val="20"/>
                    </w:rPr>
                    <w:t>8.</w:t>
                  </w:r>
                  <w:r>
                    <w:rPr>
                      <w:rFonts w:ascii="Times New Roman" w:hAnsi="Times New Roman" w:eastAsia="Times New Roman" w:cs="Times New Roman"/>
                      <w:spacing w:val="-8"/>
                      <w:sz w:val="20"/>
                      <w:szCs w:val="20"/>
                    </w:rPr>
                    <w:t xml:space="preserve"> </w:t>
                  </w:r>
                  <w:r>
                    <w:rPr>
                      <w:rFonts w:ascii="Times New Roman" w:hAnsi="Times New Roman" w:eastAsia="Times New Roman" w:cs="Times New Roman"/>
                      <w:spacing w:val="9"/>
                      <w:sz w:val="20"/>
                      <w:szCs w:val="20"/>
                    </w:rPr>
                    <w:t>1</w:t>
                  </w:r>
                  <w:r>
                    <w:rPr>
                      <w:spacing w:val="9"/>
                      <w:sz w:val="20"/>
                      <w:szCs w:val="20"/>
                    </w:rPr>
                    <w:t>本标准实施之日前未取得报废机动车</w:t>
                  </w:r>
                  <w:r>
                    <w:rPr>
                      <w:sz w:val="20"/>
                      <w:szCs w:val="20"/>
                    </w:rPr>
                    <w:t xml:space="preserve"> </w:t>
                  </w:r>
                  <w:r>
                    <w:rPr>
                      <w:spacing w:val="3"/>
                      <w:sz w:val="20"/>
                      <w:szCs w:val="20"/>
                    </w:rPr>
                    <w:t>回收拆解资质认定的企业，自本标准实施</w:t>
                  </w:r>
                  <w:r>
                    <w:rPr>
                      <w:spacing w:val="12"/>
                      <w:sz w:val="20"/>
                      <w:szCs w:val="20"/>
                    </w:rPr>
                    <w:t xml:space="preserve"> </w:t>
                  </w:r>
                  <w:r>
                    <w:rPr>
                      <w:spacing w:val="7"/>
                      <w:sz w:val="20"/>
                      <w:szCs w:val="20"/>
                    </w:rPr>
                    <w:t>之日起开始执行。</w:t>
                  </w:r>
                </w:p>
                <w:p w14:paraId="3242EBE9">
                  <w:pPr>
                    <w:pStyle w:val="6"/>
                    <w:spacing w:before="35" w:line="269" w:lineRule="auto"/>
                    <w:ind w:left="114" w:right="106" w:firstLine="5"/>
                    <w:jc w:val="both"/>
                    <w:rPr>
                      <w:sz w:val="20"/>
                      <w:szCs w:val="20"/>
                    </w:rPr>
                  </w:pPr>
                  <w:r>
                    <w:rPr>
                      <w:rFonts w:ascii="Times New Roman" w:hAnsi="Times New Roman" w:eastAsia="Times New Roman" w:cs="Times New Roman"/>
                      <w:spacing w:val="11"/>
                      <w:sz w:val="20"/>
                      <w:szCs w:val="20"/>
                    </w:rPr>
                    <w:t>8.2</w:t>
                  </w:r>
                  <w:r>
                    <w:rPr>
                      <w:spacing w:val="11"/>
                      <w:sz w:val="20"/>
                      <w:szCs w:val="20"/>
                    </w:rPr>
                    <w:t>本标准实施之日前已经取得报废机动</w:t>
                  </w:r>
                  <w:r>
                    <w:rPr>
                      <w:spacing w:val="4"/>
                      <w:sz w:val="20"/>
                      <w:szCs w:val="20"/>
                    </w:rPr>
                    <w:t xml:space="preserve"> </w:t>
                  </w:r>
                  <w:r>
                    <w:rPr>
                      <w:spacing w:val="3"/>
                      <w:sz w:val="20"/>
                      <w:szCs w:val="20"/>
                    </w:rPr>
                    <w:t>车回收拆解资质认定的企业，自本标准实</w:t>
                  </w:r>
                  <w:r>
                    <w:rPr>
                      <w:spacing w:val="14"/>
                      <w:sz w:val="20"/>
                      <w:szCs w:val="20"/>
                    </w:rPr>
                    <w:t xml:space="preserve"> </w:t>
                  </w:r>
                  <w:r>
                    <w:rPr>
                      <w:spacing w:val="7"/>
                      <w:sz w:val="20"/>
                      <w:szCs w:val="20"/>
                    </w:rPr>
                    <w:t>施之日起第</w:t>
                  </w:r>
                  <w:r>
                    <w:rPr>
                      <w:rFonts w:ascii="Times New Roman" w:hAnsi="Times New Roman" w:eastAsia="Times New Roman" w:cs="Times New Roman"/>
                      <w:spacing w:val="7"/>
                      <w:sz w:val="20"/>
                      <w:szCs w:val="20"/>
                    </w:rPr>
                    <w:t>13</w:t>
                  </w:r>
                  <w:r>
                    <w:rPr>
                      <w:spacing w:val="7"/>
                      <w:sz w:val="20"/>
                      <w:szCs w:val="20"/>
                    </w:rPr>
                    <w:t>个月执行。</w:t>
                  </w:r>
                </w:p>
              </w:tc>
              <w:tc>
                <w:tcPr>
                  <w:tcW w:w="3466" w:type="dxa"/>
                  <w:tcBorders>
                    <w:bottom w:val="single" w:color="000000" w:sz="10" w:space="0"/>
                  </w:tcBorders>
                  <w:vAlign w:val="top"/>
                </w:tcPr>
                <w:p w14:paraId="2A855BB4">
                  <w:pPr>
                    <w:spacing w:line="246" w:lineRule="auto"/>
                    <w:rPr>
                      <w:rFonts w:ascii="Arial"/>
                      <w:sz w:val="21"/>
                    </w:rPr>
                  </w:pPr>
                </w:p>
                <w:p w14:paraId="315B14EF">
                  <w:pPr>
                    <w:spacing w:line="246" w:lineRule="auto"/>
                    <w:rPr>
                      <w:rFonts w:ascii="Arial"/>
                      <w:sz w:val="21"/>
                    </w:rPr>
                  </w:pPr>
                </w:p>
                <w:p w14:paraId="42EE356F">
                  <w:pPr>
                    <w:spacing w:line="246" w:lineRule="auto"/>
                    <w:rPr>
                      <w:rFonts w:ascii="Arial"/>
                      <w:sz w:val="21"/>
                    </w:rPr>
                  </w:pPr>
                </w:p>
                <w:p w14:paraId="2A2500B7">
                  <w:pPr>
                    <w:spacing w:line="247" w:lineRule="auto"/>
                    <w:rPr>
                      <w:rFonts w:ascii="Arial"/>
                      <w:sz w:val="21"/>
                    </w:rPr>
                  </w:pPr>
                </w:p>
                <w:p w14:paraId="2A4988F0">
                  <w:pPr>
                    <w:pStyle w:val="6"/>
                    <w:spacing w:before="65" w:line="227" w:lineRule="auto"/>
                    <w:ind w:left="115"/>
                    <w:rPr>
                      <w:sz w:val="20"/>
                      <w:szCs w:val="20"/>
                    </w:rPr>
                  </w:pPr>
                  <w:r>
                    <w:rPr>
                      <w:spacing w:val="7"/>
                      <w:sz w:val="20"/>
                      <w:szCs w:val="20"/>
                    </w:rPr>
                    <w:t>本项目执行</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22128</w:t>
                  </w:r>
                  <w:r>
                    <w:rPr>
                      <w:spacing w:val="7"/>
                      <w:sz w:val="20"/>
                      <w:szCs w:val="20"/>
                    </w:rPr>
                    <w:t>相应内容。</w:t>
                  </w:r>
                </w:p>
              </w:tc>
              <w:tc>
                <w:tcPr>
                  <w:tcW w:w="863" w:type="dxa"/>
                  <w:tcBorders>
                    <w:bottom w:val="single" w:color="000000" w:sz="10" w:space="0"/>
                    <w:right w:val="nil"/>
                  </w:tcBorders>
                  <w:vAlign w:val="top"/>
                </w:tcPr>
                <w:p w14:paraId="4DEFF875">
                  <w:pPr>
                    <w:spacing w:line="246" w:lineRule="auto"/>
                    <w:rPr>
                      <w:rFonts w:ascii="Arial"/>
                      <w:sz w:val="21"/>
                    </w:rPr>
                  </w:pPr>
                </w:p>
                <w:p w14:paraId="1CEF3A95">
                  <w:pPr>
                    <w:spacing w:line="246" w:lineRule="auto"/>
                    <w:rPr>
                      <w:rFonts w:ascii="Arial"/>
                      <w:sz w:val="21"/>
                    </w:rPr>
                  </w:pPr>
                </w:p>
                <w:p w14:paraId="0CAF6AB6">
                  <w:pPr>
                    <w:spacing w:line="246" w:lineRule="auto"/>
                    <w:rPr>
                      <w:rFonts w:ascii="Arial"/>
                      <w:sz w:val="21"/>
                    </w:rPr>
                  </w:pPr>
                </w:p>
                <w:p w14:paraId="6650CD55">
                  <w:pPr>
                    <w:spacing w:line="247" w:lineRule="auto"/>
                    <w:rPr>
                      <w:rFonts w:ascii="Arial"/>
                      <w:sz w:val="21"/>
                    </w:rPr>
                  </w:pPr>
                </w:p>
                <w:p w14:paraId="2D2E05A7">
                  <w:pPr>
                    <w:pStyle w:val="6"/>
                    <w:spacing w:before="65" w:line="228" w:lineRule="auto"/>
                    <w:ind w:left="115"/>
                    <w:rPr>
                      <w:sz w:val="20"/>
                      <w:szCs w:val="20"/>
                    </w:rPr>
                  </w:pPr>
                  <w:r>
                    <w:rPr>
                      <w:spacing w:val="3"/>
                      <w:sz w:val="20"/>
                      <w:szCs w:val="20"/>
                    </w:rPr>
                    <w:t>符合</w:t>
                  </w:r>
                </w:p>
              </w:tc>
            </w:tr>
          </w:tbl>
          <w:p w14:paraId="40029F80">
            <w:pPr>
              <w:pStyle w:val="6"/>
              <w:spacing w:before="115" w:line="324" w:lineRule="auto"/>
              <w:ind w:left="125" w:firstLine="460"/>
            </w:pPr>
            <w:r>
              <w:rPr>
                <w:spacing w:val="-4"/>
              </w:rPr>
              <w:t>综上，本项目符合《报废机动车回收拆解企业技术规范》（</w:t>
            </w:r>
            <w:r>
              <w:rPr>
                <w:rFonts w:ascii="Times New Roman" w:hAnsi="Times New Roman" w:eastAsia="Times New Roman" w:cs="Times New Roman"/>
                <w:spacing w:val="-4"/>
              </w:rPr>
              <w:t>GB22128-2019</w:t>
            </w:r>
            <w:r>
              <w:rPr>
                <w:spacing w:val="-4"/>
              </w:rPr>
              <w:t>）</w:t>
            </w:r>
            <w:r>
              <w:rPr>
                <w:spacing w:val="9"/>
              </w:rPr>
              <w:t xml:space="preserve"> </w:t>
            </w:r>
            <w:r>
              <w:rPr>
                <w:spacing w:val="-3"/>
              </w:rPr>
              <w:t>中强制性条款的相关要求。</w:t>
            </w:r>
          </w:p>
        </w:tc>
      </w:tr>
    </w:tbl>
    <w:p w14:paraId="37A3361D">
      <w:pPr>
        <w:pStyle w:val="2"/>
      </w:pPr>
    </w:p>
    <w:p w14:paraId="0BFF4612">
      <w:pPr>
        <w:sectPr>
          <w:footerReference r:id="rId31"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1337B524">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88" w:hRule="atLeast"/>
        </w:trPr>
        <w:tc>
          <w:tcPr>
            <w:tcW w:w="494" w:type="dxa"/>
            <w:tcBorders>
              <w:right w:val="single" w:color="000000" w:sz="2" w:space="0"/>
            </w:tcBorders>
            <w:vAlign w:val="top"/>
          </w:tcPr>
          <w:p w14:paraId="47E42C70">
            <w:pPr>
              <w:rPr>
                <w:rFonts w:ascii="Arial"/>
                <w:sz w:val="21"/>
              </w:rPr>
            </w:pPr>
          </w:p>
        </w:tc>
        <w:tc>
          <w:tcPr>
            <w:tcW w:w="8428" w:type="dxa"/>
            <w:tcBorders>
              <w:left w:val="single" w:color="000000" w:sz="2" w:space="0"/>
            </w:tcBorders>
            <w:vAlign w:val="top"/>
          </w:tcPr>
          <w:p w14:paraId="58010C4D">
            <w:pPr>
              <w:pStyle w:val="6"/>
              <w:spacing w:before="100" w:line="219" w:lineRule="auto"/>
              <w:ind w:left="589"/>
            </w:pPr>
            <w:r>
              <w:rPr>
                <w:rFonts w:ascii="Times New Roman" w:hAnsi="Times New Roman" w:eastAsia="Times New Roman" w:cs="Times New Roman"/>
                <w:b/>
                <w:bCs/>
                <w:spacing w:val="-1"/>
              </w:rPr>
              <w:t>11</w:t>
            </w:r>
            <w:r>
              <w:rPr>
                <w:b/>
                <w:bCs/>
                <w:spacing w:val="-1"/>
              </w:rPr>
              <w:t>、与《报废机动车拆解企业污染控制技术规范》（</w:t>
            </w:r>
            <w:r>
              <w:rPr>
                <w:rFonts w:ascii="Times New Roman" w:hAnsi="Times New Roman" w:eastAsia="Times New Roman" w:cs="Times New Roman"/>
                <w:b/>
                <w:bCs/>
                <w:spacing w:val="-1"/>
              </w:rPr>
              <w:t>HJ3</w:t>
            </w:r>
            <w:r>
              <w:rPr>
                <w:rFonts w:ascii="Times New Roman" w:hAnsi="Times New Roman" w:eastAsia="Times New Roman" w:cs="Times New Roman"/>
                <w:b/>
                <w:bCs/>
                <w:spacing w:val="-2"/>
              </w:rPr>
              <w:t>48-2022</w:t>
            </w:r>
            <w:r>
              <w:rPr>
                <w:b/>
                <w:bCs/>
                <w:spacing w:val="-2"/>
              </w:rPr>
              <w:t>）符合性</w:t>
            </w:r>
          </w:p>
          <w:p w14:paraId="785362A2">
            <w:pPr>
              <w:pStyle w:val="6"/>
              <w:spacing w:before="183" w:line="220" w:lineRule="auto"/>
              <w:ind w:left="105"/>
            </w:pPr>
            <w:r>
              <w:rPr>
                <w:b/>
                <w:bCs/>
                <w:spacing w:val="-9"/>
              </w:rPr>
              <w:t>分析</w:t>
            </w:r>
          </w:p>
          <w:p w14:paraId="157C1E05">
            <w:pPr>
              <w:pStyle w:val="6"/>
              <w:spacing w:before="181" w:line="219" w:lineRule="auto"/>
              <w:ind w:left="550"/>
            </w:pPr>
            <w:r>
              <w:rPr>
                <w:b/>
                <w:bCs/>
                <w:spacing w:val="-2"/>
              </w:rPr>
              <w:t>表</w:t>
            </w:r>
            <w:r>
              <w:rPr>
                <w:spacing w:val="-34"/>
              </w:rPr>
              <w:t xml:space="preserve"> </w:t>
            </w:r>
            <w:r>
              <w:rPr>
                <w:rFonts w:ascii="Times New Roman" w:hAnsi="Times New Roman" w:eastAsia="Times New Roman" w:cs="Times New Roman"/>
                <w:b/>
                <w:bCs/>
                <w:spacing w:val="-2"/>
              </w:rPr>
              <w:t xml:space="preserve">1-12 </w:t>
            </w:r>
            <w:r>
              <w:rPr>
                <w:b/>
                <w:bCs/>
                <w:spacing w:val="-2"/>
              </w:rPr>
              <w:t>与《报废机动车拆解企业污染控制技术规范》（</w:t>
            </w:r>
            <w:r>
              <w:rPr>
                <w:rFonts w:ascii="Times New Roman" w:hAnsi="Times New Roman" w:eastAsia="Times New Roman" w:cs="Times New Roman"/>
                <w:b/>
                <w:bCs/>
                <w:spacing w:val="-2"/>
              </w:rPr>
              <w:t>HJ348-2022</w:t>
            </w:r>
            <w:r>
              <w:rPr>
                <w:b/>
                <w:bCs/>
                <w:spacing w:val="-2"/>
              </w:rPr>
              <w:t>）</w:t>
            </w:r>
          </w:p>
          <w:p w14:paraId="1B5A04AE">
            <w:pPr>
              <w:pStyle w:val="6"/>
              <w:spacing w:before="184" w:line="219" w:lineRule="auto"/>
              <w:ind w:left="3611"/>
            </w:pPr>
            <w:r>
              <w:rPr>
                <w:b/>
                <w:bCs/>
                <w:spacing w:val="-4"/>
              </w:rPr>
              <w:t>相符性分析</w:t>
            </w:r>
          </w:p>
          <w:p w14:paraId="7C4807DF">
            <w:pPr>
              <w:spacing w:line="67" w:lineRule="exact"/>
            </w:pPr>
          </w:p>
          <w:tbl>
            <w:tblPr>
              <w:tblStyle w:val="5"/>
              <w:tblW w:w="8222"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893"/>
              <w:gridCol w:w="3466"/>
              <w:gridCol w:w="863"/>
            </w:tblGrid>
            <w:tr w14:paraId="19CE47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3893" w:type="dxa"/>
                  <w:tcBorders>
                    <w:top w:val="single" w:color="000000" w:sz="10" w:space="0"/>
                    <w:left w:val="nil"/>
                  </w:tcBorders>
                  <w:vAlign w:val="top"/>
                </w:tcPr>
                <w:p w14:paraId="5C19BB53">
                  <w:pPr>
                    <w:pStyle w:val="6"/>
                    <w:spacing w:before="241" w:line="229" w:lineRule="auto"/>
                    <w:ind w:left="1534"/>
                    <w:rPr>
                      <w:sz w:val="20"/>
                      <w:szCs w:val="20"/>
                    </w:rPr>
                  </w:pPr>
                  <w:r>
                    <w:rPr>
                      <w:spacing w:val="7"/>
                      <w:sz w:val="20"/>
                      <w:szCs w:val="20"/>
                    </w:rPr>
                    <w:t>规范要求</w:t>
                  </w:r>
                </w:p>
              </w:tc>
              <w:tc>
                <w:tcPr>
                  <w:tcW w:w="3466" w:type="dxa"/>
                  <w:tcBorders>
                    <w:top w:val="single" w:color="000000" w:sz="10" w:space="0"/>
                  </w:tcBorders>
                  <w:vAlign w:val="top"/>
                </w:tcPr>
                <w:p w14:paraId="00A2C21B">
                  <w:pPr>
                    <w:pStyle w:val="6"/>
                    <w:spacing w:before="241" w:line="227" w:lineRule="auto"/>
                    <w:ind w:left="1214"/>
                    <w:rPr>
                      <w:sz w:val="20"/>
                      <w:szCs w:val="20"/>
                    </w:rPr>
                  </w:pPr>
                  <w:r>
                    <w:rPr>
                      <w:spacing w:val="7"/>
                      <w:sz w:val="20"/>
                      <w:szCs w:val="20"/>
                    </w:rPr>
                    <w:t>本项目情况</w:t>
                  </w:r>
                </w:p>
              </w:tc>
              <w:tc>
                <w:tcPr>
                  <w:tcW w:w="863" w:type="dxa"/>
                  <w:tcBorders>
                    <w:top w:val="single" w:color="000000" w:sz="10" w:space="0"/>
                    <w:right w:val="nil"/>
                  </w:tcBorders>
                  <w:vAlign w:val="top"/>
                </w:tcPr>
                <w:p w14:paraId="5D48A280">
                  <w:pPr>
                    <w:pStyle w:val="6"/>
                    <w:spacing w:before="81" w:line="257" w:lineRule="auto"/>
                    <w:ind w:left="122" w:right="118" w:firstLine="2"/>
                    <w:rPr>
                      <w:sz w:val="20"/>
                      <w:szCs w:val="20"/>
                    </w:rPr>
                  </w:pPr>
                  <w:r>
                    <w:rPr>
                      <w:spacing w:val="5"/>
                      <w:sz w:val="20"/>
                      <w:szCs w:val="20"/>
                    </w:rPr>
                    <w:t>是否符</w:t>
                  </w:r>
                  <w:r>
                    <w:rPr>
                      <w:spacing w:val="1"/>
                      <w:sz w:val="20"/>
                      <w:szCs w:val="20"/>
                    </w:rPr>
                    <w:t xml:space="preserve"> </w:t>
                  </w:r>
                  <w:r>
                    <w:rPr>
                      <w:spacing w:val="6"/>
                      <w:sz w:val="20"/>
                      <w:szCs w:val="20"/>
                    </w:rPr>
                    <w:t>合要求</w:t>
                  </w:r>
                </w:p>
              </w:tc>
            </w:tr>
            <w:tr w14:paraId="21134C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516" w:hRule="atLeast"/>
              </w:trPr>
              <w:tc>
                <w:tcPr>
                  <w:tcW w:w="3893" w:type="dxa"/>
                  <w:tcBorders>
                    <w:left w:val="nil"/>
                    <w:bottom w:val="single" w:color="000000" w:sz="10" w:space="0"/>
                  </w:tcBorders>
                  <w:vAlign w:val="top"/>
                </w:tcPr>
                <w:p w14:paraId="364ACE41">
                  <w:pPr>
                    <w:pStyle w:val="6"/>
                    <w:spacing w:before="78" w:line="229" w:lineRule="auto"/>
                    <w:ind w:left="110"/>
                    <w:rPr>
                      <w:sz w:val="20"/>
                      <w:szCs w:val="20"/>
                    </w:rPr>
                  </w:pPr>
                  <w:r>
                    <w:rPr>
                      <w:rFonts w:ascii="Times New Roman" w:hAnsi="Times New Roman" w:eastAsia="Times New Roman" w:cs="Times New Roman"/>
                      <w:spacing w:val="8"/>
                      <w:sz w:val="20"/>
                      <w:szCs w:val="20"/>
                    </w:rPr>
                    <w:t>4</w:t>
                  </w:r>
                  <w:r>
                    <w:rPr>
                      <w:spacing w:val="8"/>
                      <w:sz w:val="20"/>
                      <w:szCs w:val="20"/>
                    </w:rPr>
                    <w:t>总体要求</w:t>
                  </w:r>
                </w:p>
                <w:p w14:paraId="4FC4E8D6">
                  <w:pPr>
                    <w:pStyle w:val="6"/>
                    <w:spacing w:before="69" w:line="290" w:lineRule="auto"/>
                    <w:ind w:left="113" w:right="54" w:hanging="3"/>
                    <w:rPr>
                      <w:sz w:val="20"/>
                      <w:szCs w:val="20"/>
                    </w:rPr>
                  </w:pPr>
                  <w:r>
                    <w:rPr>
                      <w:rFonts w:ascii="Times New Roman" w:hAnsi="Times New Roman" w:eastAsia="Times New Roman" w:cs="Times New Roman"/>
                      <w:spacing w:val="7"/>
                      <w:sz w:val="20"/>
                      <w:szCs w:val="20"/>
                    </w:rPr>
                    <w:t>4.</w:t>
                  </w:r>
                  <w:r>
                    <w:rPr>
                      <w:rFonts w:ascii="Times New Roman" w:hAnsi="Times New Roman" w:eastAsia="Times New Roman" w:cs="Times New Roman"/>
                      <w:spacing w:val="-18"/>
                      <w:sz w:val="20"/>
                      <w:szCs w:val="20"/>
                    </w:rPr>
                    <w:t xml:space="preserve"> </w:t>
                  </w:r>
                  <w:r>
                    <w:rPr>
                      <w:rFonts w:ascii="Times New Roman" w:hAnsi="Times New Roman" w:eastAsia="Times New Roman" w:cs="Times New Roman"/>
                      <w:spacing w:val="7"/>
                      <w:sz w:val="20"/>
                      <w:szCs w:val="20"/>
                    </w:rPr>
                    <w:t>1.</w:t>
                  </w:r>
                  <w:r>
                    <w:rPr>
                      <w:spacing w:val="7"/>
                      <w:sz w:val="20"/>
                      <w:szCs w:val="20"/>
                    </w:rPr>
                    <w:t>报废机动车的拆解应遵循减量化、资</w:t>
                  </w:r>
                  <w:r>
                    <w:rPr>
                      <w:sz w:val="20"/>
                      <w:szCs w:val="20"/>
                    </w:rPr>
                    <w:t xml:space="preserve"> </w:t>
                  </w:r>
                  <w:r>
                    <w:rPr>
                      <w:spacing w:val="3"/>
                      <w:sz w:val="20"/>
                      <w:szCs w:val="20"/>
                    </w:rPr>
                    <w:t>源化和无害化的原则。报废机动车回收拆</w:t>
                  </w:r>
                  <w:r>
                    <w:rPr>
                      <w:spacing w:val="14"/>
                      <w:sz w:val="20"/>
                      <w:szCs w:val="20"/>
                    </w:rPr>
                    <w:t xml:space="preserve"> </w:t>
                  </w:r>
                  <w:r>
                    <w:rPr>
                      <w:spacing w:val="3"/>
                      <w:sz w:val="20"/>
                      <w:szCs w:val="20"/>
                    </w:rPr>
                    <w:t>解企业应优先采用资源回收率高、污染物</w:t>
                  </w:r>
                  <w:r>
                    <w:rPr>
                      <w:spacing w:val="14"/>
                      <w:sz w:val="20"/>
                      <w:szCs w:val="20"/>
                    </w:rPr>
                    <w:t xml:space="preserve"> </w:t>
                  </w:r>
                  <w:r>
                    <w:rPr>
                      <w:spacing w:val="6"/>
                      <w:sz w:val="20"/>
                      <w:szCs w:val="20"/>
                    </w:rPr>
                    <w:t>排放量少的工艺和设备，防范二次污染，</w:t>
                  </w:r>
                  <w:r>
                    <w:rPr>
                      <w:spacing w:val="12"/>
                      <w:sz w:val="20"/>
                      <w:szCs w:val="20"/>
                    </w:rPr>
                    <w:t xml:space="preserve"> </w:t>
                  </w:r>
                  <w:r>
                    <w:rPr>
                      <w:spacing w:val="8"/>
                      <w:sz w:val="20"/>
                      <w:szCs w:val="20"/>
                    </w:rPr>
                    <w:t>实现减污降碳协同增效。</w:t>
                  </w:r>
                </w:p>
                <w:p w14:paraId="528C4416">
                  <w:pPr>
                    <w:pStyle w:val="6"/>
                    <w:spacing w:before="31" w:line="289" w:lineRule="auto"/>
                    <w:ind w:left="115" w:right="106" w:hanging="5"/>
                    <w:jc w:val="both"/>
                    <w:rPr>
                      <w:sz w:val="20"/>
                      <w:szCs w:val="20"/>
                    </w:rPr>
                  </w:pPr>
                  <w:r>
                    <w:rPr>
                      <w:rFonts w:ascii="Times New Roman" w:hAnsi="Times New Roman" w:eastAsia="Times New Roman" w:cs="Times New Roman"/>
                      <w:spacing w:val="11"/>
                      <w:sz w:val="20"/>
                      <w:szCs w:val="20"/>
                    </w:rPr>
                    <w:t>4.2</w:t>
                  </w:r>
                  <w:r>
                    <w:rPr>
                      <w:spacing w:val="11"/>
                      <w:sz w:val="20"/>
                      <w:szCs w:val="20"/>
                    </w:rPr>
                    <w:t>报废机动车拆解建设项目选址不应位</w:t>
                  </w:r>
                  <w:r>
                    <w:rPr>
                      <w:spacing w:val="13"/>
                      <w:sz w:val="20"/>
                      <w:szCs w:val="20"/>
                    </w:rPr>
                    <w:t xml:space="preserve"> </w:t>
                  </w:r>
                  <w:r>
                    <w:rPr>
                      <w:spacing w:val="3"/>
                      <w:sz w:val="20"/>
                      <w:szCs w:val="20"/>
                    </w:rPr>
                    <w:t>于国务院和国务院有关主管部门及省、自</w:t>
                  </w:r>
                  <w:r>
                    <w:rPr>
                      <w:spacing w:val="13"/>
                      <w:sz w:val="20"/>
                      <w:szCs w:val="20"/>
                    </w:rPr>
                    <w:t xml:space="preserve"> </w:t>
                  </w:r>
                  <w:r>
                    <w:rPr>
                      <w:spacing w:val="3"/>
                      <w:sz w:val="20"/>
                      <w:szCs w:val="20"/>
                    </w:rPr>
                    <w:t>治区、直辖市人民政府划定的生态保护红</w:t>
                  </w:r>
                  <w:r>
                    <w:rPr>
                      <w:spacing w:val="12"/>
                      <w:sz w:val="20"/>
                      <w:szCs w:val="20"/>
                    </w:rPr>
                    <w:t xml:space="preserve"> </w:t>
                  </w:r>
                  <w:r>
                    <w:rPr>
                      <w:spacing w:val="3"/>
                      <w:sz w:val="20"/>
                      <w:szCs w:val="20"/>
                    </w:rPr>
                    <w:t>线区域、永久基本农田和其他需要特别保</w:t>
                  </w:r>
                  <w:r>
                    <w:rPr>
                      <w:spacing w:val="12"/>
                      <w:sz w:val="20"/>
                      <w:szCs w:val="20"/>
                    </w:rPr>
                    <w:t xml:space="preserve"> </w:t>
                  </w:r>
                  <w:r>
                    <w:rPr>
                      <w:spacing w:val="6"/>
                      <w:sz w:val="20"/>
                      <w:szCs w:val="20"/>
                    </w:rPr>
                    <w:t>护的区域内。</w:t>
                  </w:r>
                </w:p>
                <w:p w14:paraId="1E093D2F">
                  <w:pPr>
                    <w:pStyle w:val="6"/>
                    <w:spacing w:before="33" w:line="280" w:lineRule="auto"/>
                    <w:ind w:left="131" w:right="106" w:hanging="21"/>
                    <w:rPr>
                      <w:sz w:val="20"/>
                      <w:szCs w:val="20"/>
                    </w:rPr>
                  </w:pPr>
                  <w:r>
                    <w:rPr>
                      <w:rFonts w:ascii="Times New Roman" w:hAnsi="Times New Roman" w:eastAsia="Times New Roman" w:cs="Times New Roman"/>
                      <w:spacing w:val="11"/>
                      <w:sz w:val="20"/>
                      <w:szCs w:val="20"/>
                    </w:rPr>
                    <w:t>4.3</w:t>
                  </w:r>
                  <w:r>
                    <w:rPr>
                      <w:spacing w:val="11"/>
                      <w:sz w:val="20"/>
                      <w:szCs w:val="20"/>
                    </w:rPr>
                    <w:t>报废机动车回收拆解企业应具备集中</w:t>
                  </w:r>
                  <w:r>
                    <w:rPr>
                      <w:spacing w:val="13"/>
                      <w:sz w:val="20"/>
                      <w:szCs w:val="20"/>
                    </w:rPr>
                    <w:t xml:space="preserve"> </w:t>
                  </w:r>
                  <w:r>
                    <w:rPr>
                      <w:spacing w:val="7"/>
                      <w:sz w:val="20"/>
                      <w:szCs w:val="20"/>
                    </w:rPr>
                    <w:t>的运营场地，并实行封闭式规范管理。</w:t>
                  </w:r>
                </w:p>
                <w:p w14:paraId="62CE478E">
                  <w:pPr>
                    <w:pStyle w:val="6"/>
                    <w:spacing w:before="29" w:line="292" w:lineRule="auto"/>
                    <w:ind w:left="110" w:right="52"/>
                    <w:rPr>
                      <w:sz w:val="20"/>
                      <w:szCs w:val="20"/>
                    </w:rPr>
                  </w:pPr>
                  <w:r>
                    <w:rPr>
                      <w:rFonts w:ascii="Times New Roman" w:hAnsi="Times New Roman" w:eastAsia="Times New Roman" w:cs="Times New Roman"/>
                      <w:spacing w:val="-1"/>
                      <w:sz w:val="20"/>
                      <w:szCs w:val="20"/>
                    </w:rPr>
                    <w:t>4.4</w:t>
                  </w:r>
                  <w:r>
                    <w:rPr>
                      <w:rFonts w:ascii="Times New Roman" w:hAnsi="Times New Roman" w:eastAsia="Times New Roman" w:cs="Times New Roman"/>
                      <w:sz w:val="20"/>
                      <w:szCs w:val="20"/>
                    </w:rPr>
                    <w:t xml:space="preserve"> </w:t>
                  </w:r>
                  <w:r>
                    <w:rPr>
                      <w:spacing w:val="-1"/>
                      <w:sz w:val="20"/>
                      <w:szCs w:val="20"/>
                    </w:rPr>
                    <w:t>报</w:t>
                  </w:r>
                  <w:r>
                    <w:rPr>
                      <w:spacing w:val="-57"/>
                      <w:sz w:val="20"/>
                      <w:szCs w:val="20"/>
                    </w:rPr>
                    <w:t xml:space="preserve"> </w:t>
                  </w:r>
                  <w:r>
                    <w:rPr>
                      <w:spacing w:val="-1"/>
                      <w:sz w:val="20"/>
                      <w:szCs w:val="20"/>
                    </w:rPr>
                    <w:t>废</w:t>
                  </w:r>
                  <w:r>
                    <w:rPr>
                      <w:spacing w:val="-59"/>
                      <w:sz w:val="20"/>
                      <w:szCs w:val="20"/>
                    </w:rPr>
                    <w:t xml:space="preserve"> </w:t>
                  </w:r>
                  <w:r>
                    <w:rPr>
                      <w:spacing w:val="-1"/>
                      <w:sz w:val="20"/>
                      <w:szCs w:val="20"/>
                    </w:rPr>
                    <w:t>机</w:t>
                  </w:r>
                  <w:r>
                    <w:rPr>
                      <w:spacing w:val="-55"/>
                      <w:sz w:val="20"/>
                      <w:szCs w:val="20"/>
                    </w:rPr>
                    <w:t xml:space="preserve"> </w:t>
                  </w:r>
                  <w:r>
                    <w:rPr>
                      <w:spacing w:val="-1"/>
                      <w:sz w:val="20"/>
                      <w:szCs w:val="20"/>
                    </w:rPr>
                    <w:t>动</w:t>
                  </w:r>
                  <w:r>
                    <w:rPr>
                      <w:spacing w:val="-57"/>
                      <w:sz w:val="20"/>
                      <w:szCs w:val="20"/>
                    </w:rPr>
                    <w:t xml:space="preserve"> </w:t>
                  </w:r>
                  <w:r>
                    <w:rPr>
                      <w:spacing w:val="-1"/>
                      <w:sz w:val="20"/>
                      <w:szCs w:val="20"/>
                    </w:rPr>
                    <w:t>车</w:t>
                  </w:r>
                  <w:r>
                    <w:rPr>
                      <w:spacing w:val="-35"/>
                      <w:sz w:val="20"/>
                      <w:szCs w:val="20"/>
                    </w:rPr>
                    <w:t xml:space="preserve"> </w:t>
                  </w:r>
                  <w:r>
                    <w:rPr>
                      <w:spacing w:val="-1"/>
                      <w:sz w:val="20"/>
                      <w:szCs w:val="20"/>
                    </w:rPr>
                    <w:t>回</w:t>
                  </w:r>
                  <w:r>
                    <w:rPr>
                      <w:spacing w:val="-49"/>
                      <w:sz w:val="20"/>
                      <w:szCs w:val="20"/>
                    </w:rPr>
                    <w:t xml:space="preserve"> </w:t>
                  </w:r>
                  <w:r>
                    <w:rPr>
                      <w:spacing w:val="-1"/>
                      <w:sz w:val="20"/>
                      <w:szCs w:val="20"/>
                    </w:rPr>
                    <w:t>收</w:t>
                  </w:r>
                  <w:r>
                    <w:rPr>
                      <w:spacing w:val="-59"/>
                      <w:sz w:val="20"/>
                      <w:szCs w:val="20"/>
                    </w:rPr>
                    <w:t xml:space="preserve"> </w:t>
                  </w:r>
                  <w:r>
                    <w:rPr>
                      <w:spacing w:val="-1"/>
                      <w:sz w:val="20"/>
                      <w:szCs w:val="20"/>
                    </w:rPr>
                    <w:t>拆</w:t>
                  </w:r>
                  <w:r>
                    <w:rPr>
                      <w:spacing w:val="-57"/>
                      <w:sz w:val="20"/>
                      <w:szCs w:val="20"/>
                    </w:rPr>
                    <w:t xml:space="preserve"> </w:t>
                  </w:r>
                  <w:r>
                    <w:rPr>
                      <w:spacing w:val="-1"/>
                      <w:sz w:val="20"/>
                      <w:szCs w:val="20"/>
                    </w:rPr>
                    <w:t>解</w:t>
                  </w:r>
                  <w:r>
                    <w:rPr>
                      <w:spacing w:val="-55"/>
                      <w:sz w:val="20"/>
                      <w:szCs w:val="20"/>
                    </w:rPr>
                    <w:t xml:space="preserve"> </w:t>
                  </w:r>
                  <w:r>
                    <w:rPr>
                      <w:spacing w:val="-1"/>
                      <w:sz w:val="20"/>
                      <w:szCs w:val="20"/>
                    </w:rPr>
                    <w:t>企</w:t>
                  </w:r>
                  <w:r>
                    <w:rPr>
                      <w:spacing w:val="-57"/>
                      <w:sz w:val="20"/>
                      <w:szCs w:val="20"/>
                    </w:rPr>
                    <w:t xml:space="preserve"> </w:t>
                  </w:r>
                  <w:r>
                    <w:rPr>
                      <w:spacing w:val="-1"/>
                      <w:sz w:val="20"/>
                      <w:szCs w:val="20"/>
                    </w:rPr>
                    <w:t>业</w:t>
                  </w:r>
                  <w:r>
                    <w:rPr>
                      <w:spacing w:val="-56"/>
                      <w:sz w:val="20"/>
                      <w:szCs w:val="20"/>
                    </w:rPr>
                    <w:t xml:space="preserve"> </w:t>
                  </w:r>
                  <w:r>
                    <w:rPr>
                      <w:spacing w:val="-1"/>
                      <w:sz w:val="20"/>
                      <w:szCs w:val="20"/>
                    </w:rPr>
                    <w:t>应</w:t>
                  </w:r>
                  <w:r>
                    <w:rPr>
                      <w:spacing w:val="-58"/>
                      <w:sz w:val="20"/>
                      <w:szCs w:val="20"/>
                    </w:rPr>
                    <w:t xml:space="preserve"> </w:t>
                  </w:r>
                  <w:r>
                    <w:rPr>
                      <w:spacing w:val="-1"/>
                      <w:sz w:val="20"/>
                      <w:szCs w:val="20"/>
                    </w:rPr>
                    <w:t>根</w:t>
                  </w:r>
                  <w:r>
                    <w:rPr>
                      <w:spacing w:val="-57"/>
                      <w:sz w:val="20"/>
                      <w:szCs w:val="20"/>
                    </w:rPr>
                    <w:t xml:space="preserve"> </w:t>
                  </w:r>
                  <w:r>
                    <w:rPr>
                      <w:spacing w:val="-1"/>
                      <w:sz w:val="20"/>
                      <w:szCs w:val="20"/>
                    </w:rPr>
                    <w:t>据</w:t>
                  </w:r>
                  <w:r>
                    <w:rPr>
                      <w:sz w:val="20"/>
                      <w:szCs w:val="20"/>
                    </w:rPr>
                    <w:t xml:space="preserve"> </w:t>
                  </w:r>
                  <w:r>
                    <w:rPr>
                      <w:rFonts w:ascii="Times New Roman" w:hAnsi="Times New Roman" w:eastAsia="Times New Roman" w:cs="Times New Roman"/>
                      <w:sz w:val="20"/>
                      <w:szCs w:val="20"/>
                    </w:rPr>
                    <w:t>HJ</w:t>
                  </w:r>
                  <w:r>
                    <w:rPr>
                      <w:rFonts w:ascii="Times New Roman" w:hAnsi="Times New Roman" w:eastAsia="Times New Roman" w:cs="Times New Roman"/>
                      <w:spacing w:val="4"/>
                      <w:sz w:val="20"/>
                      <w:szCs w:val="20"/>
                    </w:rPr>
                    <w:t>1034</w:t>
                  </w:r>
                  <w:r>
                    <w:rPr>
                      <w:spacing w:val="4"/>
                      <w:sz w:val="20"/>
                      <w:szCs w:val="20"/>
                    </w:rPr>
                    <w:t>、</w:t>
                  </w:r>
                  <w:r>
                    <w:rPr>
                      <w:rFonts w:ascii="Times New Roman" w:hAnsi="Times New Roman" w:eastAsia="Times New Roman" w:cs="Times New Roman"/>
                      <w:sz w:val="20"/>
                      <w:szCs w:val="20"/>
                    </w:rPr>
                    <w:t>HJ</w:t>
                  </w:r>
                  <w:r>
                    <w:rPr>
                      <w:rFonts w:ascii="Times New Roman" w:hAnsi="Times New Roman" w:eastAsia="Times New Roman" w:cs="Times New Roman"/>
                      <w:spacing w:val="4"/>
                      <w:sz w:val="20"/>
                      <w:szCs w:val="20"/>
                    </w:rPr>
                    <w:t>1200</w:t>
                  </w:r>
                  <w:r>
                    <w:rPr>
                      <w:spacing w:val="4"/>
                      <w:sz w:val="20"/>
                      <w:szCs w:val="20"/>
                    </w:rPr>
                    <w:t>等规定取得排污许可证，</w:t>
                  </w:r>
                  <w:r>
                    <w:rPr>
                      <w:spacing w:val="2"/>
                      <w:sz w:val="20"/>
                      <w:szCs w:val="20"/>
                    </w:rPr>
                    <w:t xml:space="preserve"> </w:t>
                  </w:r>
                  <w:r>
                    <w:rPr>
                      <w:spacing w:val="16"/>
                      <w:sz w:val="20"/>
                      <w:szCs w:val="20"/>
                    </w:rPr>
                    <w:t>并按照排污许可证管理要求进行规范排</w:t>
                  </w:r>
                  <w:r>
                    <w:rPr>
                      <w:sz w:val="20"/>
                      <w:szCs w:val="20"/>
                    </w:rPr>
                    <w:t xml:space="preserve"> </w:t>
                  </w:r>
                  <w:r>
                    <w:rPr>
                      <w:spacing w:val="4"/>
                      <w:sz w:val="20"/>
                      <w:szCs w:val="20"/>
                    </w:rPr>
                    <w:t>污。产生的废气、废水、噪声、固体废物</w:t>
                  </w:r>
                  <w:r>
                    <w:rPr>
                      <w:sz w:val="20"/>
                      <w:szCs w:val="20"/>
                    </w:rPr>
                    <w:t xml:space="preserve"> </w:t>
                  </w:r>
                  <w:r>
                    <w:rPr>
                      <w:spacing w:val="16"/>
                      <w:sz w:val="20"/>
                      <w:szCs w:val="20"/>
                    </w:rPr>
                    <w:t>等排放应满足国家和地方的污染物排放</w:t>
                  </w:r>
                  <w:r>
                    <w:rPr>
                      <w:sz w:val="20"/>
                      <w:szCs w:val="20"/>
                    </w:rPr>
                    <w:t xml:space="preserve"> </w:t>
                  </w:r>
                  <w:r>
                    <w:rPr>
                      <w:spacing w:val="4"/>
                      <w:sz w:val="20"/>
                      <w:szCs w:val="20"/>
                    </w:rPr>
                    <w:t>标准与排污许可要求，产生的固体废物应</w:t>
                  </w:r>
                  <w:r>
                    <w:rPr>
                      <w:sz w:val="20"/>
                      <w:szCs w:val="20"/>
                    </w:rPr>
                    <w:t xml:space="preserve"> </w:t>
                  </w:r>
                  <w:r>
                    <w:rPr>
                      <w:spacing w:val="16"/>
                      <w:sz w:val="20"/>
                      <w:szCs w:val="20"/>
                    </w:rPr>
                    <w:t>按照国家有关环境保护规定和标准要求</w:t>
                  </w:r>
                  <w:r>
                    <w:rPr>
                      <w:sz w:val="20"/>
                      <w:szCs w:val="20"/>
                    </w:rPr>
                    <w:t xml:space="preserve"> </w:t>
                  </w:r>
                  <w:r>
                    <w:rPr>
                      <w:spacing w:val="8"/>
                      <w:sz w:val="20"/>
                      <w:szCs w:val="20"/>
                    </w:rPr>
                    <w:t>妥善贮存、利用和处置。</w:t>
                  </w:r>
                </w:p>
                <w:p w14:paraId="290FA9B7">
                  <w:pPr>
                    <w:pStyle w:val="6"/>
                    <w:spacing w:before="30" w:line="289" w:lineRule="auto"/>
                    <w:ind w:left="113" w:right="106" w:hanging="3"/>
                    <w:jc w:val="both"/>
                    <w:rPr>
                      <w:sz w:val="20"/>
                      <w:szCs w:val="20"/>
                    </w:rPr>
                  </w:pPr>
                  <w:r>
                    <w:rPr>
                      <w:rFonts w:ascii="Times New Roman" w:hAnsi="Times New Roman" w:eastAsia="Times New Roman" w:cs="Times New Roman"/>
                      <w:spacing w:val="11"/>
                      <w:sz w:val="20"/>
                      <w:szCs w:val="20"/>
                    </w:rPr>
                    <w:t>4.5</w:t>
                  </w:r>
                  <w:r>
                    <w:rPr>
                      <w:spacing w:val="11"/>
                      <w:sz w:val="20"/>
                      <w:szCs w:val="20"/>
                    </w:rPr>
                    <w:t>报废机动车回收拆解企业应依照《报</w:t>
                  </w:r>
                  <w:r>
                    <w:rPr>
                      <w:spacing w:val="13"/>
                      <w:sz w:val="20"/>
                      <w:szCs w:val="20"/>
                    </w:rPr>
                    <w:t xml:space="preserve"> </w:t>
                  </w:r>
                  <w:r>
                    <w:rPr>
                      <w:spacing w:val="3"/>
                      <w:sz w:val="20"/>
                      <w:szCs w:val="20"/>
                    </w:rPr>
                    <w:t>废机动车回收管理办法实施细则》等相关</w:t>
                  </w:r>
                  <w:r>
                    <w:rPr>
                      <w:spacing w:val="15"/>
                      <w:sz w:val="20"/>
                      <w:szCs w:val="20"/>
                    </w:rPr>
                    <w:t xml:space="preserve"> 要求向机动车生产企业获取报废机动车</w:t>
                  </w:r>
                  <w:r>
                    <w:rPr>
                      <w:spacing w:val="14"/>
                      <w:sz w:val="20"/>
                      <w:szCs w:val="20"/>
                    </w:rPr>
                    <w:t xml:space="preserve"> </w:t>
                  </w:r>
                  <w:r>
                    <w:rPr>
                      <w:spacing w:val="3"/>
                      <w:sz w:val="20"/>
                      <w:szCs w:val="20"/>
                    </w:rPr>
                    <w:t>拆解指导手册等相关技术信息，依规开展</w:t>
                  </w:r>
                  <w:r>
                    <w:rPr>
                      <w:spacing w:val="15"/>
                      <w:sz w:val="20"/>
                      <w:szCs w:val="20"/>
                    </w:rPr>
                    <w:t xml:space="preserve"> </w:t>
                  </w:r>
                  <w:r>
                    <w:rPr>
                      <w:spacing w:val="8"/>
                      <w:sz w:val="20"/>
                      <w:szCs w:val="20"/>
                    </w:rPr>
                    <w:t>报废机动车拆解工作。</w:t>
                  </w:r>
                </w:p>
                <w:p w14:paraId="6DA21F7C">
                  <w:pPr>
                    <w:pStyle w:val="6"/>
                    <w:spacing w:before="38" w:line="291" w:lineRule="auto"/>
                    <w:ind w:left="110"/>
                    <w:rPr>
                      <w:sz w:val="20"/>
                      <w:szCs w:val="20"/>
                    </w:rPr>
                  </w:pPr>
                  <w:r>
                    <w:rPr>
                      <w:rFonts w:ascii="Times New Roman" w:hAnsi="Times New Roman" w:eastAsia="Times New Roman" w:cs="Times New Roman"/>
                      <w:spacing w:val="6"/>
                      <w:sz w:val="20"/>
                      <w:szCs w:val="20"/>
                    </w:rPr>
                    <w:t>4.6</w:t>
                  </w:r>
                  <w:r>
                    <w:rPr>
                      <w:spacing w:val="6"/>
                      <w:sz w:val="20"/>
                      <w:szCs w:val="20"/>
                    </w:rPr>
                    <w:t>报废机动车回收拆解企业应依据等相</w:t>
                  </w:r>
                  <w:r>
                    <w:rPr>
                      <w:spacing w:val="4"/>
                      <w:sz w:val="20"/>
                      <w:szCs w:val="20"/>
                    </w:rPr>
                    <w:t xml:space="preserve">   </w:t>
                  </w:r>
                  <w:r>
                    <w:rPr>
                      <w:spacing w:val="-2"/>
                      <w:sz w:val="20"/>
                      <w:szCs w:val="20"/>
                    </w:rPr>
                    <w:t>关规定开展拆解作业。不应露天拆解报废</w:t>
                  </w:r>
                  <w:r>
                    <w:rPr>
                      <w:spacing w:val="4"/>
                      <w:sz w:val="20"/>
                      <w:szCs w:val="20"/>
                    </w:rPr>
                    <w:t xml:space="preserve">   </w:t>
                  </w:r>
                  <w:r>
                    <w:rPr>
                      <w:spacing w:val="-2"/>
                      <w:sz w:val="20"/>
                      <w:szCs w:val="20"/>
                    </w:rPr>
                    <w:t>机动车，拆解产物不应露天堆放，不应对</w:t>
                  </w:r>
                  <w:r>
                    <w:rPr>
                      <w:spacing w:val="4"/>
                      <w:sz w:val="20"/>
                      <w:szCs w:val="20"/>
                    </w:rPr>
                    <w:t xml:space="preserve">   </w:t>
                  </w:r>
                  <w:r>
                    <w:rPr>
                      <w:spacing w:val="5"/>
                      <w:sz w:val="20"/>
                      <w:szCs w:val="20"/>
                    </w:rPr>
                    <w:t>大气、土壤、地表水和地下水造成污染。</w:t>
                  </w:r>
                  <w:r>
                    <w:rPr>
                      <w:spacing w:val="13"/>
                      <w:sz w:val="20"/>
                      <w:szCs w:val="20"/>
                    </w:rPr>
                    <w:t xml:space="preserve"> </w:t>
                  </w:r>
                  <w:r>
                    <w:rPr>
                      <w:rFonts w:ascii="Times New Roman" w:hAnsi="Times New Roman" w:eastAsia="Times New Roman" w:cs="Times New Roman"/>
                      <w:spacing w:val="6"/>
                      <w:sz w:val="20"/>
                      <w:szCs w:val="20"/>
                    </w:rPr>
                    <w:t>4.7</w:t>
                  </w:r>
                  <w:r>
                    <w:rPr>
                      <w:spacing w:val="6"/>
                      <w:sz w:val="20"/>
                      <w:szCs w:val="20"/>
                    </w:rPr>
                    <w:t>报废机动车回收拆解企业应具备与生</w:t>
                  </w:r>
                  <w:r>
                    <w:rPr>
                      <w:spacing w:val="4"/>
                      <w:sz w:val="20"/>
                      <w:szCs w:val="20"/>
                    </w:rPr>
                    <w:t xml:space="preserve">   </w:t>
                  </w:r>
                  <w:r>
                    <w:rPr>
                      <w:spacing w:val="-2"/>
                      <w:sz w:val="20"/>
                      <w:szCs w:val="20"/>
                    </w:rPr>
                    <w:t>产规模相匹配的环境保护设施，环境保护</w:t>
                  </w:r>
                  <w:r>
                    <w:rPr>
                      <w:spacing w:val="4"/>
                      <w:sz w:val="20"/>
                      <w:szCs w:val="20"/>
                    </w:rPr>
                    <w:t xml:space="preserve">   </w:t>
                  </w:r>
                  <w:r>
                    <w:rPr>
                      <w:spacing w:val="-3"/>
                      <w:sz w:val="20"/>
                      <w:szCs w:val="20"/>
                    </w:rPr>
                    <w:t>设施的设计、施工与运行应遵守“三同时</w:t>
                  </w:r>
                  <w:r>
                    <w:rPr>
                      <w:spacing w:val="-64"/>
                      <w:sz w:val="20"/>
                      <w:szCs w:val="20"/>
                    </w:rPr>
                    <w:t xml:space="preserve"> </w:t>
                  </w:r>
                  <w:r>
                    <w:rPr>
                      <w:spacing w:val="-3"/>
                      <w:sz w:val="20"/>
                      <w:szCs w:val="20"/>
                    </w:rPr>
                    <w:t>”</w:t>
                  </w:r>
                  <w:r>
                    <w:rPr>
                      <w:sz w:val="20"/>
                      <w:szCs w:val="20"/>
                    </w:rPr>
                    <w:t xml:space="preserve"> </w:t>
                  </w:r>
                  <w:r>
                    <w:rPr>
                      <w:spacing w:val="3"/>
                      <w:sz w:val="20"/>
                      <w:szCs w:val="20"/>
                    </w:rPr>
                    <w:t>环境管理制度。</w:t>
                  </w:r>
                </w:p>
                <w:p w14:paraId="16041107">
                  <w:pPr>
                    <w:pStyle w:val="6"/>
                    <w:spacing w:before="32" w:line="256" w:lineRule="auto"/>
                    <w:ind w:left="118" w:right="106" w:hanging="8"/>
                    <w:rPr>
                      <w:sz w:val="20"/>
                      <w:szCs w:val="20"/>
                    </w:rPr>
                  </w:pPr>
                  <w:r>
                    <w:rPr>
                      <w:rFonts w:ascii="Times New Roman" w:hAnsi="Times New Roman" w:eastAsia="Times New Roman" w:cs="Times New Roman"/>
                      <w:spacing w:val="11"/>
                      <w:sz w:val="20"/>
                      <w:szCs w:val="20"/>
                    </w:rPr>
                    <w:t>4.8</w:t>
                  </w:r>
                  <w:r>
                    <w:rPr>
                      <w:spacing w:val="11"/>
                      <w:sz w:val="20"/>
                      <w:szCs w:val="20"/>
                    </w:rPr>
                    <w:t>报废机动车回收拆解及贮存过程除满</w:t>
                  </w:r>
                  <w:r>
                    <w:rPr>
                      <w:spacing w:val="13"/>
                      <w:sz w:val="20"/>
                      <w:szCs w:val="20"/>
                    </w:rPr>
                    <w:t xml:space="preserve"> </w:t>
                  </w:r>
                  <w:r>
                    <w:rPr>
                      <w:spacing w:val="3"/>
                      <w:sz w:val="20"/>
                      <w:szCs w:val="20"/>
                    </w:rPr>
                    <w:t>足环境保护相关要求外，还应符合国家安</w:t>
                  </w:r>
                </w:p>
              </w:tc>
              <w:tc>
                <w:tcPr>
                  <w:tcW w:w="3466" w:type="dxa"/>
                  <w:tcBorders>
                    <w:bottom w:val="single" w:color="000000" w:sz="10" w:space="0"/>
                  </w:tcBorders>
                  <w:vAlign w:val="top"/>
                </w:tcPr>
                <w:p w14:paraId="39B65BE9">
                  <w:pPr>
                    <w:pStyle w:val="6"/>
                    <w:spacing w:before="78" w:line="286" w:lineRule="auto"/>
                    <w:ind w:left="115" w:right="205"/>
                    <w:jc w:val="both"/>
                    <w:rPr>
                      <w:sz w:val="20"/>
                      <w:szCs w:val="20"/>
                    </w:rPr>
                  </w:pPr>
                  <w:r>
                    <w:rPr>
                      <w:spacing w:val="9"/>
                      <w:sz w:val="20"/>
                      <w:szCs w:val="20"/>
                    </w:rPr>
                    <w:t>本项目遵循减量化、资源化和无害</w:t>
                  </w:r>
                  <w:r>
                    <w:rPr>
                      <w:spacing w:val="1"/>
                      <w:sz w:val="20"/>
                      <w:szCs w:val="20"/>
                    </w:rPr>
                    <w:t xml:space="preserve"> </w:t>
                  </w:r>
                  <w:r>
                    <w:rPr>
                      <w:spacing w:val="9"/>
                      <w:sz w:val="20"/>
                      <w:szCs w:val="20"/>
                    </w:rPr>
                    <w:t>化的原则，采用资源回收率高、污</w:t>
                  </w:r>
                  <w:r>
                    <w:rPr>
                      <w:spacing w:val="3"/>
                      <w:sz w:val="20"/>
                      <w:szCs w:val="20"/>
                    </w:rPr>
                    <w:t xml:space="preserve"> </w:t>
                  </w:r>
                  <w:r>
                    <w:rPr>
                      <w:spacing w:val="8"/>
                      <w:sz w:val="20"/>
                      <w:szCs w:val="20"/>
                    </w:rPr>
                    <w:t>染物排放量少的工艺和设备。</w:t>
                  </w:r>
                </w:p>
                <w:p w14:paraId="17AE5B83">
                  <w:pPr>
                    <w:pStyle w:val="6"/>
                    <w:spacing w:before="25" w:line="293" w:lineRule="auto"/>
                    <w:ind w:left="113" w:right="138" w:firstLine="4"/>
                    <w:jc w:val="both"/>
                    <w:rPr>
                      <w:sz w:val="20"/>
                      <w:szCs w:val="20"/>
                    </w:rPr>
                  </w:pPr>
                  <w:r>
                    <w:rPr>
                      <w:spacing w:val="9"/>
                      <w:sz w:val="20"/>
                      <w:szCs w:val="20"/>
                    </w:rPr>
                    <w:t>项目位于黑龙江省大庆市林甸县红</w:t>
                  </w:r>
                  <w:r>
                    <w:rPr>
                      <w:spacing w:val="1"/>
                      <w:sz w:val="20"/>
                      <w:szCs w:val="20"/>
                    </w:rPr>
                    <w:t xml:space="preserve"> </w:t>
                  </w:r>
                  <w:r>
                    <w:rPr>
                      <w:spacing w:val="9"/>
                      <w:sz w:val="20"/>
                      <w:szCs w:val="20"/>
                    </w:rPr>
                    <w:t>旗镇永胜村，该区域既不是饮用水</w:t>
                  </w:r>
                  <w:r>
                    <w:rPr>
                      <w:spacing w:val="5"/>
                      <w:sz w:val="20"/>
                      <w:szCs w:val="20"/>
                    </w:rPr>
                    <w:t xml:space="preserve"> </w:t>
                  </w:r>
                  <w:r>
                    <w:rPr>
                      <w:spacing w:val="9"/>
                      <w:sz w:val="20"/>
                      <w:szCs w:val="20"/>
                    </w:rPr>
                    <w:t>源保护区等经规划确定或县级以上</w:t>
                  </w:r>
                  <w:r>
                    <w:rPr>
                      <w:spacing w:val="5"/>
                      <w:sz w:val="20"/>
                      <w:szCs w:val="20"/>
                    </w:rPr>
                    <w:t xml:space="preserve"> </w:t>
                  </w:r>
                  <w:r>
                    <w:rPr>
                      <w:spacing w:val="9"/>
                      <w:sz w:val="20"/>
                      <w:szCs w:val="20"/>
                    </w:rPr>
                    <w:t>政府批准的需特殊保护地区，也不</w:t>
                  </w:r>
                  <w:r>
                    <w:rPr>
                      <w:spacing w:val="5"/>
                      <w:sz w:val="20"/>
                      <w:szCs w:val="20"/>
                    </w:rPr>
                    <w:t xml:space="preserve"> </w:t>
                  </w:r>
                  <w:r>
                    <w:rPr>
                      <w:spacing w:val="9"/>
                      <w:sz w:val="20"/>
                      <w:szCs w:val="20"/>
                    </w:rPr>
                    <w:t>是严重缺水区、重要湿地等生态敏</w:t>
                  </w:r>
                  <w:r>
                    <w:rPr>
                      <w:spacing w:val="5"/>
                      <w:sz w:val="20"/>
                      <w:szCs w:val="20"/>
                    </w:rPr>
                    <w:t xml:space="preserve"> </w:t>
                  </w:r>
                  <w:r>
                    <w:rPr>
                      <w:spacing w:val="9"/>
                      <w:sz w:val="20"/>
                      <w:szCs w:val="20"/>
                    </w:rPr>
                    <w:t>感与脆弱区，同时也不是文教区及</w:t>
                  </w:r>
                  <w:r>
                    <w:rPr>
                      <w:spacing w:val="5"/>
                      <w:sz w:val="20"/>
                      <w:szCs w:val="20"/>
                    </w:rPr>
                    <w:t xml:space="preserve"> </w:t>
                  </w:r>
                  <w:r>
                    <w:rPr>
                      <w:spacing w:val="9"/>
                      <w:sz w:val="20"/>
                      <w:szCs w:val="20"/>
                    </w:rPr>
                    <w:t>具历史、文化、科学、民族意义的</w:t>
                  </w:r>
                  <w:r>
                    <w:rPr>
                      <w:spacing w:val="5"/>
                      <w:sz w:val="20"/>
                      <w:szCs w:val="20"/>
                    </w:rPr>
                    <w:t xml:space="preserve"> </w:t>
                  </w:r>
                  <w:r>
                    <w:rPr>
                      <w:spacing w:val="9"/>
                      <w:sz w:val="20"/>
                      <w:szCs w:val="20"/>
                    </w:rPr>
                    <w:t>保护区等社会关注区，符合《林甸</w:t>
                  </w:r>
                  <w:r>
                    <w:rPr>
                      <w:spacing w:val="5"/>
                      <w:sz w:val="20"/>
                      <w:szCs w:val="20"/>
                    </w:rPr>
                    <w:t xml:space="preserve"> </w:t>
                  </w:r>
                  <w:r>
                    <w:rPr>
                      <w:spacing w:val="9"/>
                      <w:sz w:val="20"/>
                      <w:szCs w:val="20"/>
                    </w:rPr>
                    <w:t>县红旗镇（含巨浪牧场）国土空间</w:t>
                  </w:r>
                  <w:r>
                    <w:rPr>
                      <w:spacing w:val="5"/>
                      <w:sz w:val="20"/>
                      <w:szCs w:val="20"/>
                    </w:rPr>
                    <w:t xml:space="preserve"> </w:t>
                  </w:r>
                  <w:r>
                    <w:rPr>
                      <w:spacing w:val="7"/>
                      <w:sz w:val="20"/>
                      <w:szCs w:val="20"/>
                    </w:rPr>
                    <w:t>总体规划（</w:t>
                  </w:r>
                  <w:r>
                    <w:rPr>
                      <w:rFonts w:ascii="Times New Roman" w:hAnsi="Times New Roman" w:eastAsia="Times New Roman" w:cs="Times New Roman"/>
                      <w:spacing w:val="7"/>
                      <w:sz w:val="20"/>
                      <w:szCs w:val="20"/>
                    </w:rPr>
                    <w:t>2021-2035</w:t>
                  </w:r>
                  <w:r>
                    <w:rPr>
                      <w:spacing w:val="7"/>
                      <w:sz w:val="20"/>
                      <w:szCs w:val="20"/>
                    </w:rPr>
                    <w:t>年）》国土空</w:t>
                  </w:r>
                  <w:r>
                    <w:rPr>
                      <w:spacing w:val="1"/>
                      <w:sz w:val="20"/>
                      <w:szCs w:val="20"/>
                    </w:rPr>
                    <w:t xml:space="preserve"> </w:t>
                  </w:r>
                  <w:r>
                    <w:rPr>
                      <w:spacing w:val="6"/>
                      <w:sz w:val="20"/>
                      <w:szCs w:val="20"/>
                    </w:rPr>
                    <w:t>间总体规划。</w:t>
                  </w:r>
                </w:p>
                <w:p w14:paraId="5C002D50">
                  <w:pPr>
                    <w:pStyle w:val="6"/>
                    <w:spacing w:before="31" w:line="280" w:lineRule="auto"/>
                    <w:ind w:left="116" w:right="205" w:hanging="1"/>
                    <w:rPr>
                      <w:sz w:val="20"/>
                      <w:szCs w:val="20"/>
                    </w:rPr>
                  </w:pPr>
                  <w:r>
                    <w:rPr>
                      <w:spacing w:val="9"/>
                      <w:sz w:val="20"/>
                      <w:szCs w:val="20"/>
                    </w:rPr>
                    <w:t>本项目具备集中的运营场地，厂房</w:t>
                  </w:r>
                  <w:r>
                    <w:rPr>
                      <w:spacing w:val="3"/>
                      <w:sz w:val="20"/>
                      <w:szCs w:val="20"/>
                    </w:rPr>
                    <w:t xml:space="preserve"> </w:t>
                  </w:r>
                  <w:r>
                    <w:rPr>
                      <w:spacing w:val="6"/>
                      <w:sz w:val="20"/>
                      <w:szCs w:val="20"/>
                    </w:rPr>
                    <w:t>为封闭式管理。</w:t>
                  </w:r>
                </w:p>
                <w:p w14:paraId="470DCF13">
                  <w:pPr>
                    <w:pStyle w:val="6"/>
                    <w:spacing w:before="29" w:line="292" w:lineRule="auto"/>
                    <w:ind w:left="114" w:right="104" w:firstLine="3"/>
                    <w:jc w:val="both"/>
                    <w:rPr>
                      <w:sz w:val="20"/>
                      <w:szCs w:val="20"/>
                    </w:rPr>
                  </w:pPr>
                  <w:r>
                    <w:rPr>
                      <w:spacing w:val="9"/>
                      <w:sz w:val="20"/>
                      <w:szCs w:val="20"/>
                    </w:rPr>
                    <w:t>项目根据</w:t>
                  </w:r>
                  <w:r>
                    <w:rPr>
                      <w:rFonts w:ascii="Times New Roman" w:hAnsi="Times New Roman" w:eastAsia="Times New Roman" w:cs="Times New Roman"/>
                      <w:sz w:val="20"/>
                      <w:szCs w:val="20"/>
                    </w:rPr>
                    <w:t>HJ</w:t>
                  </w:r>
                  <w:r>
                    <w:rPr>
                      <w:rFonts w:ascii="Times New Roman" w:hAnsi="Times New Roman" w:eastAsia="Times New Roman" w:cs="Times New Roman"/>
                      <w:spacing w:val="9"/>
                      <w:sz w:val="20"/>
                      <w:szCs w:val="20"/>
                    </w:rPr>
                    <w:t>1034</w:t>
                  </w:r>
                  <w:r>
                    <w:rPr>
                      <w:rFonts w:ascii="Times New Roman" w:hAnsi="Times New Roman" w:eastAsia="Times New Roman" w:cs="Times New Roman"/>
                      <w:spacing w:val="-13"/>
                      <w:sz w:val="20"/>
                      <w:szCs w:val="20"/>
                    </w:rPr>
                    <w:t xml:space="preserve"> </w:t>
                  </w:r>
                  <w:r>
                    <w:rPr>
                      <w:spacing w:val="9"/>
                      <w:sz w:val="20"/>
                      <w:szCs w:val="20"/>
                    </w:rPr>
                    <w:t>、</w:t>
                  </w:r>
                  <w:r>
                    <w:rPr>
                      <w:rFonts w:ascii="Times New Roman" w:hAnsi="Times New Roman" w:eastAsia="Times New Roman" w:cs="Times New Roman"/>
                      <w:sz w:val="20"/>
                      <w:szCs w:val="20"/>
                    </w:rPr>
                    <w:t>HJ</w:t>
                  </w:r>
                  <w:r>
                    <w:rPr>
                      <w:rFonts w:ascii="Times New Roman" w:hAnsi="Times New Roman" w:eastAsia="Times New Roman" w:cs="Times New Roman"/>
                      <w:spacing w:val="9"/>
                      <w:sz w:val="20"/>
                      <w:szCs w:val="20"/>
                    </w:rPr>
                    <w:t>1200</w:t>
                  </w:r>
                  <w:r>
                    <w:rPr>
                      <w:spacing w:val="9"/>
                      <w:sz w:val="20"/>
                      <w:szCs w:val="20"/>
                    </w:rPr>
                    <w:t>等规定取</w:t>
                  </w:r>
                  <w:r>
                    <w:rPr>
                      <w:sz w:val="20"/>
                      <w:szCs w:val="20"/>
                    </w:rPr>
                    <w:t xml:space="preserve"> </w:t>
                  </w:r>
                  <w:r>
                    <w:rPr>
                      <w:spacing w:val="16"/>
                      <w:sz w:val="20"/>
                      <w:szCs w:val="20"/>
                    </w:rPr>
                    <w:t>得排污许可证，并按照排污许可证</w:t>
                  </w:r>
                  <w:r>
                    <w:rPr>
                      <w:sz w:val="20"/>
                      <w:szCs w:val="20"/>
                    </w:rPr>
                    <w:t xml:space="preserve"> </w:t>
                  </w:r>
                  <w:r>
                    <w:rPr>
                      <w:spacing w:val="16"/>
                      <w:sz w:val="20"/>
                      <w:szCs w:val="20"/>
                    </w:rPr>
                    <w:t>管理要求进行规范排污。产生的废</w:t>
                  </w:r>
                  <w:r>
                    <w:rPr>
                      <w:sz w:val="20"/>
                      <w:szCs w:val="20"/>
                    </w:rPr>
                    <w:t xml:space="preserve"> </w:t>
                  </w:r>
                  <w:r>
                    <w:rPr>
                      <w:spacing w:val="13"/>
                      <w:sz w:val="20"/>
                      <w:szCs w:val="20"/>
                    </w:rPr>
                    <w:t>气、废水、噪声、</w:t>
                  </w:r>
                  <w:r>
                    <w:rPr>
                      <w:spacing w:val="-55"/>
                      <w:sz w:val="20"/>
                      <w:szCs w:val="20"/>
                    </w:rPr>
                    <w:t xml:space="preserve"> </w:t>
                  </w:r>
                  <w:r>
                    <w:rPr>
                      <w:spacing w:val="13"/>
                      <w:sz w:val="20"/>
                      <w:szCs w:val="20"/>
                    </w:rPr>
                    <w:t>固体废物等排放</w:t>
                  </w:r>
                  <w:r>
                    <w:rPr>
                      <w:sz w:val="20"/>
                      <w:szCs w:val="20"/>
                    </w:rPr>
                    <w:t xml:space="preserve"> </w:t>
                  </w:r>
                  <w:r>
                    <w:rPr>
                      <w:spacing w:val="16"/>
                      <w:sz w:val="20"/>
                      <w:szCs w:val="20"/>
                    </w:rPr>
                    <w:t>满足国家和地方的污染物排放标准</w:t>
                  </w:r>
                  <w:r>
                    <w:rPr>
                      <w:sz w:val="20"/>
                      <w:szCs w:val="20"/>
                    </w:rPr>
                    <w:t xml:space="preserve"> </w:t>
                  </w:r>
                  <w:r>
                    <w:rPr>
                      <w:spacing w:val="16"/>
                      <w:sz w:val="20"/>
                      <w:szCs w:val="20"/>
                    </w:rPr>
                    <w:t>与排污许可要求，产生的固体废物</w:t>
                  </w:r>
                  <w:r>
                    <w:rPr>
                      <w:sz w:val="20"/>
                      <w:szCs w:val="20"/>
                    </w:rPr>
                    <w:t xml:space="preserve"> </w:t>
                  </w:r>
                  <w:r>
                    <w:rPr>
                      <w:spacing w:val="16"/>
                      <w:sz w:val="20"/>
                      <w:szCs w:val="20"/>
                    </w:rPr>
                    <w:t>按照国家有关环境保护规定和标准</w:t>
                  </w:r>
                  <w:r>
                    <w:rPr>
                      <w:sz w:val="20"/>
                      <w:szCs w:val="20"/>
                    </w:rPr>
                    <w:t xml:space="preserve"> </w:t>
                  </w:r>
                  <w:r>
                    <w:rPr>
                      <w:spacing w:val="8"/>
                      <w:sz w:val="20"/>
                      <w:szCs w:val="20"/>
                    </w:rPr>
                    <w:t>要求妥善贮存、利用和处置。</w:t>
                  </w:r>
                </w:p>
                <w:p w14:paraId="179C2DBA">
                  <w:pPr>
                    <w:pStyle w:val="6"/>
                    <w:spacing w:before="30" w:line="289" w:lineRule="auto"/>
                    <w:ind w:left="113" w:right="104" w:firstLine="4"/>
                    <w:jc w:val="both"/>
                    <w:rPr>
                      <w:sz w:val="20"/>
                      <w:szCs w:val="20"/>
                    </w:rPr>
                  </w:pPr>
                  <w:r>
                    <w:rPr>
                      <w:spacing w:val="15"/>
                      <w:sz w:val="20"/>
                      <w:szCs w:val="20"/>
                    </w:rPr>
                    <w:t>项目依照《报废机动车回收管理办</w:t>
                  </w:r>
                  <w:r>
                    <w:rPr>
                      <w:spacing w:val="12"/>
                      <w:sz w:val="20"/>
                      <w:szCs w:val="20"/>
                    </w:rPr>
                    <w:t xml:space="preserve"> </w:t>
                  </w:r>
                  <w:r>
                    <w:rPr>
                      <w:spacing w:val="16"/>
                      <w:sz w:val="20"/>
                      <w:szCs w:val="20"/>
                    </w:rPr>
                    <w:t>法实施细则》等相关要求向机动车</w:t>
                  </w:r>
                  <w:r>
                    <w:rPr>
                      <w:spacing w:val="1"/>
                      <w:sz w:val="20"/>
                      <w:szCs w:val="20"/>
                    </w:rPr>
                    <w:t xml:space="preserve"> </w:t>
                  </w:r>
                  <w:r>
                    <w:rPr>
                      <w:spacing w:val="16"/>
                      <w:sz w:val="20"/>
                      <w:szCs w:val="20"/>
                    </w:rPr>
                    <w:t>生产企业获取报废机动车拆解指导</w:t>
                  </w:r>
                  <w:r>
                    <w:rPr>
                      <w:spacing w:val="1"/>
                      <w:sz w:val="20"/>
                      <w:szCs w:val="20"/>
                    </w:rPr>
                    <w:t xml:space="preserve"> </w:t>
                  </w:r>
                  <w:r>
                    <w:rPr>
                      <w:spacing w:val="16"/>
                      <w:sz w:val="20"/>
                      <w:szCs w:val="20"/>
                    </w:rPr>
                    <w:t>手册等相关技术信息，依规开展报</w:t>
                  </w:r>
                  <w:r>
                    <w:rPr>
                      <w:spacing w:val="1"/>
                      <w:sz w:val="20"/>
                      <w:szCs w:val="20"/>
                    </w:rPr>
                    <w:t xml:space="preserve"> </w:t>
                  </w:r>
                  <w:r>
                    <w:rPr>
                      <w:spacing w:val="7"/>
                      <w:sz w:val="20"/>
                      <w:szCs w:val="20"/>
                    </w:rPr>
                    <w:t>废机动车拆解工作。</w:t>
                  </w:r>
                </w:p>
                <w:p w14:paraId="1BE3FF43">
                  <w:pPr>
                    <w:pStyle w:val="6"/>
                    <w:spacing w:before="35" w:line="289" w:lineRule="auto"/>
                    <w:ind w:left="113" w:right="104" w:firstLine="1"/>
                    <w:jc w:val="both"/>
                    <w:rPr>
                      <w:sz w:val="20"/>
                      <w:szCs w:val="20"/>
                    </w:rPr>
                  </w:pPr>
                  <w:r>
                    <w:rPr>
                      <w:spacing w:val="26"/>
                      <w:sz w:val="20"/>
                      <w:szCs w:val="20"/>
                    </w:rPr>
                    <w:t>本项</w:t>
                  </w:r>
                  <w:r>
                    <w:rPr>
                      <w:spacing w:val="-25"/>
                      <w:sz w:val="20"/>
                      <w:szCs w:val="20"/>
                    </w:rPr>
                    <w:t xml:space="preserve"> </w:t>
                  </w:r>
                  <w:r>
                    <w:rPr>
                      <w:spacing w:val="26"/>
                      <w:sz w:val="20"/>
                      <w:szCs w:val="20"/>
                    </w:rPr>
                    <w:t>目依据相关规定开展拆解作</w:t>
                  </w:r>
                  <w:r>
                    <w:rPr>
                      <w:sz w:val="20"/>
                      <w:szCs w:val="20"/>
                    </w:rPr>
                    <w:t xml:space="preserve"> </w:t>
                  </w:r>
                  <w:r>
                    <w:rPr>
                      <w:spacing w:val="16"/>
                      <w:sz w:val="20"/>
                      <w:szCs w:val="20"/>
                    </w:rPr>
                    <w:t>业。不露天拆解报废机动车，拆解</w:t>
                  </w:r>
                  <w:r>
                    <w:rPr>
                      <w:spacing w:val="1"/>
                      <w:sz w:val="20"/>
                      <w:szCs w:val="20"/>
                    </w:rPr>
                    <w:t xml:space="preserve"> </w:t>
                  </w:r>
                  <w:r>
                    <w:rPr>
                      <w:spacing w:val="16"/>
                      <w:sz w:val="20"/>
                      <w:szCs w:val="20"/>
                    </w:rPr>
                    <w:t>产物不露天堆放，采取相应环保措</w:t>
                  </w:r>
                  <w:r>
                    <w:rPr>
                      <w:spacing w:val="1"/>
                      <w:sz w:val="20"/>
                      <w:szCs w:val="20"/>
                    </w:rPr>
                    <w:t xml:space="preserve"> </w:t>
                  </w:r>
                  <w:r>
                    <w:rPr>
                      <w:spacing w:val="16"/>
                      <w:sz w:val="20"/>
                      <w:szCs w:val="20"/>
                    </w:rPr>
                    <w:t>施，不对大气、土壤、地表水和地</w:t>
                  </w:r>
                  <w:r>
                    <w:rPr>
                      <w:spacing w:val="1"/>
                      <w:sz w:val="20"/>
                      <w:szCs w:val="20"/>
                    </w:rPr>
                    <w:t xml:space="preserve"> </w:t>
                  </w:r>
                  <w:r>
                    <w:rPr>
                      <w:spacing w:val="7"/>
                      <w:sz w:val="20"/>
                      <w:szCs w:val="20"/>
                    </w:rPr>
                    <w:t>下水造成污染。</w:t>
                  </w:r>
                </w:p>
                <w:p w14:paraId="67359F52">
                  <w:pPr>
                    <w:pStyle w:val="6"/>
                    <w:spacing w:before="32" w:line="256" w:lineRule="auto"/>
                    <w:ind w:left="115" w:right="36"/>
                    <w:rPr>
                      <w:sz w:val="20"/>
                      <w:szCs w:val="20"/>
                    </w:rPr>
                  </w:pPr>
                  <w:r>
                    <w:rPr>
                      <w:spacing w:val="16"/>
                      <w:sz w:val="20"/>
                      <w:szCs w:val="20"/>
                    </w:rPr>
                    <w:t>本项目具备与生产规模相匹配的环</w:t>
                  </w:r>
                  <w:r>
                    <w:rPr>
                      <w:sz w:val="20"/>
                      <w:szCs w:val="20"/>
                    </w:rPr>
                    <w:t xml:space="preserve"> </w:t>
                  </w:r>
                  <w:r>
                    <w:rPr>
                      <w:spacing w:val="6"/>
                      <w:sz w:val="20"/>
                      <w:szCs w:val="20"/>
                    </w:rPr>
                    <w:t>境保护设施，环境保护设施的设计、</w:t>
                  </w:r>
                </w:p>
              </w:tc>
              <w:tc>
                <w:tcPr>
                  <w:tcW w:w="863" w:type="dxa"/>
                  <w:tcBorders>
                    <w:bottom w:val="single" w:color="000000" w:sz="10" w:space="0"/>
                    <w:right w:val="nil"/>
                  </w:tcBorders>
                  <w:vAlign w:val="top"/>
                </w:tcPr>
                <w:p w14:paraId="309FA2FD">
                  <w:pPr>
                    <w:spacing w:line="242" w:lineRule="auto"/>
                    <w:rPr>
                      <w:rFonts w:ascii="Arial"/>
                      <w:sz w:val="21"/>
                    </w:rPr>
                  </w:pPr>
                </w:p>
                <w:p w14:paraId="6DD20A11">
                  <w:pPr>
                    <w:spacing w:line="242" w:lineRule="auto"/>
                    <w:rPr>
                      <w:rFonts w:ascii="Arial"/>
                      <w:sz w:val="21"/>
                    </w:rPr>
                  </w:pPr>
                </w:p>
                <w:p w14:paraId="380D5679">
                  <w:pPr>
                    <w:spacing w:line="242" w:lineRule="auto"/>
                    <w:rPr>
                      <w:rFonts w:ascii="Arial"/>
                      <w:sz w:val="21"/>
                    </w:rPr>
                  </w:pPr>
                </w:p>
                <w:p w14:paraId="4B991BDB">
                  <w:pPr>
                    <w:spacing w:line="242" w:lineRule="auto"/>
                    <w:rPr>
                      <w:rFonts w:ascii="Arial"/>
                      <w:sz w:val="21"/>
                    </w:rPr>
                  </w:pPr>
                </w:p>
                <w:p w14:paraId="7EEB38E8">
                  <w:pPr>
                    <w:spacing w:line="242" w:lineRule="auto"/>
                    <w:rPr>
                      <w:rFonts w:ascii="Arial"/>
                      <w:sz w:val="21"/>
                    </w:rPr>
                  </w:pPr>
                </w:p>
                <w:p w14:paraId="12D5CC34">
                  <w:pPr>
                    <w:spacing w:line="242" w:lineRule="auto"/>
                    <w:rPr>
                      <w:rFonts w:ascii="Arial"/>
                      <w:sz w:val="21"/>
                    </w:rPr>
                  </w:pPr>
                </w:p>
                <w:p w14:paraId="15F0ED5D">
                  <w:pPr>
                    <w:spacing w:line="242" w:lineRule="auto"/>
                    <w:rPr>
                      <w:rFonts w:ascii="Arial"/>
                      <w:sz w:val="21"/>
                    </w:rPr>
                  </w:pPr>
                </w:p>
                <w:p w14:paraId="262F7C5A">
                  <w:pPr>
                    <w:spacing w:line="242" w:lineRule="auto"/>
                    <w:rPr>
                      <w:rFonts w:ascii="Arial"/>
                      <w:sz w:val="21"/>
                    </w:rPr>
                  </w:pPr>
                </w:p>
                <w:p w14:paraId="16BD8480">
                  <w:pPr>
                    <w:spacing w:line="242" w:lineRule="auto"/>
                    <w:rPr>
                      <w:rFonts w:ascii="Arial"/>
                      <w:sz w:val="21"/>
                    </w:rPr>
                  </w:pPr>
                </w:p>
                <w:p w14:paraId="341EAFEE">
                  <w:pPr>
                    <w:spacing w:line="242" w:lineRule="auto"/>
                    <w:rPr>
                      <w:rFonts w:ascii="Arial"/>
                      <w:sz w:val="21"/>
                    </w:rPr>
                  </w:pPr>
                </w:p>
                <w:p w14:paraId="3BC5576F">
                  <w:pPr>
                    <w:spacing w:line="242" w:lineRule="auto"/>
                    <w:rPr>
                      <w:rFonts w:ascii="Arial"/>
                      <w:sz w:val="21"/>
                    </w:rPr>
                  </w:pPr>
                </w:p>
                <w:p w14:paraId="4435224B">
                  <w:pPr>
                    <w:spacing w:line="242" w:lineRule="auto"/>
                    <w:rPr>
                      <w:rFonts w:ascii="Arial"/>
                      <w:sz w:val="21"/>
                    </w:rPr>
                  </w:pPr>
                </w:p>
                <w:p w14:paraId="53885016">
                  <w:pPr>
                    <w:spacing w:line="242" w:lineRule="auto"/>
                    <w:rPr>
                      <w:rFonts w:ascii="Arial"/>
                      <w:sz w:val="21"/>
                    </w:rPr>
                  </w:pPr>
                </w:p>
                <w:p w14:paraId="397EC987">
                  <w:pPr>
                    <w:spacing w:line="242" w:lineRule="auto"/>
                    <w:rPr>
                      <w:rFonts w:ascii="Arial"/>
                      <w:sz w:val="21"/>
                    </w:rPr>
                  </w:pPr>
                </w:p>
                <w:p w14:paraId="499D5554">
                  <w:pPr>
                    <w:spacing w:line="242" w:lineRule="auto"/>
                    <w:rPr>
                      <w:rFonts w:ascii="Arial"/>
                      <w:sz w:val="21"/>
                    </w:rPr>
                  </w:pPr>
                </w:p>
                <w:p w14:paraId="5378BA5B">
                  <w:pPr>
                    <w:spacing w:line="243" w:lineRule="auto"/>
                    <w:rPr>
                      <w:rFonts w:ascii="Arial"/>
                      <w:sz w:val="21"/>
                    </w:rPr>
                  </w:pPr>
                </w:p>
                <w:p w14:paraId="07067285">
                  <w:pPr>
                    <w:spacing w:line="243" w:lineRule="auto"/>
                    <w:rPr>
                      <w:rFonts w:ascii="Arial"/>
                      <w:sz w:val="21"/>
                    </w:rPr>
                  </w:pPr>
                </w:p>
                <w:p w14:paraId="09458406">
                  <w:pPr>
                    <w:spacing w:line="243" w:lineRule="auto"/>
                    <w:rPr>
                      <w:rFonts w:ascii="Arial"/>
                      <w:sz w:val="21"/>
                    </w:rPr>
                  </w:pPr>
                </w:p>
                <w:p w14:paraId="6B55439B">
                  <w:pPr>
                    <w:spacing w:line="243" w:lineRule="auto"/>
                    <w:rPr>
                      <w:rFonts w:ascii="Arial"/>
                      <w:sz w:val="21"/>
                    </w:rPr>
                  </w:pPr>
                </w:p>
                <w:p w14:paraId="02768B1C">
                  <w:pPr>
                    <w:spacing w:line="243" w:lineRule="auto"/>
                    <w:rPr>
                      <w:rFonts w:ascii="Arial"/>
                      <w:sz w:val="21"/>
                    </w:rPr>
                  </w:pPr>
                </w:p>
                <w:p w14:paraId="6D7112CD">
                  <w:pPr>
                    <w:spacing w:line="243" w:lineRule="auto"/>
                    <w:rPr>
                      <w:rFonts w:ascii="Arial"/>
                      <w:sz w:val="21"/>
                    </w:rPr>
                  </w:pPr>
                </w:p>
                <w:p w14:paraId="1E649984">
                  <w:pPr>
                    <w:spacing w:line="243" w:lineRule="auto"/>
                    <w:rPr>
                      <w:rFonts w:ascii="Arial"/>
                      <w:sz w:val="21"/>
                    </w:rPr>
                  </w:pPr>
                </w:p>
                <w:p w14:paraId="2C27CC3D">
                  <w:pPr>
                    <w:spacing w:line="243" w:lineRule="auto"/>
                    <w:rPr>
                      <w:rFonts w:ascii="Arial"/>
                      <w:sz w:val="21"/>
                    </w:rPr>
                  </w:pPr>
                </w:p>
                <w:p w14:paraId="0B91B108">
                  <w:pPr>
                    <w:pStyle w:val="6"/>
                    <w:spacing w:before="65" w:line="228" w:lineRule="auto"/>
                    <w:ind w:left="228"/>
                    <w:rPr>
                      <w:sz w:val="20"/>
                      <w:szCs w:val="20"/>
                    </w:rPr>
                  </w:pPr>
                  <w:r>
                    <w:rPr>
                      <w:spacing w:val="3"/>
                      <w:sz w:val="20"/>
                      <w:szCs w:val="20"/>
                    </w:rPr>
                    <w:t>符合</w:t>
                  </w:r>
                </w:p>
              </w:tc>
            </w:tr>
          </w:tbl>
          <w:p w14:paraId="1D00E451">
            <w:pPr>
              <w:spacing w:line="14" w:lineRule="auto"/>
              <w:rPr>
                <w:rFonts w:ascii="Arial"/>
                <w:sz w:val="2"/>
              </w:rPr>
            </w:pPr>
          </w:p>
        </w:tc>
      </w:tr>
    </w:tbl>
    <w:p w14:paraId="600A4AFC">
      <w:pPr>
        <w:pStyle w:val="2"/>
        <w:spacing w:line="156" w:lineRule="exact"/>
        <w:rPr>
          <w:sz w:val="13"/>
        </w:rPr>
      </w:pPr>
    </w:p>
    <w:p w14:paraId="3784B397">
      <w:pPr>
        <w:spacing w:line="156" w:lineRule="exact"/>
        <w:rPr>
          <w:sz w:val="13"/>
          <w:szCs w:val="13"/>
        </w:rPr>
        <w:sectPr>
          <w:footerReference r:id="rId32"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3990"/>
        <w:gridCol w:w="3456"/>
        <w:gridCol w:w="982"/>
      </w:tblGrid>
      <w:tr w14:paraId="57CC81B5">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597" w:hRule="atLeast"/>
        </w:trPr>
        <w:tc>
          <w:tcPr>
            <w:tcW w:w="494" w:type="dxa"/>
            <w:vMerge w:val="restart"/>
            <w:tcBorders>
              <w:bottom w:val="nil"/>
              <w:right w:val="single" w:color="000000" w:sz="2" w:space="0"/>
            </w:tcBorders>
            <w:vAlign w:val="top"/>
          </w:tcPr>
          <w:p w14:paraId="64422885">
            <w:pPr>
              <w:rPr>
                <w:rFonts w:ascii="Arial"/>
                <w:sz w:val="21"/>
              </w:rPr>
            </w:pPr>
          </w:p>
        </w:tc>
        <w:tc>
          <w:tcPr>
            <w:tcW w:w="3990" w:type="dxa"/>
            <w:vMerge w:val="restart"/>
            <w:tcBorders>
              <w:left w:val="single" w:color="000000" w:sz="2" w:space="0"/>
              <w:bottom w:val="nil"/>
              <w:right w:val="single" w:color="000000" w:sz="2" w:space="0"/>
            </w:tcBorders>
            <w:vAlign w:val="top"/>
          </w:tcPr>
          <w:p w14:paraId="69B2D011">
            <w:pPr>
              <w:pStyle w:val="6"/>
              <w:spacing w:before="72" w:line="280" w:lineRule="auto"/>
              <w:ind w:left="209" w:right="106"/>
              <w:rPr>
                <w:sz w:val="20"/>
                <w:szCs w:val="20"/>
              </w:rPr>
            </w:pPr>
            <w:r>
              <w:rPr>
                <w:spacing w:val="3"/>
                <w:sz w:val="20"/>
                <w:szCs w:val="20"/>
              </w:rPr>
              <w:t>全生产、职业健康、交通运输、消防等法</w:t>
            </w:r>
            <w:r>
              <w:rPr>
                <w:spacing w:val="13"/>
                <w:sz w:val="20"/>
                <w:szCs w:val="20"/>
              </w:rPr>
              <w:t xml:space="preserve"> </w:t>
            </w:r>
            <w:r>
              <w:rPr>
                <w:spacing w:val="7"/>
                <w:sz w:val="20"/>
                <w:szCs w:val="20"/>
              </w:rPr>
              <w:t>规标准的相关要求。</w:t>
            </w:r>
          </w:p>
          <w:p w14:paraId="31E1FFCE">
            <w:pPr>
              <w:spacing w:line="310" w:lineRule="auto"/>
              <w:rPr>
                <w:rFonts w:ascii="Arial"/>
                <w:sz w:val="21"/>
              </w:rPr>
            </w:pPr>
          </w:p>
          <w:p w14:paraId="3659D9D9">
            <w:pPr>
              <w:spacing w:line="311" w:lineRule="auto"/>
              <w:rPr>
                <w:rFonts w:ascii="Arial"/>
                <w:sz w:val="21"/>
              </w:rPr>
            </w:pPr>
          </w:p>
          <w:p w14:paraId="1277A13F">
            <w:pPr>
              <w:spacing w:line="311" w:lineRule="auto"/>
              <w:rPr>
                <w:rFonts w:ascii="Arial"/>
                <w:sz w:val="21"/>
              </w:rPr>
            </w:pPr>
          </w:p>
          <w:p w14:paraId="0178D176">
            <w:pPr>
              <w:pStyle w:val="6"/>
              <w:spacing w:before="65" w:line="228" w:lineRule="auto"/>
              <w:ind w:left="211"/>
              <w:rPr>
                <w:sz w:val="20"/>
                <w:szCs w:val="20"/>
              </w:rPr>
            </w:pPr>
            <w:r>
              <w:rPr>
                <w:rFonts w:ascii="Times New Roman" w:hAnsi="Times New Roman" w:eastAsia="Times New Roman" w:cs="Times New Roman"/>
                <w:spacing w:val="8"/>
                <w:sz w:val="20"/>
                <w:szCs w:val="20"/>
              </w:rPr>
              <w:t>5</w:t>
            </w:r>
            <w:r>
              <w:rPr>
                <w:spacing w:val="8"/>
                <w:sz w:val="20"/>
                <w:szCs w:val="20"/>
              </w:rPr>
              <w:t>基础设施污染控制要求</w:t>
            </w:r>
          </w:p>
          <w:p w14:paraId="03BC456F">
            <w:pPr>
              <w:pStyle w:val="6"/>
              <w:spacing w:before="70" w:line="287" w:lineRule="auto"/>
              <w:ind w:left="209" w:right="106" w:firstLine="1"/>
              <w:jc w:val="both"/>
              <w:rPr>
                <w:sz w:val="20"/>
                <w:szCs w:val="20"/>
              </w:rPr>
            </w:pPr>
            <w:r>
              <w:rPr>
                <w:rFonts w:ascii="Times New Roman" w:hAnsi="Times New Roman" w:eastAsia="Times New Roman" w:cs="Times New Roman"/>
                <w:spacing w:val="10"/>
                <w:sz w:val="20"/>
                <w:szCs w:val="20"/>
              </w:rPr>
              <w:t>5.</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0"/>
                <w:sz w:val="20"/>
                <w:szCs w:val="20"/>
              </w:rPr>
              <w:t>1</w:t>
            </w:r>
            <w:r>
              <w:rPr>
                <w:spacing w:val="10"/>
                <w:sz w:val="20"/>
                <w:szCs w:val="20"/>
              </w:rPr>
              <w:t>报废机动车回收拆解企业应划分不同</w:t>
            </w:r>
            <w:r>
              <w:rPr>
                <w:sz w:val="20"/>
                <w:szCs w:val="20"/>
              </w:rPr>
              <w:t xml:space="preserve"> </w:t>
            </w:r>
            <w:r>
              <w:rPr>
                <w:spacing w:val="3"/>
                <w:sz w:val="20"/>
                <w:szCs w:val="20"/>
              </w:rPr>
              <w:t>的功能区，包括办公区和作业区。作业区</w:t>
            </w:r>
            <w:r>
              <w:rPr>
                <w:spacing w:val="13"/>
                <w:sz w:val="20"/>
                <w:szCs w:val="20"/>
              </w:rPr>
              <w:t xml:space="preserve"> </w:t>
            </w:r>
            <w:r>
              <w:rPr>
                <w:spacing w:val="5"/>
                <w:sz w:val="20"/>
                <w:szCs w:val="20"/>
              </w:rPr>
              <w:t>应包括：</w:t>
            </w:r>
          </w:p>
          <w:p w14:paraId="6C9267F5">
            <w:pPr>
              <w:pStyle w:val="6"/>
              <w:spacing w:before="29" w:line="267" w:lineRule="auto"/>
              <w:ind w:left="233" w:right="106" w:hanging="25"/>
              <w:rPr>
                <w:sz w:val="20"/>
                <w:szCs w:val="20"/>
              </w:rPr>
            </w:pPr>
            <w:r>
              <w:rPr>
                <w:rFonts w:ascii="Times New Roman" w:hAnsi="Times New Roman" w:eastAsia="Times New Roman" w:cs="Times New Roman"/>
                <w:spacing w:val="13"/>
                <w:sz w:val="20"/>
                <w:szCs w:val="20"/>
              </w:rPr>
              <w:t>a)</w:t>
            </w:r>
            <w:r>
              <w:rPr>
                <w:spacing w:val="13"/>
                <w:sz w:val="20"/>
                <w:szCs w:val="20"/>
              </w:rPr>
              <w:t>整车贮存区</w:t>
            </w:r>
            <w:r>
              <w:rPr>
                <w:rFonts w:ascii="Times New Roman" w:hAnsi="Times New Roman" w:eastAsia="Times New Roman" w:cs="Times New Roman"/>
                <w:spacing w:val="13"/>
                <w:sz w:val="20"/>
                <w:szCs w:val="20"/>
              </w:rPr>
              <w:t>(</w:t>
            </w:r>
            <w:r>
              <w:rPr>
                <w:spacing w:val="13"/>
                <w:sz w:val="20"/>
                <w:szCs w:val="20"/>
              </w:rPr>
              <w:t>分为传统燃料机动车区和</w:t>
            </w:r>
            <w:r>
              <w:rPr>
                <w:sz w:val="20"/>
                <w:szCs w:val="20"/>
              </w:rPr>
              <w:t xml:space="preserve"> </w:t>
            </w:r>
            <w:r>
              <w:rPr>
                <w:spacing w:val="3"/>
                <w:sz w:val="20"/>
                <w:szCs w:val="20"/>
              </w:rPr>
              <w:t>电动汽车区</w:t>
            </w:r>
            <w:r>
              <w:rPr>
                <w:rFonts w:ascii="Times New Roman" w:hAnsi="Times New Roman" w:eastAsia="Times New Roman" w:cs="Times New Roman"/>
                <w:spacing w:val="3"/>
                <w:sz w:val="20"/>
                <w:szCs w:val="20"/>
              </w:rPr>
              <w:t>)</w:t>
            </w:r>
            <w:r>
              <w:rPr>
                <w:spacing w:val="3"/>
                <w:sz w:val="20"/>
                <w:szCs w:val="20"/>
              </w:rPr>
              <w:t>；</w:t>
            </w:r>
          </w:p>
          <w:p w14:paraId="49D64186">
            <w:pPr>
              <w:pStyle w:val="6"/>
              <w:spacing w:before="62" w:line="267" w:lineRule="auto"/>
              <w:ind w:left="207" w:right="1773" w:hanging="7"/>
              <w:rPr>
                <w:sz w:val="20"/>
                <w:szCs w:val="20"/>
              </w:rPr>
            </w:pPr>
            <w:r>
              <w:rPr>
                <w:rFonts w:ascii="Times New Roman" w:hAnsi="Times New Roman" w:eastAsia="Times New Roman" w:cs="Times New Roman"/>
                <w:spacing w:val="4"/>
                <w:sz w:val="20"/>
                <w:szCs w:val="20"/>
              </w:rPr>
              <w:t>b)</w:t>
            </w:r>
            <w:r>
              <w:rPr>
                <w:spacing w:val="4"/>
                <w:sz w:val="20"/>
                <w:szCs w:val="20"/>
              </w:rPr>
              <w:t>动力蓄电池拆卸区；</w:t>
            </w:r>
            <w:r>
              <w:rPr>
                <w:sz w:val="20"/>
                <w:szCs w:val="20"/>
              </w:rPr>
              <w:t xml:space="preserve"> </w:t>
            </w:r>
            <w:r>
              <w:rPr>
                <w:rFonts w:ascii="Times New Roman" w:hAnsi="Times New Roman" w:eastAsia="Times New Roman" w:cs="Times New Roman"/>
                <w:spacing w:val="6"/>
                <w:sz w:val="20"/>
                <w:szCs w:val="20"/>
              </w:rPr>
              <w:t>c)</w:t>
            </w:r>
            <w:r>
              <w:rPr>
                <w:spacing w:val="6"/>
                <w:sz w:val="20"/>
                <w:szCs w:val="20"/>
              </w:rPr>
              <w:t>铅蓄电池拆卸区；</w:t>
            </w:r>
          </w:p>
          <w:p w14:paraId="752F7743">
            <w:pPr>
              <w:pStyle w:val="6"/>
              <w:spacing w:before="60" w:line="269" w:lineRule="auto"/>
              <w:ind w:left="208" w:right="1984"/>
              <w:rPr>
                <w:sz w:val="20"/>
                <w:szCs w:val="20"/>
              </w:rPr>
            </w:pPr>
            <w:r>
              <w:rPr>
                <w:rFonts w:ascii="Times New Roman" w:hAnsi="Times New Roman" w:eastAsia="Times New Roman" w:cs="Times New Roman"/>
                <w:spacing w:val="2"/>
                <w:sz w:val="20"/>
                <w:szCs w:val="20"/>
              </w:rPr>
              <w:t>d)</w:t>
            </w:r>
            <w:r>
              <w:rPr>
                <w:spacing w:val="2"/>
                <w:sz w:val="20"/>
                <w:szCs w:val="20"/>
              </w:rPr>
              <w:t>电池分类贮存区；</w:t>
            </w:r>
            <w:r>
              <w:rPr>
                <w:spacing w:val="5"/>
                <w:sz w:val="20"/>
                <w:szCs w:val="20"/>
              </w:rPr>
              <w:t xml:space="preserve"> </w:t>
            </w:r>
            <w:r>
              <w:rPr>
                <w:rFonts w:ascii="Times New Roman" w:hAnsi="Times New Roman" w:eastAsia="Times New Roman" w:cs="Times New Roman"/>
                <w:spacing w:val="4"/>
                <w:sz w:val="20"/>
                <w:szCs w:val="20"/>
              </w:rPr>
              <w:t>e)</w:t>
            </w:r>
            <w:r>
              <w:rPr>
                <w:spacing w:val="4"/>
                <w:sz w:val="20"/>
                <w:szCs w:val="20"/>
              </w:rPr>
              <w:t>拆解区：</w:t>
            </w:r>
          </w:p>
          <w:p w14:paraId="306252A3">
            <w:pPr>
              <w:pStyle w:val="6"/>
              <w:spacing w:before="58" w:line="267" w:lineRule="auto"/>
              <w:ind w:left="207" w:right="408" w:firstLine="1"/>
              <w:rPr>
                <w:sz w:val="20"/>
                <w:szCs w:val="20"/>
              </w:rPr>
            </w:pPr>
            <w:r>
              <w:rPr>
                <w:rFonts w:ascii="Times New Roman" w:hAnsi="Times New Roman" w:eastAsia="Times New Roman" w:cs="Times New Roman"/>
                <w:spacing w:val="5"/>
                <w:sz w:val="20"/>
                <w:szCs w:val="20"/>
              </w:rPr>
              <w:t>f)</w:t>
            </w:r>
            <w:r>
              <w:rPr>
                <w:spacing w:val="5"/>
                <w:sz w:val="20"/>
                <w:szCs w:val="20"/>
              </w:rPr>
              <w:t>产品</w:t>
            </w:r>
            <w:r>
              <w:rPr>
                <w:rFonts w:ascii="Times New Roman" w:hAnsi="Times New Roman" w:eastAsia="Times New Roman" w:cs="Times New Roman"/>
                <w:spacing w:val="5"/>
                <w:sz w:val="20"/>
                <w:szCs w:val="20"/>
              </w:rPr>
              <w:t>(</w:t>
            </w:r>
            <w:r>
              <w:rPr>
                <w:spacing w:val="5"/>
                <w:sz w:val="20"/>
                <w:szCs w:val="20"/>
              </w:rPr>
              <w:t>半成品：不包括电池</w:t>
            </w:r>
            <w:r>
              <w:rPr>
                <w:rFonts w:ascii="Times New Roman" w:hAnsi="Times New Roman" w:eastAsia="Times New Roman" w:cs="Times New Roman"/>
                <w:spacing w:val="5"/>
                <w:sz w:val="20"/>
                <w:szCs w:val="20"/>
              </w:rPr>
              <w:t>)</w:t>
            </w:r>
            <w:r>
              <w:rPr>
                <w:spacing w:val="5"/>
                <w:sz w:val="20"/>
                <w:szCs w:val="20"/>
              </w:rPr>
              <w:t>贮存区：</w:t>
            </w:r>
            <w:r>
              <w:rPr>
                <w:spacing w:val="4"/>
                <w:sz w:val="20"/>
                <w:szCs w:val="20"/>
              </w:rPr>
              <w:t xml:space="preserve"> </w:t>
            </w:r>
            <w:r>
              <w:rPr>
                <w:rFonts w:ascii="Times New Roman" w:hAnsi="Times New Roman" w:eastAsia="Times New Roman" w:cs="Times New Roman"/>
                <w:spacing w:val="6"/>
                <w:sz w:val="20"/>
                <w:szCs w:val="20"/>
              </w:rPr>
              <w:t>g)</w:t>
            </w:r>
            <w:r>
              <w:rPr>
                <w:spacing w:val="6"/>
                <w:sz w:val="20"/>
                <w:szCs w:val="20"/>
              </w:rPr>
              <w:t>破碎分选区：</w:t>
            </w:r>
          </w:p>
          <w:p w14:paraId="02248166">
            <w:pPr>
              <w:pStyle w:val="6"/>
              <w:spacing w:before="62" w:line="267" w:lineRule="auto"/>
              <w:ind w:left="206" w:right="1143" w:hanging="4"/>
              <w:rPr>
                <w:sz w:val="20"/>
                <w:szCs w:val="20"/>
              </w:rPr>
            </w:pPr>
            <w:r>
              <w:rPr>
                <w:rFonts w:ascii="Times New Roman" w:hAnsi="Times New Roman" w:eastAsia="Times New Roman" w:cs="Times New Roman"/>
                <w:spacing w:val="5"/>
                <w:sz w:val="20"/>
                <w:szCs w:val="20"/>
              </w:rPr>
              <w:t>h)</w:t>
            </w:r>
            <w:r>
              <w:rPr>
                <w:spacing w:val="5"/>
                <w:sz w:val="20"/>
                <w:szCs w:val="20"/>
              </w:rPr>
              <w:t>一般工业固体废物贮存区：</w:t>
            </w:r>
            <w:r>
              <w:rPr>
                <w:spacing w:val="1"/>
                <w:sz w:val="20"/>
                <w:szCs w:val="20"/>
              </w:rPr>
              <w:t xml:space="preserve"> </w:t>
            </w:r>
            <w:r>
              <w:rPr>
                <w:rFonts w:ascii="Times New Roman" w:hAnsi="Times New Roman" w:eastAsia="Times New Roman" w:cs="Times New Roman"/>
                <w:spacing w:val="7"/>
                <w:sz w:val="20"/>
                <w:szCs w:val="20"/>
              </w:rPr>
              <w:t>i)</w:t>
            </w:r>
            <w:r>
              <w:rPr>
                <w:spacing w:val="7"/>
                <w:sz w:val="20"/>
                <w:szCs w:val="20"/>
              </w:rPr>
              <w:t>危险废物贮存区。</w:t>
            </w:r>
          </w:p>
          <w:p w14:paraId="1FFCCA85">
            <w:pPr>
              <w:pStyle w:val="6"/>
              <w:spacing w:before="60" w:line="282" w:lineRule="auto"/>
              <w:ind w:left="224" w:right="106" w:hanging="13"/>
              <w:rPr>
                <w:sz w:val="20"/>
                <w:szCs w:val="20"/>
              </w:rPr>
            </w:pPr>
            <w:r>
              <w:rPr>
                <w:rFonts w:ascii="Times New Roman" w:hAnsi="Times New Roman" w:eastAsia="Times New Roman" w:cs="Times New Roman"/>
                <w:spacing w:val="11"/>
                <w:sz w:val="20"/>
                <w:szCs w:val="20"/>
              </w:rPr>
              <w:t>5.2</w:t>
            </w:r>
            <w:r>
              <w:rPr>
                <w:spacing w:val="11"/>
                <w:sz w:val="20"/>
                <w:szCs w:val="20"/>
              </w:rPr>
              <w:t>报废机动车回收拆解企业厂区内功能</w:t>
            </w:r>
            <w:r>
              <w:rPr>
                <w:spacing w:val="6"/>
                <w:sz w:val="20"/>
                <w:szCs w:val="20"/>
              </w:rPr>
              <w:t xml:space="preserve"> </w:t>
            </w:r>
            <w:r>
              <w:rPr>
                <w:spacing w:val="7"/>
                <w:sz w:val="20"/>
                <w:szCs w:val="20"/>
              </w:rPr>
              <w:t>区的设计和建设应满足以下要求：</w:t>
            </w:r>
          </w:p>
          <w:p w14:paraId="1D3249A4">
            <w:pPr>
              <w:pStyle w:val="6"/>
              <w:spacing w:before="30" w:line="271" w:lineRule="auto"/>
              <w:ind w:left="208" w:right="106"/>
              <w:rPr>
                <w:sz w:val="20"/>
                <w:szCs w:val="20"/>
              </w:rPr>
            </w:pPr>
            <w:r>
              <w:rPr>
                <w:rFonts w:ascii="Times New Roman" w:hAnsi="Times New Roman" w:eastAsia="Times New Roman" w:cs="Times New Roman"/>
                <w:spacing w:val="17"/>
                <w:sz w:val="20"/>
                <w:szCs w:val="20"/>
              </w:rPr>
              <w:t>a)</w:t>
            </w:r>
            <w:r>
              <w:rPr>
                <w:spacing w:val="17"/>
                <w:sz w:val="20"/>
                <w:szCs w:val="20"/>
              </w:rPr>
              <w:t>作业区面积大小和功能区划分应满足</w:t>
            </w:r>
            <w:r>
              <w:rPr>
                <w:spacing w:val="7"/>
                <w:sz w:val="20"/>
                <w:szCs w:val="20"/>
              </w:rPr>
              <w:t xml:space="preserve"> 拆解作业的需要；</w:t>
            </w:r>
          </w:p>
          <w:p w14:paraId="32882E49">
            <w:pPr>
              <w:pStyle w:val="6"/>
              <w:spacing w:before="53" w:line="221" w:lineRule="auto"/>
              <w:ind w:left="200"/>
              <w:rPr>
                <w:sz w:val="20"/>
                <w:szCs w:val="20"/>
              </w:rPr>
            </w:pPr>
            <w:r>
              <w:rPr>
                <w:rFonts w:ascii="Times New Roman" w:hAnsi="Times New Roman" w:eastAsia="Times New Roman" w:cs="Times New Roman"/>
                <w:spacing w:val="8"/>
                <w:sz w:val="20"/>
                <w:szCs w:val="20"/>
              </w:rPr>
              <w:t>b)</w:t>
            </w:r>
            <w:r>
              <w:rPr>
                <w:spacing w:val="8"/>
                <w:sz w:val="20"/>
                <w:szCs w:val="20"/>
              </w:rPr>
              <w:t>不同的功能区应具有明显的标识；</w:t>
            </w:r>
          </w:p>
          <w:p w14:paraId="7B51BE16">
            <w:pPr>
              <w:pStyle w:val="6"/>
              <w:spacing w:before="81" w:line="283" w:lineRule="auto"/>
              <w:ind w:left="208" w:right="106"/>
              <w:jc w:val="both"/>
              <w:rPr>
                <w:sz w:val="20"/>
                <w:szCs w:val="20"/>
              </w:rPr>
            </w:pPr>
            <w:r>
              <w:rPr>
                <w:rFonts w:ascii="Times New Roman" w:hAnsi="Times New Roman" w:eastAsia="Times New Roman" w:cs="Times New Roman"/>
                <w:spacing w:val="17"/>
                <w:sz w:val="20"/>
                <w:szCs w:val="20"/>
              </w:rPr>
              <w:t>c)</w:t>
            </w:r>
            <w:r>
              <w:rPr>
                <w:spacing w:val="17"/>
                <w:sz w:val="20"/>
                <w:szCs w:val="20"/>
              </w:rPr>
              <w:t>作业区应具有防渗地面和油水收集设</w:t>
            </w:r>
            <w:r>
              <w:rPr>
                <w:spacing w:val="7"/>
                <w:sz w:val="20"/>
                <w:szCs w:val="20"/>
              </w:rPr>
              <w:t xml:space="preserve"> </w:t>
            </w:r>
            <w:r>
              <w:rPr>
                <w:spacing w:val="4"/>
                <w:sz w:val="20"/>
                <w:szCs w:val="20"/>
              </w:rPr>
              <w:t>施，地面应符合</w:t>
            </w:r>
            <w:r>
              <w:rPr>
                <w:rFonts w:ascii="Times New Roman" w:hAnsi="Times New Roman" w:eastAsia="Times New Roman" w:cs="Times New Roman"/>
                <w:sz w:val="20"/>
                <w:szCs w:val="20"/>
              </w:rPr>
              <w:t>GB</w:t>
            </w:r>
            <w:r>
              <w:rPr>
                <w:rFonts w:ascii="Times New Roman" w:hAnsi="Times New Roman" w:eastAsia="Times New Roman" w:cs="Times New Roman"/>
                <w:spacing w:val="4"/>
                <w:sz w:val="20"/>
                <w:szCs w:val="20"/>
              </w:rPr>
              <w:t>50037</w:t>
            </w:r>
            <w:r>
              <w:rPr>
                <w:spacing w:val="4"/>
                <w:sz w:val="20"/>
                <w:szCs w:val="20"/>
              </w:rPr>
              <w:t>的防油渗地面要</w:t>
            </w:r>
            <w:r>
              <w:rPr>
                <w:spacing w:val="14"/>
                <w:sz w:val="20"/>
                <w:szCs w:val="20"/>
              </w:rPr>
              <w:t xml:space="preserve"> </w:t>
            </w:r>
            <w:r>
              <w:rPr>
                <w:sz w:val="20"/>
                <w:szCs w:val="20"/>
              </w:rPr>
              <w:t>求；</w:t>
            </w:r>
          </w:p>
          <w:p w14:paraId="3C572750">
            <w:pPr>
              <w:pStyle w:val="6"/>
              <w:spacing w:before="41" w:line="288" w:lineRule="auto"/>
              <w:ind w:left="208" w:right="106"/>
              <w:rPr>
                <w:sz w:val="20"/>
                <w:szCs w:val="20"/>
              </w:rPr>
            </w:pPr>
            <w:r>
              <w:rPr>
                <w:rFonts w:ascii="Times New Roman" w:hAnsi="Times New Roman" w:eastAsia="Times New Roman" w:cs="Times New Roman"/>
                <w:spacing w:val="24"/>
                <w:sz w:val="20"/>
                <w:szCs w:val="20"/>
              </w:rPr>
              <w:t>d)</w:t>
            </w:r>
            <w:r>
              <w:rPr>
                <w:rFonts w:ascii="Times New Roman" w:hAnsi="Times New Roman" w:eastAsia="Times New Roman" w:cs="Times New Roman"/>
                <w:spacing w:val="-6"/>
                <w:sz w:val="20"/>
                <w:szCs w:val="20"/>
              </w:rPr>
              <w:t xml:space="preserve"> </w:t>
            </w:r>
            <w:r>
              <w:rPr>
                <w:spacing w:val="24"/>
                <w:sz w:val="20"/>
                <w:szCs w:val="20"/>
              </w:rPr>
              <w:t>作业</w:t>
            </w:r>
            <w:r>
              <w:rPr>
                <w:spacing w:val="-50"/>
                <w:sz w:val="20"/>
                <w:szCs w:val="20"/>
              </w:rPr>
              <w:t xml:space="preserve"> </w:t>
            </w:r>
            <w:r>
              <w:rPr>
                <w:spacing w:val="24"/>
                <w:sz w:val="20"/>
                <w:szCs w:val="20"/>
              </w:rPr>
              <w:t>区地面混凝土强度等级不低于</w:t>
            </w:r>
            <w:r>
              <w:rPr>
                <w:sz w:val="20"/>
                <w:szCs w:val="20"/>
              </w:rPr>
              <w:t xml:space="preserve"> </w:t>
            </w:r>
            <w:r>
              <w:rPr>
                <w:rFonts w:ascii="Times New Roman" w:hAnsi="Times New Roman" w:eastAsia="Times New Roman" w:cs="Times New Roman"/>
                <w:spacing w:val="3"/>
                <w:sz w:val="20"/>
                <w:szCs w:val="20"/>
              </w:rPr>
              <w:t>C20</w:t>
            </w:r>
            <w:r>
              <w:rPr>
                <w:spacing w:val="3"/>
                <w:sz w:val="20"/>
                <w:szCs w:val="20"/>
              </w:rPr>
              <w:t>，厚度不低于</w:t>
            </w:r>
            <w:r>
              <w:rPr>
                <w:rFonts w:ascii="Times New Roman" w:hAnsi="Times New Roman" w:eastAsia="Times New Roman" w:cs="Times New Roman"/>
                <w:spacing w:val="3"/>
                <w:sz w:val="20"/>
                <w:szCs w:val="20"/>
              </w:rPr>
              <w:t xml:space="preserve">150 </w:t>
            </w:r>
            <w:r>
              <w:rPr>
                <w:rFonts w:ascii="Times New Roman" w:hAnsi="Times New Roman" w:eastAsia="Times New Roman" w:cs="Times New Roman"/>
                <w:sz w:val="20"/>
                <w:szCs w:val="20"/>
              </w:rPr>
              <w:t>mm</w:t>
            </w:r>
            <w:r>
              <w:rPr>
                <w:spacing w:val="3"/>
                <w:sz w:val="20"/>
                <w:szCs w:val="20"/>
              </w:rPr>
              <w:t>，其中物流通道</w:t>
            </w:r>
            <w:r>
              <w:rPr>
                <w:spacing w:val="14"/>
                <w:sz w:val="20"/>
                <w:szCs w:val="20"/>
              </w:rPr>
              <w:t xml:space="preserve"> </w:t>
            </w:r>
            <w:r>
              <w:rPr>
                <w:spacing w:val="7"/>
                <w:sz w:val="20"/>
                <w:szCs w:val="20"/>
              </w:rPr>
              <w:t>路面和拆解作业区域强度不低于</w:t>
            </w:r>
            <w:r>
              <w:rPr>
                <w:rFonts w:ascii="Times New Roman" w:hAnsi="Times New Roman" w:eastAsia="Times New Roman" w:cs="Times New Roman"/>
                <w:spacing w:val="7"/>
                <w:sz w:val="20"/>
                <w:szCs w:val="20"/>
              </w:rPr>
              <w:t>C30</w:t>
            </w:r>
            <w:r>
              <w:rPr>
                <w:spacing w:val="7"/>
                <w:sz w:val="20"/>
                <w:szCs w:val="20"/>
              </w:rPr>
              <w:t>，厚</w:t>
            </w:r>
            <w:r>
              <w:rPr>
                <w:spacing w:val="2"/>
                <w:sz w:val="20"/>
                <w:szCs w:val="20"/>
              </w:rPr>
              <w:t xml:space="preserve"> </w:t>
            </w:r>
            <w:r>
              <w:rPr>
                <w:spacing w:val="9"/>
                <w:sz w:val="20"/>
                <w:szCs w:val="20"/>
              </w:rPr>
              <w:t>度不低于</w:t>
            </w:r>
            <w:r>
              <w:rPr>
                <w:rFonts w:ascii="Times New Roman" w:hAnsi="Times New Roman" w:eastAsia="Times New Roman" w:cs="Times New Roman"/>
                <w:spacing w:val="9"/>
                <w:sz w:val="20"/>
                <w:szCs w:val="20"/>
              </w:rPr>
              <w:t xml:space="preserve">200 </w:t>
            </w:r>
            <w:r>
              <w:rPr>
                <w:rFonts w:ascii="Times New Roman" w:hAnsi="Times New Roman" w:eastAsia="Times New Roman" w:cs="Times New Roman"/>
                <w:sz w:val="20"/>
                <w:szCs w:val="20"/>
              </w:rPr>
              <w:t>mm</w:t>
            </w:r>
            <w:r>
              <w:rPr>
                <w:rFonts w:ascii="Times New Roman" w:hAnsi="Times New Roman" w:eastAsia="Times New Roman" w:cs="Times New Roman"/>
                <w:spacing w:val="-5"/>
                <w:sz w:val="20"/>
                <w:szCs w:val="20"/>
              </w:rPr>
              <w:t xml:space="preserve"> </w:t>
            </w:r>
            <w:r>
              <w:rPr>
                <w:spacing w:val="9"/>
                <w:sz w:val="20"/>
                <w:szCs w:val="20"/>
              </w:rPr>
              <w:t>。大型拆解设备承重区</w:t>
            </w:r>
            <w:r>
              <w:rPr>
                <w:sz w:val="20"/>
                <w:szCs w:val="20"/>
              </w:rPr>
              <w:t xml:space="preserve"> </w:t>
            </w:r>
            <w:r>
              <w:rPr>
                <w:spacing w:val="8"/>
                <w:sz w:val="20"/>
                <w:szCs w:val="20"/>
              </w:rPr>
              <w:t>域的硬化标准参照设备工艺要求执行；</w:t>
            </w:r>
          </w:p>
          <w:p w14:paraId="466BBF1F">
            <w:pPr>
              <w:pStyle w:val="6"/>
              <w:spacing w:before="39" w:line="221" w:lineRule="auto"/>
              <w:ind w:left="208"/>
              <w:rPr>
                <w:sz w:val="20"/>
                <w:szCs w:val="20"/>
              </w:rPr>
            </w:pPr>
            <w:r>
              <w:rPr>
                <w:rFonts w:ascii="Times New Roman" w:hAnsi="Times New Roman" w:eastAsia="Times New Roman" w:cs="Times New Roman"/>
                <w:spacing w:val="8"/>
                <w:sz w:val="20"/>
                <w:szCs w:val="20"/>
              </w:rPr>
              <w:t>e)</w:t>
            </w:r>
            <w:r>
              <w:rPr>
                <w:spacing w:val="8"/>
                <w:sz w:val="20"/>
                <w:szCs w:val="20"/>
              </w:rPr>
              <w:t>拆解区应为封闭或半封闭建筑物；</w:t>
            </w:r>
          </w:p>
          <w:p w14:paraId="23ADC1DD">
            <w:pPr>
              <w:pStyle w:val="6"/>
              <w:spacing w:before="79" w:line="271" w:lineRule="auto"/>
              <w:ind w:left="208" w:right="106"/>
              <w:rPr>
                <w:sz w:val="20"/>
                <w:szCs w:val="20"/>
              </w:rPr>
            </w:pPr>
            <w:r>
              <w:rPr>
                <w:rFonts w:ascii="Times New Roman" w:hAnsi="Times New Roman" w:eastAsia="Times New Roman" w:cs="Times New Roman"/>
                <w:spacing w:val="7"/>
                <w:sz w:val="20"/>
                <w:szCs w:val="20"/>
              </w:rPr>
              <w:t>f)</w:t>
            </w:r>
            <w:r>
              <w:rPr>
                <w:spacing w:val="7"/>
                <w:sz w:val="20"/>
                <w:szCs w:val="20"/>
              </w:rPr>
              <w:t>破碎分选区应设在封闭区域内，控制工</w:t>
            </w:r>
            <w:r>
              <w:rPr>
                <w:spacing w:val="1"/>
                <w:sz w:val="20"/>
                <w:szCs w:val="20"/>
              </w:rPr>
              <w:t xml:space="preserve"> </w:t>
            </w:r>
            <w:r>
              <w:rPr>
                <w:spacing w:val="8"/>
                <w:sz w:val="20"/>
                <w:szCs w:val="20"/>
              </w:rPr>
              <w:t>业废气、粉尘和噪声污染；</w:t>
            </w:r>
          </w:p>
          <w:p w14:paraId="269BAB98">
            <w:pPr>
              <w:pStyle w:val="6"/>
              <w:spacing w:before="53" w:line="282" w:lineRule="auto"/>
              <w:ind w:left="208" w:right="106" w:hanging="1"/>
              <w:jc w:val="both"/>
              <w:rPr>
                <w:sz w:val="20"/>
                <w:szCs w:val="20"/>
              </w:rPr>
            </w:pPr>
            <w:r>
              <w:rPr>
                <w:rFonts w:ascii="Times New Roman" w:hAnsi="Times New Roman" w:eastAsia="Times New Roman" w:cs="Times New Roman"/>
                <w:spacing w:val="16"/>
                <w:sz w:val="20"/>
                <w:szCs w:val="20"/>
              </w:rPr>
              <w:t>g)</w:t>
            </w:r>
            <w:r>
              <w:rPr>
                <w:spacing w:val="16"/>
                <w:sz w:val="20"/>
                <w:szCs w:val="20"/>
              </w:rPr>
              <w:t>危险废物贮存区应设置液体导流和收</w:t>
            </w:r>
            <w:r>
              <w:rPr>
                <w:spacing w:val="15"/>
                <w:sz w:val="20"/>
                <w:szCs w:val="20"/>
              </w:rPr>
              <w:t xml:space="preserve"> </w:t>
            </w:r>
            <w:r>
              <w:rPr>
                <w:spacing w:val="3"/>
                <w:sz w:val="20"/>
                <w:szCs w:val="20"/>
              </w:rPr>
              <w:t>集装置，地面应无液体积聚，如有冲洗废</w:t>
            </w:r>
            <w:r>
              <w:rPr>
                <w:spacing w:val="13"/>
                <w:sz w:val="20"/>
                <w:szCs w:val="20"/>
              </w:rPr>
              <w:t xml:space="preserve"> </w:t>
            </w:r>
            <w:r>
              <w:rPr>
                <w:spacing w:val="8"/>
                <w:sz w:val="20"/>
                <w:szCs w:val="20"/>
              </w:rPr>
              <w:t>水应纳入废水收集处理设施处理；</w:t>
            </w:r>
          </w:p>
          <w:p w14:paraId="3D6A3D4E">
            <w:pPr>
              <w:pStyle w:val="6"/>
              <w:spacing w:before="43" w:line="287" w:lineRule="auto"/>
              <w:ind w:left="208" w:right="106" w:hanging="6"/>
              <w:jc w:val="both"/>
              <w:rPr>
                <w:sz w:val="20"/>
                <w:szCs w:val="20"/>
              </w:rPr>
            </w:pPr>
            <w:r>
              <w:rPr>
                <w:rFonts w:ascii="Times New Roman" w:hAnsi="Times New Roman" w:eastAsia="Times New Roman" w:cs="Times New Roman"/>
                <w:spacing w:val="5"/>
                <w:sz w:val="20"/>
                <w:szCs w:val="20"/>
              </w:rPr>
              <w:t>h)</w:t>
            </w:r>
            <w:r>
              <w:rPr>
                <w:spacing w:val="5"/>
                <w:sz w:val="20"/>
                <w:szCs w:val="20"/>
              </w:rPr>
              <w:t>不同种类的危险废物应单独收集，分类</w:t>
            </w:r>
            <w:r>
              <w:rPr>
                <w:spacing w:val="13"/>
                <w:sz w:val="20"/>
                <w:szCs w:val="20"/>
              </w:rPr>
              <w:t xml:space="preserve"> </w:t>
            </w:r>
            <w:r>
              <w:rPr>
                <w:spacing w:val="3"/>
                <w:sz w:val="20"/>
                <w:szCs w:val="20"/>
              </w:rPr>
              <w:t>存放，中间有明显间隔；贮存场所应设置</w:t>
            </w:r>
            <w:r>
              <w:rPr>
                <w:spacing w:val="14"/>
                <w:sz w:val="20"/>
                <w:szCs w:val="20"/>
              </w:rPr>
              <w:t xml:space="preserve"> </w:t>
            </w:r>
            <w:r>
              <w:rPr>
                <w:spacing w:val="9"/>
                <w:sz w:val="20"/>
                <w:szCs w:val="20"/>
              </w:rPr>
              <w:t>警示标识，</w:t>
            </w:r>
            <w:r>
              <w:rPr>
                <w:spacing w:val="-56"/>
                <w:sz w:val="20"/>
                <w:szCs w:val="20"/>
              </w:rPr>
              <w:t xml:space="preserve"> </w:t>
            </w:r>
            <w:r>
              <w:rPr>
                <w:spacing w:val="9"/>
                <w:sz w:val="20"/>
                <w:szCs w:val="20"/>
              </w:rPr>
              <w:t>同时还应满足</w:t>
            </w:r>
            <w:r>
              <w:rPr>
                <w:rFonts w:ascii="Times New Roman" w:hAnsi="Times New Roman" w:eastAsia="Times New Roman" w:cs="Times New Roman"/>
                <w:sz w:val="20"/>
                <w:szCs w:val="20"/>
              </w:rPr>
              <w:t>GB</w:t>
            </w:r>
            <w:r>
              <w:rPr>
                <w:rFonts w:ascii="Times New Roman" w:hAnsi="Times New Roman" w:eastAsia="Times New Roman" w:cs="Times New Roman"/>
                <w:spacing w:val="34"/>
                <w:w w:val="101"/>
                <w:sz w:val="20"/>
                <w:szCs w:val="20"/>
              </w:rPr>
              <w:t xml:space="preserve"> </w:t>
            </w:r>
            <w:r>
              <w:rPr>
                <w:rFonts w:ascii="Times New Roman" w:hAnsi="Times New Roman" w:eastAsia="Times New Roman" w:cs="Times New Roman"/>
                <w:spacing w:val="9"/>
                <w:sz w:val="20"/>
                <w:szCs w:val="20"/>
              </w:rPr>
              <w:t>18597</w:t>
            </w:r>
            <w:r>
              <w:rPr>
                <w:spacing w:val="9"/>
                <w:sz w:val="20"/>
                <w:szCs w:val="20"/>
              </w:rPr>
              <w:t>中其</w:t>
            </w:r>
            <w:r>
              <w:rPr>
                <w:sz w:val="20"/>
                <w:szCs w:val="20"/>
              </w:rPr>
              <w:t xml:space="preserve"> </w:t>
            </w:r>
            <w:r>
              <w:rPr>
                <w:spacing w:val="6"/>
                <w:sz w:val="20"/>
                <w:szCs w:val="20"/>
              </w:rPr>
              <w:t>他相关要求；</w:t>
            </w:r>
          </w:p>
          <w:p w14:paraId="58605090">
            <w:pPr>
              <w:pStyle w:val="6"/>
              <w:spacing w:before="36" w:line="270" w:lineRule="auto"/>
              <w:ind w:left="209" w:right="106" w:hanging="2"/>
              <w:rPr>
                <w:sz w:val="20"/>
                <w:szCs w:val="20"/>
              </w:rPr>
            </w:pPr>
            <w:r>
              <w:rPr>
                <w:rFonts w:ascii="Times New Roman" w:hAnsi="Times New Roman" w:eastAsia="Times New Roman" w:cs="Times New Roman"/>
                <w:spacing w:val="7"/>
                <w:sz w:val="20"/>
                <w:szCs w:val="20"/>
              </w:rPr>
              <w:t>i)</w:t>
            </w:r>
            <w:r>
              <w:rPr>
                <w:spacing w:val="7"/>
                <w:sz w:val="20"/>
                <w:szCs w:val="20"/>
              </w:rPr>
              <w:t>铅蓄电池的拆卸、贮存区的地面应做防</w:t>
            </w:r>
            <w:r>
              <w:rPr>
                <w:spacing w:val="14"/>
                <w:sz w:val="20"/>
                <w:szCs w:val="20"/>
              </w:rPr>
              <w:t xml:space="preserve"> </w:t>
            </w:r>
            <w:r>
              <w:rPr>
                <w:spacing w:val="3"/>
                <w:sz w:val="20"/>
                <w:szCs w:val="20"/>
              </w:rPr>
              <w:t>酸、防腐、防渗及硬化处理，同时还应满</w:t>
            </w:r>
          </w:p>
        </w:tc>
        <w:tc>
          <w:tcPr>
            <w:tcW w:w="3456" w:type="dxa"/>
            <w:tcBorders>
              <w:left w:val="single" w:color="000000" w:sz="2" w:space="0"/>
              <w:bottom w:val="single" w:color="000000" w:sz="2" w:space="0"/>
              <w:right w:val="single" w:color="000000" w:sz="2" w:space="0"/>
            </w:tcBorders>
            <w:vAlign w:val="top"/>
          </w:tcPr>
          <w:p w14:paraId="362F8BDC">
            <w:pPr>
              <w:pStyle w:val="6"/>
              <w:spacing w:before="72" w:line="280" w:lineRule="auto"/>
              <w:ind w:left="116" w:right="97" w:hanging="3"/>
              <w:rPr>
                <w:sz w:val="20"/>
                <w:szCs w:val="20"/>
              </w:rPr>
            </w:pPr>
            <w:r>
              <w:rPr>
                <w:spacing w:val="13"/>
                <w:sz w:val="20"/>
                <w:szCs w:val="20"/>
              </w:rPr>
              <w:t>施工与运行遵守“三同时</w:t>
            </w:r>
            <w:r>
              <w:rPr>
                <w:spacing w:val="-56"/>
                <w:sz w:val="20"/>
                <w:szCs w:val="20"/>
              </w:rPr>
              <w:t xml:space="preserve"> </w:t>
            </w:r>
            <w:r>
              <w:rPr>
                <w:spacing w:val="13"/>
                <w:sz w:val="20"/>
                <w:szCs w:val="20"/>
              </w:rPr>
              <w:t>”环境管</w:t>
            </w:r>
            <w:r>
              <w:rPr>
                <w:sz w:val="20"/>
                <w:szCs w:val="20"/>
              </w:rPr>
              <w:t xml:space="preserve"> </w:t>
            </w:r>
            <w:r>
              <w:rPr>
                <w:spacing w:val="4"/>
                <w:sz w:val="20"/>
                <w:szCs w:val="20"/>
              </w:rPr>
              <w:t>理制度。</w:t>
            </w:r>
          </w:p>
          <w:p w14:paraId="6447ED5E">
            <w:pPr>
              <w:pStyle w:val="6"/>
              <w:spacing w:before="30" w:line="270" w:lineRule="auto"/>
              <w:ind w:left="113" w:right="94" w:firstLine="1"/>
              <w:jc w:val="both"/>
              <w:rPr>
                <w:sz w:val="20"/>
                <w:szCs w:val="20"/>
              </w:rPr>
            </w:pPr>
            <w:r>
              <w:rPr>
                <w:spacing w:val="16"/>
                <w:sz w:val="20"/>
                <w:szCs w:val="20"/>
              </w:rPr>
              <w:t>本项目符合国家安全生产、职业健</w:t>
            </w:r>
            <w:r>
              <w:rPr>
                <w:sz w:val="20"/>
                <w:szCs w:val="20"/>
              </w:rPr>
              <w:t xml:space="preserve"> </w:t>
            </w:r>
            <w:r>
              <w:rPr>
                <w:spacing w:val="16"/>
                <w:sz w:val="20"/>
                <w:szCs w:val="20"/>
              </w:rPr>
              <w:t>康、交通运输、消防等法规标准的</w:t>
            </w:r>
            <w:r>
              <w:rPr>
                <w:spacing w:val="1"/>
                <w:sz w:val="20"/>
                <w:szCs w:val="20"/>
              </w:rPr>
              <w:t xml:space="preserve"> </w:t>
            </w:r>
            <w:r>
              <w:rPr>
                <w:spacing w:val="6"/>
                <w:sz w:val="20"/>
                <w:szCs w:val="20"/>
              </w:rPr>
              <w:t>相关要求。</w:t>
            </w:r>
          </w:p>
        </w:tc>
        <w:tc>
          <w:tcPr>
            <w:tcW w:w="982" w:type="dxa"/>
            <w:vMerge w:val="restart"/>
            <w:tcBorders>
              <w:left w:val="single" w:color="000000" w:sz="2" w:space="0"/>
              <w:bottom w:val="nil"/>
            </w:tcBorders>
            <w:vAlign w:val="top"/>
          </w:tcPr>
          <w:p w14:paraId="65D37595">
            <w:pPr>
              <w:spacing w:line="246" w:lineRule="auto"/>
              <w:rPr>
                <w:rFonts w:ascii="Arial"/>
                <w:sz w:val="21"/>
              </w:rPr>
            </w:pPr>
          </w:p>
          <w:p w14:paraId="3F12A9E5">
            <w:pPr>
              <w:spacing w:line="246" w:lineRule="auto"/>
              <w:rPr>
                <w:rFonts w:ascii="Arial"/>
                <w:sz w:val="21"/>
              </w:rPr>
            </w:pPr>
          </w:p>
          <w:p w14:paraId="3073428D">
            <w:pPr>
              <w:spacing w:line="246" w:lineRule="auto"/>
              <w:rPr>
                <w:rFonts w:ascii="Arial"/>
                <w:sz w:val="21"/>
              </w:rPr>
            </w:pPr>
          </w:p>
          <w:p w14:paraId="7B3A2BCC">
            <w:pPr>
              <w:spacing w:line="246" w:lineRule="auto"/>
              <w:rPr>
                <w:rFonts w:ascii="Arial"/>
                <w:sz w:val="21"/>
              </w:rPr>
            </w:pPr>
          </w:p>
          <w:p w14:paraId="2C81239A">
            <w:pPr>
              <w:spacing w:line="246" w:lineRule="auto"/>
              <w:rPr>
                <w:rFonts w:ascii="Arial"/>
                <w:sz w:val="21"/>
              </w:rPr>
            </w:pPr>
          </w:p>
          <w:p w14:paraId="715E6060">
            <w:pPr>
              <w:spacing w:line="246" w:lineRule="auto"/>
              <w:rPr>
                <w:rFonts w:ascii="Arial"/>
                <w:sz w:val="21"/>
              </w:rPr>
            </w:pPr>
          </w:p>
          <w:p w14:paraId="4D751E24">
            <w:pPr>
              <w:spacing w:line="246" w:lineRule="auto"/>
              <w:rPr>
                <w:rFonts w:ascii="Arial"/>
                <w:sz w:val="21"/>
              </w:rPr>
            </w:pPr>
          </w:p>
          <w:p w14:paraId="5668538E">
            <w:pPr>
              <w:spacing w:line="246" w:lineRule="auto"/>
              <w:rPr>
                <w:rFonts w:ascii="Arial"/>
                <w:sz w:val="21"/>
              </w:rPr>
            </w:pPr>
          </w:p>
          <w:p w14:paraId="5F9BD8A0">
            <w:pPr>
              <w:spacing w:line="247" w:lineRule="auto"/>
              <w:rPr>
                <w:rFonts w:ascii="Arial"/>
                <w:sz w:val="21"/>
              </w:rPr>
            </w:pPr>
          </w:p>
          <w:p w14:paraId="2C502B3B">
            <w:pPr>
              <w:spacing w:line="247" w:lineRule="auto"/>
              <w:rPr>
                <w:rFonts w:ascii="Arial"/>
                <w:sz w:val="21"/>
              </w:rPr>
            </w:pPr>
          </w:p>
          <w:p w14:paraId="589BCA5E">
            <w:pPr>
              <w:spacing w:line="247" w:lineRule="auto"/>
              <w:rPr>
                <w:rFonts w:ascii="Arial"/>
                <w:sz w:val="21"/>
              </w:rPr>
            </w:pPr>
          </w:p>
          <w:p w14:paraId="2D52C934">
            <w:pPr>
              <w:spacing w:line="247" w:lineRule="auto"/>
              <w:rPr>
                <w:rFonts w:ascii="Arial"/>
                <w:sz w:val="21"/>
              </w:rPr>
            </w:pPr>
          </w:p>
          <w:p w14:paraId="724098F1">
            <w:pPr>
              <w:spacing w:line="247" w:lineRule="auto"/>
              <w:rPr>
                <w:rFonts w:ascii="Arial"/>
                <w:sz w:val="21"/>
              </w:rPr>
            </w:pPr>
          </w:p>
          <w:p w14:paraId="5E81E248">
            <w:pPr>
              <w:spacing w:line="247" w:lineRule="auto"/>
              <w:rPr>
                <w:rFonts w:ascii="Arial"/>
                <w:sz w:val="21"/>
              </w:rPr>
            </w:pPr>
          </w:p>
          <w:p w14:paraId="1F1BAC59">
            <w:pPr>
              <w:spacing w:line="247" w:lineRule="auto"/>
              <w:rPr>
                <w:rFonts w:ascii="Arial"/>
                <w:sz w:val="21"/>
              </w:rPr>
            </w:pPr>
          </w:p>
          <w:p w14:paraId="24BCF369">
            <w:pPr>
              <w:spacing w:line="247" w:lineRule="auto"/>
              <w:rPr>
                <w:rFonts w:ascii="Arial"/>
                <w:sz w:val="21"/>
              </w:rPr>
            </w:pPr>
          </w:p>
          <w:p w14:paraId="205B4F55">
            <w:pPr>
              <w:spacing w:line="247" w:lineRule="auto"/>
              <w:rPr>
                <w:rFonts w:ascii="Arial"/>
                <w:sz w:val="21"/>
              </w:rPr>
            </w:pPr>
          </w:p>
          <w:p w14:paraId="69B96ED5">
            <w:pPr>
              <w:spacing w:line="247" w:lineRule="auto"/>
              <w:rPr>
                <w:rFonts w:ascii="Arial"/>
                <w:sz w:val="21"/>
              </w:rPr>
            </w:pPr>
          </w:p>
          <w:p w14:paraId="6576C717">
            <w:pPr>
              <w:spacing w:line="247" w:lineRule="auto"/>
              <w:rPr>
                <w:rFonts w:ascii="Arial"/>
                <w:sz w:val="21"/>
              </w:rPr>
            </w:pPr>
          </w:p>
          <w:p w14:paraId="22A02E62">
            <w:pPr>
              <w:spacing w:line="247" w:lineRule="auto"/>
              <w:rPr>
                <w:rFonts w:ascii="Arial"/>
                <w:sz w:val="21"/>
              </w:rPr>
            </w:pPr>
          </w:p>
          <w:p w14:paraId="2FCAB7CB">
            <w:pPr>
              <w:spacing w:line="247" w:lineRule="auto"/>
              <w:rPr>
                <w:rFonts w:ascii="Arial"/>
                <w:sz w:val="21"/>
              </w:rPr>
            </w:pPr>
          </w:p>
          <w:p w14:paraId="032C8CD2">
            <w:pPr>
              <w:spacing w:line="247" w:lineRule="auto"/>
              <w:rPr>
                <w:rFonts w:ascii="Arial"/>
                <w:sz w:val="21"/>
              </w:rPr>
            </w:pPr>
          </w:p>
          <w:p w14:paraId="5D0AF44E">
            <w:pPr>
              <w:spacing w:line="247" w:lineRule="auto"/>
              <w:rPr>
                <w:rFonts w:ascii="Arial"/>
                <w:sz w:val="21"/>
              </w:rPr>
            </w:pPr>
          </w:p>
          <w:p w14:paraId="798AC93C">
            <w:pPr>
              <w:spacing w:line="247" w:lineRule="auto"/>
              <w:rPr>
                <w:rFonts w:ascii="Arial"/>
                <w:sz w:val="21"/>
              </w:rPr>
            </w:pPr>
          </w:p>
          <w:p w14:paraId="13AE8956">
            <w:pPr>
              <w:spacing w:line="247" w:lineRule="auto"/>
              <w:rPr>
                <w:rFonts w:ascii="Arial"/>
                <w:sz w:val="21"/>
              </w:rPr>
            </w:pPr>
          </w:p>
          <w:p w14:paraId="335C8A1B">
            <w:pPr>
              <w:spacing w:line="247" w:lineRule="auto"/>
              <w:rPr>
                <w:rFonts w:ascii="Arial"/>
                <w:sz w:val="21"/>
              </w:rPr>
            </w:pPr>
          </w:p>
          <w:p w14:paraId="50B8A047">
            <w:pPr>
              <w:spacing w:line="247" w:lineRule="auto"/>
              <w:rPr>
                <w:rFonts w:ascii="Arial"/>
                <w:sz w:val="21"/>
              </w:rPr>
            </w:pPr>
          </w:p>
          <w:p w14:paraId="6751D53F">
            <w:pPr>
              <w:spacing w:line="247" w:lineRule="auto"/>
              <w:rPr>
                <w:rFonts w:ascii="Arial"/>
                <w:sz w:val="21"/>
              </w:rPr>
            </w:pPr>
          </w:p>
          <w:p w14:paraId="4CC6E599">
            <w:pPr>
              <w:spacing w:line="247" w:lineRule="auto"/>
              <w:rPr>
                <w:rFonts w:ascii="Arial"/>
                <w:sz w:val="21"/>
              </w:rPr>
            </w:pPr>
          </w:p>
          <w:p w14:paraId="5A279190">
            <w:pPr>
              <w:spacing w:line="247" w:lineRule="auto"/>
              <w:rPr>
                <w:rFonts w:ascii="Arial"/>
                <w:sz w:val="21"/>
              </w:rPr>
            </w:pPr>
          </w:p>
          <w:p w14:paraId="73C4CA42">
            <w:pPr>
              <w:spacing w:line="247" w:lineRule="auto"/>
              <w:rPr>
                <w:rFonts w:ascii="Arial"/>
                <w:sz w:val="21"/>
              </w:rPr>
            </w:pPr>
          </w:p>
          <w:p w14:paraId="6A3B9315">
            <w:pPr>
              <w:pStyle w:val="6"/>
              <w:spacing w:before="65" w:line="228" w:lineRule="auto"/>
              <w:ind w:left="238"/>
              <w:rPr>
                <w:sz w:val="20"/>
                <w:szCs w:val="20"/>
              </w:rPr>
            </w:pPr>
            <w:r>
              <w:rPr>
                <w:spacing w:val="3"/>
                <w:sz w:val="20"/>
                <w:szCs w:val="20"/>
              </w:rPr>
              <w:t>符合</w:t>
            </w:r>
          </w:p>
        </w:tc>
      </w:tr>
      <w:tr w14:paraId="0B261D16">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2514" w:hRule="atLeast"/>
        </w:trPr>
        <w:tc>
          <w:tcPr>
            <w:tcW w:w="494" w:type="dxa"/>
            <w:vMerge w:val="continue"/>
            <w:tcBorders>
              <w:top w:val="nil"/>
              <w:right w:val="single" w:color="000000" w:sz="2" w:space="0"/>
            </w:tcBorders>
            <w:vAlign w:val="top"/>
          </w:tcPr>
          <w:p w14:paraId="1A1FBA32">
            <w:pPr>
              <w:rPr>
                <w:rFonts w:ascii="Arial"/>
                <w:sz w:val="21"/>
              </w:rPr>
            </w:pPr>
          </w:p>
        </w:tc>
        <w:tc>
          <w:tcPr>
            <w:tcW w:w="3990" w:type="dxa"/>
            <w:vMerge w:val="continue"/>
            <w:tcBorders>
              <w:top w:val="nil"/>
              <w:left w:val="single" w:color="000000" w:sz="2" w:space="0"/>
              <w:right w:val="single" w:color="000000" w:sz="2" w:space="0"/>
            </w:tcBorders>
            <w:vAlign w:val="top"/>
          </w:tcPr>
          <w:p w14:paraId="58BA5DD5">
            <w:pPr>
              <w:rPr>
                <w:rFonts w:ascii="Arial"/>
                <w:sz w:val="21"/>
              </w:rPr>
            </w:pPr>
          </w:p>
        </w:tc>
        <w:tc>
          <w:tcPr>
            <w:tcW w:w="3456" w:type="dxa"/>
            <w:tcBorders>
              <w:top w:val="single" w:color="000000" w:sz="2" w:space="0"/>
              <w:left w:val="single" w:color="000000" w:sz="2" w:space="0"/>
              <w:right w:val="single" w:color="000000" w:sz="2" w:space="0"/>
            </w:tcBorders>
            <w:vAlign w:val="top"/>
          </w:tcPr>
          <w:p w14:paraId="172CE8AE">
            <w:pPr>
              <w:pStyle w:val="6"/>
              <w:spacing w:before="82" w:line="289" w:lineRule="auto"/>
              <w:ind w:left="114" w:right="195"/>
              <w:jc w:val="both"/>
              <w:rPr>
                <w:sz w:val="20"/>
                <w:szCs w:val="20"/>
              </w:rPr>
            </w:pPr>
            <w:r>
              <w:rPr>
                <w:spacing w:val="9"/>
                <w:sz w:val="20"/>
                <w:szCs w:val="20"/>
              </w:rPr>
              <w:t>本项目划分办公区和作业区，项目</w:t>
            </w:r>
            <w:r>
              <w:rPr>
                <w:spacing w:val="3"/>
                <w:sz w:val="20"/>
                <w:szCs w:val="20"/>
              </w:rPr>
              <w:t xml:space="preserve"> </w:t>
            </w:r>
            <w:r>
              <w:rPr>
                <w:spacing w:val="9"/>
                <w:sz w:val="20"/>
                <w:szCs w:val="20"/>
              </w:rPr>
              <w:t>不进行电动汽车拆解，作业区包括</w:t>
            </w:r>
            <w:r>
              <w:rPr>
                <w:spacing w:val="4"/>
                <w:sz w:val="20"/>
                <w:szCs w:val="20"/>
              </w:rPr>
              <w:t xml:space="preserve"> </w:t>
            </w:r>
            <w:r>
              <w:rPr>
                <w:spacing w:val="9"/>
                <w:sz w:val="20"/>
                <w:szCs w:val="20"/>
              </w:rPr>
              <w:t>拆解车间、报废农机暂存区、拆解</w:t>
            </w:r>
            <w:r>
              <w:rPr>
                <w:spacing w:val="4"/>
                <w:sz w:val="20"/>
                <w:szCs w:val="20"/>
              </w:rPr>
              <w:t xml:space="preserve"> </w:t>
            </w:r>
            <w:r>
              <w:rPr>
                <w:spacing w:val="9"/>
                <w:sz w:val="20"/>
                <w:szCs w:val="20"/>
              </w:rPr>
              <w:t>后物料贮存区、待拆解暂存区、危</w:t>
            </w:r>
            <w:r>
              <w:rPr>
                <w:spacing w:val="4"/>
                <w:sz w:val="20"/>
                <w:szCs w:val="20"/>
              </w:rPr>
              <w:t xml:space="preserve"> </w:t>
            </w:r>
            <w:r>
              <w:rPr>
                <w:spacing w:val="7"/>
                <w:sz w:val="20"/>
                <w:szCs w:val="20"/>
              </w:rPr>
              <w:t>险废物贮存库等。</w:t>
            </w:r>
          </w:p>
          <w:p w14:paraId="6EFEB8EA">
            <w:pPr>
              <w:pStyle w:val="6"/>
              <w:spacing w:before="31" w:line="286" w:lineRule="auto"/>
              <w:ind w:left="113" w:right="195" w:firstLine="1"/>
              <w:rPr>
                <w:sz w:val="20"/>
                <w:szCs w:val="20"/>
              </w:rPr>
            </w:pPr>
            <w:r>
              <w:rPr>
                <w:spacing w:val="5"/>
                <w:sz w:val="20"/>
                <w:szCs w:val="20"/>
              </w:rPr>
              <w:t>本项目占地面积</w:t>
            </w:r>
            <w:r>
              <w:rPr>
                <w:rFonts w:ascii="Times New Roman" w:hAnsi="Times New Roman" w:eastAsia="Times New Roman" w:cs="Times New Roman"/>
                <w:spacing w:val="5"/>
                <w:sz w:val="20"/>
                <w:szCs w:val="20"/>
              </w:rPr>
              <w:t>2500</w:t>
            </w:r>
            <w:r>
              <w:rPr>
                <w:spacing w:val="5"/>
                <w:sz w:val="20"/>
                <w:szCs w:val="20"/>
              </w:rPr>
              <w:t>㎡</w:t>
            </w:r>
            <w:r>
              <w:rPr>
                <w:spacing w:val="-49"/>
                <w:sz w:val="20"/>
                <w:szCs w:val="20"/>
              </w:rPr>
              <w:t xml:space="preserve"> </w:t>
            </w:r>
            <w:r>
              <w:rPr>
                <w:spacing w:val="5"/>
                <w:sz w:val="20"/>
                <w:szCs w:val="20"/>
              </w:rPr>
              <w:t>，设置独立</w:t>
            </w:r>
            <w:r>
              <w:rPr>
                <w:sz w:val="20"/>
                <w:szCs w:val="20"/>
              </w:rPr>
              <w:t xml:space="preserve"> </w:t>
            </w:r>
            <w:r>
              <w:rPr>
                <w:spacing w:val="9"/>
                <w:sz w:val="20"/>
                <w:szCs w:val="20"/>
              </w:rPr>
              <w:t>的拆解车间、报废农机暂存区、拆</w:t>
            </w:r>
            <w:r>
              <w:rPr>
                <w:spacing w:val="5"/>
                <w:sz w:val="20"/>
                <w:szCs w:val="20"/>
              </w:rPr>
              <w:t xml:space="preserve"> </w:t>
            </w:r>
            <w:r>
              <w:rPr>
                <w:spacing w:val="8"/>
                <w:sz w:val="20"/>
                <w:szCs w:val="20"/>
              </w:rPr>
              <w:t>解后物料储存区、待拆解暂存区、</w:t>
            </w:r>
          </w:p>
          <w:p w14:paraId="771F53B1">
            <w:pPr>
              <w:pStyle w:val="6"/>
              <w:spacing w:before="32" w:line="292" w:lineRule="auto"/>
              <w:ind w:left="113" w:right="97" w:firstLine="3"/>
              <w:rPr>
                <w:sz w:val="20"/>
                <w:szCs w:val="20"/>
              </w:rPr>
            </w:pPr>
            <w:r>
              <w:rPr>
                <w:spacing w:val="9"/>
                <w:sz w:val="20"/>
                <w:szCs w:val="20"/>
              </w:rPr>
              <w:t>危险废物贮存库等，并设有明显的</w:t>
            </w:r>
            <w:r>
              <w:rPr>
                <w:spacing w:val="1"/>
                <w:sz w:val="20"/>
                <w:szCs w:val="20"/>
              </w:rPr>
              <w:t xml:space="preserve">  </w:t>
            </w:r>
            <w:r>
              <w:rPr>
                <w:spacing w:val="5"/>
                <w:sz w:val="20"/>
                <w:szCs w:val="20"/>
              </w:rPr>
              <w:t>标识。其中，拆解车间</w:t>
            </w:r>
            <w:r>
              <w:rPr>
                <w:rFonts w:ascii="Times New Roman" w:hAnsi="Times New Roman" w:eastAsia="Times New Roman" w:cs="Times New Roman"/>
                <w:spacing w:val="5"/>
                <w:sz w:val="20"/>
                <w:szCs w:val="20"/>
              </w:rPr>
              <w:t>400</w:t>
            </w:r>
            <w:r>
              <w:rPr>
                <w:spacing w:val="5"/>
                <w:sz w:val="20"/>
                <w:szCs w:val="20"/>
              </w:rPr>
              <w:t>㎡</w:t>
            </w:r>
            <w:r>
              <w:rPr>
                <w:spacing w:val="-46"/>
                <w:sz w:val="20"/>
                <w:szCs w:val="20"/>
              </w:rPr>
              <w:t xml:space="preserve"> </w:t>
            </w:r>
            <w:r>
              <w:rPr>
                <w:spacing w:val="5"/>
                <w:sz w:val="20"/>
                <w:szCs w:val="20"/>
              </w:rPr>
              <w:t>，待拆</w:t>
            </w:r>
            <w:r>
              <w:rPr>
                <w:sz w:val="20"/>
                <w:szCs w:val="20"/>
              </w:rPr>
              <w:t xml:space="preserve"> </w:t>
            </w:r>
            <w:r>
              <w:rPr>
                <w:spacing w:val="5"/>
                <w:sz w:val="20"/>
                <w:szCs w:val="20"/>
              </w:rPr>
              <w:t>解农机存储</w:t>
            </w:r>
            <w:r>
              <w:rPr>
                <w:rFonts w:ascii="Times New Roman" w:hAnsi="Times New Roman" w:eastAsia="Times New Roman" w:cs="Times New Roman"/>
                <w:spacing w:val="5"/>
                <w:sz w:val="20"/>
                <w:szCs w:val="20"/>
              </w:rPr>
              <w:t>200</w:t>
            </w:r>
            <w:r>
              <w:rPr>
                <w:spacing w:val="5"/>
                <w:sz w:val="20"/>
                <w:szCs w:val="20"/>
              </w:rPr>
              <w:t>㎡</w:t>
            </w:r>
            <w:r>
              <w:rPr>
                <w:spacing w:val="-46"/>
                <w:sz w:val="20"/>
                <w:szCs w:val="20"/>
              </w:rPr>
              <w:t xml:space="preserve"> </w:t>
            </w:r>
            <w:r>
              <w:rPr>
                <w:spacing w:val="5"/>
                <w:sz w:val="20"/>
                <w:szCs w:val="20"/>
              </w:rPr>
              <w:t>，拆解后物料存储</w:t>
            </w:r>
            <w:r>
              <w:rPr>
                <w:sz w:val="20"/>
                <w:szCs w:val="20"/>
              </w:rPr>
              <w:t xml:space="preserve"> </w:t>
            </w:r>
            <w:r>
              <w:rPr>
                <w:spacing w:val="5"/>
                <w:sz w:val="20"/>
                <w:szCs w:val="20"/>
              </w:rPr>
              <w:t>区和报废农机暂存区</w:t>
            </w:r>
            <w:r>
              <w:rPr>
                <w:rFonts w:ascii="Times New Roman" w:hAnsi="Times New Roman" w:eastAsia="Times New Roman" w:cs="Times New Roman"/>
                <w:spacing w:val="5"/>
                <w:sz w:val="20"/>
                <w:szCs w:val="20"/>
              </w:rPr>
              <w:t>1510</w:t>
            </w:r>
            <w:r>
              <w:rPr>
                <w:spacing w:val="5"/>
                <w:sz w:val="20"/>
                <w:szCs w:val="20"/>
              </w:rPr>
              <w:t>㎡</w:t>
            </w:r>
            <w:r>
              <w:rPr>
                <w:spacing w:val="-47"/>
                <w:sz w:val="20"/>
                <w:szCs w:val="20"/>
              </w:rPr>
              <w:t xml:space="preserve"> </w:t>
            </w:r>
            <w:r>
              <w:rPr>
                <w:spacing w:val="5"/>
                <w:sz w:val="20"/>
                <w:szCs w:val="20"/>
              </w:rPr>
              <w:t>。作业</w:t>
            </w:r>
            <w:r>
              <w:rPr>
                <w:sz w:val="20"/>
                <w:szCs w:val="20"/>
              </w:rPr>
              <w:t xml:space="preserve">  </w:t>
            </w:r>
            <w:r>
              <w:rPr>
                <w:spacing w:val="9"/>
                <w:sz w:val="20"/>
                <w:szCs w:val="20"/>
              </w:rPr>
              <w:t>场地（包括拆解和储存场地）面积</w:t>
            </w:r>
            <w:r>
              <w:rPr>
                <w:spacing w:val="1"/>
                <w:sz w:val="20"/>
                <w:szCs w:val="20"/>
              </w:rPr>
              <w:t xml:space="preserve">  </w:t>
            </w:r>
            <w:r>
              <w:rPr>
                <w:sz w:val="20"/>
                <w:szCs w:val="20"/>
              </w:rPr>
              <w:t>共</w:t>
            </w:r>
            <w:r>
              <w:rPr>
                <w:rFonts w:ascii="Times New Roman" w:hAnsi="Times New Roman" w:eastAsia="Times New Roman" w:cs="Times New Roman"/>
                <w:sz w:val="20"/>
                <w:szCs w:val="20"/>
              </w:rPr>
              <w:t>2110</w:t>
            </w:r>
            <w:r>
              <w:rPr>
                <w:sz w:val="20"/>
                <w:szCs w:val="20"/>
              </w:rPr>
              <w:t>㎡</w:t>
            </w:r>
            <w:r>
              <w:rPr>
                <w:spacing w:val="-47"/>
                <w:sz w:val="20"/>
                <w:szCs w:val="20"/>
              </w:rPr>
              <w:t xml:space="preserve"> </w:t>
            </w:r>
            <w:r>
              <w:rPr>
                <w:sz w:val="20"/>
                <w:szCs w:val="20"/>
              </w:rPr>
              <w:t>，</w:t>
            </w:r>
            <w:r>
              <w:rPr>
                <w:spacing w:val="-58"/>
                <w:sz w:val="20"/>
                <w:szCs w:val="20"/>
              </w:rPr>
              <w:t xml:space="preserve"> </w:t>
            </w:r>
            <w:r>
              <w:rPr>
                <w:sz w:val="20"/>
                <w:szCs w:val="20"/>
              </w:rPr>
              <w:t>占总面积的</w:t>
            </w:r>
            <w:r>
              <w:rPr>
                <w:rFonts w:ascii="Times New Roman" w:hAnsi="Times New Roman" w:eastAsia="Times New Roman" w:cs="Times New Roman"/>
                <w:sz w:val="20"/>
                <w:szCs w:val="20"/>
              </w:rPr>
              <w:t>70.3%</w:t>
            </w:r>
            <w:r>
              <w:rPr>
                <w:rFonts w:ascii="Times New Roman" w:hAnsi="Times New Roman" w:eastAsia="Times New Roman" w:cs="Times New Roman"/>
                <w:spacing w:val="-23"/>
                <w:sz w:val="20"/>
                <w:szCs w:val="20"/>
              </w:rPr>
              <w:t xml:space="preserve"> </w:t>
            </w:r>
            <w:r>
              <w:rPr>
                <w:sz w:val="20"/>
                <w:szCs w:val="20"/>
              </w:rPr>
              <w:t xml:space="preserve">。作业 </w:t>
            </w:r>
            <w:r>
              <w:rPr>
                <w:spacing w:val="5"/>
                <w:sz w:val="20"/>
                <w:szCs w:val="20"/>
              </w:rPr>
              <w:t>区地面四周设置</w:t>
            </w:r>
            <w:r>
              <w:rPr>
                <w:rFonts w:ascii="Times New Roman" w:hAnsi="Times New Roman" w:eastAsia="Times New Roman" w:cs="Times New Roman"/>
                <w:spacing w:val="5"/>
                <w:sz w:val="20"/>
                <w:szCs w:val="20"/>
              </w:rPr>
              <w:t>0.4m</w:t>
            </w:r>
            <w:r>
              <w:rPr>
                <w:rFonts w:ascii="Arial" w:hAnsi="Arial" w:eastAsia="Arial" w:cs="Arial"/>
                <w:spacing w:val="5"/>
                <w:sz w:val="20"/>
                <w:szCs w:val="20"/>
              </w:rPr>
              <w:t>×</w:t>
            </w:r>
            <w:r>
              <w:rPr>
                <w:rFonts w:ascii="Times New Roman" w:hAnsi="Times New Roman" w:eastAsia="Times New Roman" w:cs="Times New Roman"/>
                <w:spacing w:val="5"/>
                <w:sz w:val="20"/>
                <w:szCs w:val="20"/>
              </w:rPr>
              <w:t>0.5m</w:t>
            </w:r>
            <w:r>
              <w:rPr>
                <w:spacing w:val="5"/>
                <w:sz w:val="20"/>
                <w:szCs w:val="20"/>
              </w:rPr>
              <w:t>导流槽，</w:t>
            </w:r>
            <w:r>
              <w:rPr>
                <w:spacing w:val="11"/>
                <w:sz w:val="20"/>
                <w:szCs w:val="20"/>
              </w:rPr>
              <w:t xml:space="preserve"> </w:t>
            </w:r>
            <w:r>
              <w:rPr>
                <w:spacing w:val="8"/>
                <w:sz w:val="20"/>
                <w:szCs w:val="20"/>
              </w:rPr>
              <w:t>于拆解车间外侧西南角建设</w:t>
            </w:r>
            <w:r>
              <w:rPr>
                <w:rFonts w:ascii="Times New Roman" w:hAnsi="Times New Roman" w:eastAsia="Times New Roman" w:cs="Times New Roman"/>
                <w:spacing w:val="8"/>
                <w:sz w:val="20"/>
                <w:szCs w:val="20"/>
              </w:rPr>
              <w:t>10m</w:t>
            </w:r>
            <w:r>
              <w:rPr>
                <w:rFonts w:ascii="Times New Roman" w:hAnsi="Times New Roman" w:eastAsia="Times New Roman" w:cs="Times New Roman"/>
                <w:spacing w:val="8"/>
                <w:position w:val="6"/>
                <w:sz w:val="13"/>
                <w:szCs w:val="13"/>
              </w:rPr>
              <w:t>3</w:t>
            </w:r>
            <w:r>
              <w:rPr>
                <w:spacing w:val="8"/>
                <w:sz w:val="20"/>
                <w:szCs w:val="20"/>
              </w:rPr>
              <w:t>事</w:t>
            </w:r>
            <w:r>
              <w:rPr>
                <w:spacing w:val="3"/>
                <w:sz w:val="20"/>
                <w:szCs w:val="20"/>
              </w:rPr>
              <w:t xml:space="preserve"> </w:t>
            </w:r>
            <w:r>
              <w:rPr>
                <w:spacing w:val="8"/>
                <w:sz w:val="20"/>
                <w:szCs w:val="20"/>
              </w:rPr>
              <w:t>故收集池。拆解车间为封闭车间，</w:t>
            </w:r>
          </w:p>
          <w:p w14:paraId="28FA517E">
            <w:pPr>
              <w:pStyle w:val="6"/>
              <w:spacing w:before="30" w:line="286" w:lineRule="auto"/>
              <w:ind w:left="117" w:right="105" w:firstLine="10"/>
              <w:rPr>
                <w:sz w:val="20"/>
                <w:szCs w:val="20"/>
              </w:rPr>
            </w:pPr>
            <w:r>
              <w:rPr>
                <w:spacing w:val="7"/>
                <w:sz w:val="20"/>
                <w:szCs w:val="20"/>
              </w:rPr>
              <w:t>防渗性能不低于</w:t>
            </w:r>
            <w:r>
              <w:rPr>
                <w:rFonts w:ascii="Times New Roman" w:hAnsi="Times New Roman" w:eastAsia="Times New Roman" w:cs="Times New Roman"/>
                <w:spacing w:val="7"/>
                <w:sz w:val="20"/>
                <w:szCs w:val="20"/>
              </w:rPr>
              <w:t>6.0m</w:t>
            </w:r>
            <w:r>
              <w:rPr>
                <w:spacing w:val="7"/>
                <w:sz w:val="20"/>
                <w:szCs w:val="20"/>
              </w:rPr>
              <w:t>厚渗透系数为</w:t>
            </w:r>
            <w:r>
              <w:rPr>
                <w:spacing w:val="2"/>
                <w:sz w:val="20"/>
                <w:szCs w:val="20"/>
              </w:rPr>
              <w:t xml:space="preserve">  </w:t>
            </w:r>
            <w:r>
              <w:rPr>
                <w:rFonts w:ascii="Times New Roman" w:hAnsi="Times New Roman" w:eastAsia="Times New Roman" w:cs="Times New Roman"/>
                <w:spacing w:val="4"/>
                <w:sz w:val="20"/>
                <w:szCs w:val="20"/>
              </w:rPr>
              <w:t>1.0</w:t>
            </w:r>
            <w:r>
              <w:rPr>
                <w:spacing w:val="4"/>
                <w:sz w:val="20"/>
                <w:szCs w:val="20"/>
              </w:rPr>
              <w:t>×</w:t>
            </w:r>
            <w:r>
              <w:rPr>
                <w:rFonts w:ascii="Times New Roman" w:hAnsi="Times New Roman" w:eastAsia="Times New Roman" w:cs="Times New Roman"/>
                <w:spacing w:val="4"/>
                <w:sz w:val="20"/>
                <w:szCs w:val="20"/>
              </w:rPr>
              <w:t>10</w:t>
            </w:r>
            <w:r>
              <w:rPr>
                <w:rFonts w:ascii="Times New Roman" w:hAnsi="Times New Roman" w:eastAsia="Times New Roman" w:cs="Times New Roman"/>
                <w:spacing w:val="4"/>
                <w:position w:val="6"/>
                <w:sz w:val="13"/>
                <w:szCs w:val="13"/>
              </w:rPr>
              <w:t>-7</w:t>
            </w:r>
            <w:r>
              <w:rPr>
                <w:rFonts w:ascii="Times New Roman" w:hAnsi="Times New Roman" w:eastAsia="Times New Roman" w:cs="Times New Roman"/>
                <w:sz w:val="20"/>
                <w:szCs w:val="20"/>
              </w:rPr>
              <w:t>cm</w:t>
            </w:r>
            <w:r>
              <w:rPr>
                <w:rFonts w:ascii="Times New Roman" w:hAnsi="Times New Roman" w:eastAsia="Times New Roman" w:cs="Times New Roman"/>
                <w:spacing w:val="4"/>
                <w:sz w:val="20"/>
                <w:szCs w:val="20"/>
              </w:rPr>
              <w:t>/s</w:t>
            </w:r>
            <w:r>
              <w:rPr>
                <w:spacing w:val="4"/>
                <w:sz w:val="20"/>
                <w:szCs w:val="20"/>
              </w:rPr>
              <w:t>的黏土层的防渗性能，</w:t>
            </w:r>
            <w:r>
              <w:rPr>
                <w:spacing w:val="11"/>
                <w:sz w:val="20"/>
                <w:szCs w:val="20"/>
              </w:rPr>
              <w:t xml:space="preserve"> </w:t>
            </w:r>
            <w:r>
              <w:rPr>
                <w:spacing w:val="8"/>
                <w:sz w:val="20"/>
                <w:szCs w:val="20"/>
              </w:rPr>
              <w:t>混凝土采用防油渗混凝土面层。</w:t>
            </w:r>
          </w:p>
          <w:p w14:paraId="2E12F884">
            <w:pPr>
              <w:pStyle w:val="6"/>
              <w:spacing w:before="31" w:line="282" w:lineRule="auto"/>
              <w:ind w:left="131" w:right="195" w:hanging="17"/>
              <w:rPr>
                <w:sz w:val="20"/>
                <w:szCs w:val="20"/>
              </w:rPr>
            </w:pPr>
            <w:r>
              <w:rPr>
                <w:spacing w:val="9"/>
                <w:sz w:val="20"/>
                <w:szCs w:val="20"/>
              </w:rPr>
              <w:t>拆解区切割工段设置集气罩，收集</w:t>
            </w:r>
            <w:r>
              <w:rPr>
                <w:spacing w:val="4"/>
                <w:sz w:val="20"/>
                <w:szCs w:val="20"/>
              </w:rPr>
              <w:t xml:space="preserve"> </w:t>
            </w:r>
            <w:r>
              <w:rPr>
                <w:spacing w:val="7"/>
                <w:sz w:val="20"/>
                <w:szCs w:val="20"/>
              </w:rPr>
              <w:t>的废气经</w:t>
            </w:r>
            <w:r>
              <w:rPr>
                <w:rFonts w:ascii="Times New Roman" w:hAnsi="Times New Roman" w:eastAsia="Times New Roman" w:cs="Times New Roman"/>
                <w:spacing w:val="7"/>
                <w:sz w:val="20"/>
                <w:szCs w:val="20"/>
              </w:rPr>
              <w:t>1</w:t>
            </w:r>
            <w:r>
              <w:rPr>
                <w:spacing w:val="7"/>
                <w:sz w:val="20"/>
                <w:szCs w:val="20"/>
              </w:rPr>
              <w:t>套布袋除尘器处理后由</w:t>
            </w:r>
          </w:p>
          <w:p w14:paraId="0F59525F">
            <w:pPr>
              <w:pStyle w:val="6"/>
              <w:spacing w:before="30" w:line="280" w:lineRule="auto"/>
              <w:ind w:left="116" w:right="97" w:firstLine="14"/>
              <w:rPr>
                <w:sz w:val="20"/>
                <w:szCs w:val="20"/>
              </w:rPr>
            </w:pPr>
            <w:r>
              <w:rPr>
                <w:rFonts w:ascii="Times New Roman" w:hAnsi="Times New Roman" w:eastAsia="Times New Roman" w:cs="Times New Roman"/>
                <w:spacing w:val="5"/>
                <w:sz w:val="20"/>
                <w:szCs w:val="20"/>
              </w:rPr>
              <w:t>15m</w:t>
            </w:r>
            <w:r>
              <w:rPr>
                <w:spacing w:val="5"/>
                <w:sz w:val="20"/>
                <w:szCs w:val="20"/>
              </w:rPr>
              <w:t>高排气筒排放（</w:t>
            </w:r>
            <w:r>
              <w:rPr>
                <w:rFonts w:ascii="Times New Roman" w:hAnsi="Times New Roman" w:eastAsia="Times New Roman" w:cs="Times New Roman"/>
                <w:sz w:val="20"/>
                <w:szCs w:val="20"/>
              </w:rPr>
              <w:t>DA</w:t>
            </w:r>
            <w:r>
              <w:rPr>
                <w:rFonts w:ascii="Times New Roman" w:hAnsi="Times New Roman" w:eastAsia="Times New Roman" w:cs="Times New Roman"/>
                <w:spacing w:val="5"/>
                <w:sz w:val="20"/>
                <w:szCs w:val="20"/>
              </w:rPr>
              <w:t>001</w:t>
            </w:r>
            <w:r>
              <w:rPr>
                <w:spacing w:val="1"/>
                <w:sz w:val="20"/>
                <w:szCs w:val="20"/>
              </w:rPr>
              <w:t>）；</w:t>
            </w:r>
            <w:r>
              <w:rPr>
                <w:spacing w:val="5"/>
                <w:sz w:val="20"/>
                <w:szCs w:val="20"/>
              </w:rPr>
              <w:t>抽油</w:t>
            </w:r>
            <w:r>
              <w:rPr>
                <w:sz w:val="20"/>
                <w:szCs w:val="20"/>
              </w:rPr>
              <w:t xml:space="preserve"> </w:t>
            </w:r>
            <w:r>
              <w:rPr>
                <w:spacing w:val="8"/>
                <w:sz w:val="20"/>
                <w:szCs w:val="20"/>
              </w:rPr>
              <w:t>液工段与危险废物贮存库共用</w:t>
            </w:r>
            <w:r>
              <w:rPr>
                <w:rFonts w:ascii="Times New Roman" w:hAnsi="Times New Roman" w:eastAsia="Times New Roman" w:cs="Times New Roman"/>
                <w:spacing w:val="8"/>
                <w:sz w:val="20"/>
                <w:szCs w:val="20"/>
              </w:rPr>
              <w:t>1</w:t>
            </w:r>
            <w:r>
              <w:rPr>
                <w:spacing w:val="8"/>
                <w:sz w:val="20"/>
                <w:szCs w:val="20"/>
              </w:rPr>
              <w:t>套</w:t>
            </w:r>
          </w:p>
          <w:p w14:paraId="32D19A33">
            <w:pPr>
              <w:pStyle w:val="6"/>
              <w:spacing w:before="33" w:line="285" w:lineRule="auto"/>
              <w:ind w:left="117" w:right="97"/>
              <w:rPr>
                <w:sz w:val="20"/>
                <w:szCs w:val="20"/>
              </w:rPr>
            </w:pPr>
            <w:r>
              <w:rPr>
                <w:spacing w:val="8"/>
                <w:sz w:val="20"/>
                <w:szCs w:val="20"/>
              </w:rPr>
              <w:t>设置集气装置，收集的废气经</w:t>
            </w:r>
            <w:r>
              <w:rPr>
                <w:rFonts w:ascii="Times New Roman" w:hAnsi="Times New Roman" w:eastAsia="Times New Roman" w:cs="Times New Roman"/>
                <w:spacing w:val="8"/>
                <w:sz w:val="20"/>
                <w:szCs w:val="20"/>
              </w:rPr>
              <w:t>1</w:t>
            </w:r>
            <w:r>
              <w:rPr>
                <w:spacing w:val="8"/>
                <w:sz w:val="20"/>
                <w:szCs w:val="20"/>
              </w:rPr>
              <w:t>套活</w:t>
            </w:r>
            <w:r>
              <w:rPr>
                <w:spacing w:val="6"/>
                <w:sz w:val="20"/>
                <w:szCs w:val="20"/>
              </w:rPr>
              <w:t xml:space="preserve"> </w:t>
            </w:r>
            <w:r>
              <w:rPr>
                <w:spacing w:val="8"/>
                <w:sz w:val="20"/>
                <w:szCs w:val="20"/>
              </w:rPr>
              <w:t>性碳吸附装置处理后由</w:t>
            </w:r>
            <w:r>
              <w:rPr>
                <w:rFonts w:ascii="Times New Roman" w:hAnsi="Times New Roman" w:eastAsia="Times New Roman" w:cs="Times New Roman"/>
                <w:spacing w:val="8"/>
                <w:sz w:val="20"/>
                <w:szCs w:val="20"/>
              </w:rPr>
              <w:t>15m</w:t>
            </w:r>
            <w:r>
              <w:rPr>
                <w:spacing w:val="8"/>
                <w:sz w:val="20"/>
                <w:szCs w:val="20"/>
              </w:rPr>
              <w:t>高排气</w:t>
            </w:r>
            <w:r>
              <w:rPr>
                <w:spacing w:val="2"/>
                <w:sz w:val="20"/>
                <w:szCs w:val="20"/>
              </w:rPr>
              <w:t xml:space="preserve">  </w:t>
            </w:r>
            <w:r>
              <w:rPr>
                <w:spacing w:val="6"/>
                <w:sz w:val="20"/>
                <w:szCs w:val="20"/>
              </w:rPr>
              <w:t>筒排放（</w:t>
            </w:r>
            <w:r>
              <w:rPr>
                <w:rFonts w:ascii="Times New Roman" w:hAnsi="Times New Roman" w:eastAsia="Times New Roman" w:cs="Times New Roman"/>
                <w:sz w:val="20"/>
                <w:szCs w:val="20"/>
              </w:rPr>
              <w:t>DA</w:t>
            </w:r>
            <w:r>
              <w:rPr>
                <w:rFonts w:ascii="Times New Roman" w:hAnsi="Times New Roman" w:eastAsia="Times New Roman" w:cs="Times New Roman"/>
                <w:spacing w:val="6"/>
                <w:sz w:val="20"/>
                <w:szCs w:val="20"/>
              </w:rPr>
              <w:t>002</w:t>
            </w:r>
            <w:r>
              <w:rPr>
                <w:spacing w:val="6"/>
                <w:sz w:val="20"/>
                <w:szCs w:val="20"/>
              </w:rPr>
              <w:t>）。</w:t>
            </w:r>
          </w:p>
          <w:p w14:paraId="4DB151D5">
            <w:pPr>
              <w:pStyle w:val="6"/>
              <w:spacing w:before="34" w:line="290" w:lineRule="auto"/>
              <w:ind w:left="113" w:right="97"/>
              <w:rPr>
                <w:sz w:val="20"/>
                <w:szCs w:val="20"/>
              </w:rPr>
            </w:pPr>
            <w:r>
              <w:rPr>
                <w:spacing w:val="8"/>
                <w:sz w:val="20"/>
                <w:szCs w:val="20"/>
              </w:rPr>
              <w:t>在拆解车间南侧设置</w:t>
            </w:r>
            <w:r>
              <w:rPr>
                <w:rFonts w:ascii="Times New Roman" w:hAnsi="Times New Roman" w:eastAsia="Times New Roman" w:cs="Times New Roman"/>
                <w:spacing w:val="8"/>
                <w:sz w:val="20"/>
                <w:szCs w:val="20"/>
              </w:rPr>
              <w:t>60</w:t>
            </w:r>
            <w:r>
              <w:rPr>
                <w:spacing w:val="8"/>
                <w:sz w:val="20"/>
                <w:szCs w:val="20"/>
              </w:rPr>
              <w:t>㎡的危险废</w:t>
            </w:r>
            <w:r>
              <w:rPr>
                <w:spacing w:val="6"/>
                <w:sz w:val="20"/>
                <w:szCs w:val="20"/>
              </w:rPr>
              <w:t xml:space="preserve">  </w:t>
            </w:r>
            <w:r>
              <w:rPr>
                <w:spacing w:val="9"/>
                <w:sz w:val="20"/>
                <w:szCs w:val="20"/>
              </w:rPr>
              <w:t>物贮存库，用于暂存废蓄电池、废</w:t>
            </w:r>
            <w:r>
              <w:rPr>
                <w:spacing w:val="2"/>
                <w:sz w:val="20"/>
                <w:szCs w:val="20"/>
              </w:rPr>
              <w:t xml:space="preserve">  </w:t>
            </w:r>
            <w:r>
              <w:rPr>
                <w:spacing w:val="8"/>
                <w:sz w:val="20"/>
                <w:szCs w:val="20"/>
              </w:rPr>
              <w:t>矿物油等危险品。分为</w:t>
            </w:r>
            <w:r>
              <w:rPr>
                <w:rFonts w:ascii="Times New Roman" w:hAnsi="Times New Roman" w:eastAsia="Times New Roman" w:cs="Times New Roman"/>
                <w:spacing w:val="8"/>
                <w:sz w:val="20"/>
                <w:szCs w:val="20"/>
              </w:rPr>
              <w:t>3</w:t>
            </w:r>
            <w:r>
              <w:rPr>
                <w:spacing w:val="8"/>
                <w:sz w:val="20"/>
                <w:szCs w:val="20"/>
              </w:rPr>
              <w:t>个区，</w:t>
            </w:r>
            <w:r>
              <w:rPr>
                <w:rFonts w:ascii="Times New Roman" w:hAnsi="Times New Roman" w:eastAsia="Times New Roman" w:cs="Times New Roman"/>
                <w:spacing w:val="8"/>
                <w:sz w:val="20"/>
                <w:szCs w:val="20"/>
              </w:rPr>
              <w:t>1#</w:t>
            </w:r>
            <w:r>
              <w:rPr>
                <w:spacing w:val="8"/>
                <w:sz w:val="20"/>
                <w:szCs w:val="20"/>
              </w:rPr>
              <w:t>其</w:t>
            </w:r>
            <w:r>
              <w:rPr>
                <w:spacing w:val="3"/>
                <w:sz w:val="20"/>
                <w:szCs w:val="20"/>
              </w:rPr>
              <w:t xml:space="preserve"> </w:t>
            </w:r>
            <w:r>
              <w:rPr>
                <w:spacing w:val="6"/>
                <w:sz w:val="20"/>
                <w:szCs w:val="20"/>
              </w:rPr>
              <w:t>他危险废物暂存区</w:t>
            </w:r>
            <w:r>
              <w:rPr>
                <w:rFonts w:ascii="Times New Roman" w:hAnsi="Times New Roman" w:eastAsia="Times New Roman" w:cs="Times New Roman"/>
                <w:spacing w:val="6"/>
                <w:sz w:val="20"/>
                <w:szCs w:val="20"/>
              </w:rPr>
              <w:t>20</w:t>
            </w:r>
            <w:r>
              <w:rPr>
                <w:spacing w:val="6"/>
                <w:sz w:val="20"/>
                <w:szCs w:val="20"/>
              </w:rPr>
              <w:t>㎡</w:t>
            </w:r>
            <w:r>
              <w:rPr>
                <w:spacing w:val="-58"/>
                <w:sz w:val="20"/>
                <w:szCs w:val="20"/>
              </w:rPr>
              <w:t xml:space="preserve"> </w:t>
            </w:r>
            <w:r>
              <w:rPr>
                <w:spacing w:val="6"/>
                <w:sz w:val="20"/>
                <w:szCs w:val="20"/>
              </w:rPr>
              <w:t>，用于储存</w:t>
            </w:r>
            <w:r>
              <w:rPr>
                <w:sz w:val="20"/>
                <w:szCs w:val="20"/>
              </w:rPr>
              <w:t xml:space="preserve">  </w:t>
            </w:r>
            <w:r>
              <w:rPr>
                <w:spacing w:val="9"/>
                <w:sz w:val="20"/>
                <w:szCs w:val="20"/>
              </w:rPr>
              <w:t>燃料箱、液压油管、催化器、废活</w:t>
            </w:r>
            <w:r>
              <w:rPr>
                <w:spacing w:val="1"/>
                <w:sz w:val="20"/>
                <w:szCs w:val="20"/>
              </w:rPr>
              <w:t xml:space="preserve">  </w:t>
            </w:r>
            <w:r>
              <w:rPr>
                <w:spacing w:val="8"/>
                <w:sz w:val="20"/>
                <w:szCs w:val="20"/>
              </w:rPr>
              <w:t>性碳、含油抹布、拖布和手套等；</w:t>
            </w:r>
          </w:p>
          <w:p w14:paraId="09CCD8BC">
            <w:pPr>
              <w:pStyle w:val="6"/>
              <w:spacing w:before="34" w:line="285" w:lineRule="auto"/>
              <w:ind w:left="112" w:right="42" w:hanging="2"/>
              <w:rPr>
                <w:sz w:val="20"/>
                <w:szCs w:val="20"/>
              </w:rPr>
            </w:pPr>
            <w:r>
              <w:rPr>
                <w:rFonts w:ascii="Times New Roman" w:hAnsi="Times New Roman" w:eastAsia="Times New Roman" w:cs="Times New Roman"/>
                <w:spacing w:val="5"/>
                <w:sz w:val="20"/>
                <w:szCs w:val="20"/>
              </w:rPr>
              <w:t>2#</w:t>
            </w:r>
            <w:r>
              <w:rPr>
                <w:spacing w:val="5"/>
                <w:sz w:val="20"/>
                <w:szCs w:val="20"/>
              </w:rPr>
              <w:t>废蓄电池暂存区</w:t>
            </w:r>
            <w:r>
              <w:rPr>
                <w:rFonts w:ascii="Times New Roman" w:hAnsi="Times New Roman" w:eastAsia="Times New Roman" w:cs="Times New Roman"/>
                <w:spacing w:val="5"/>
                <w:sz w:val="20"/>
                <w:szCs w:val="20"/>
              </w:rPr>
              <w:t>20</w:t>
            </w:r>
            <w:r>
              <w:rPr>
                <w:spacing w:val="5"/>
                <w:sz w:val="20"/>
                <w:szCs w:val="20"/>
              </w:rPr>
              <w:t>㎡</w:t>
            </w:r>
            <w:r>
              <w:rPr>
                <w:spacing w:val="-44"/>
                <w:sz w:val="20"/>
                <w:szCs w:val="20"/>
              </w:rPr>
              <w:t xml:space="preserve"> </w:t>
            </w:r>
            <w:r>
              <w:rPr>
                <w:spacing w:val="5"/>
                <w:sz w:val="20"/>
                <w:szCs w:val="20"/>
              </w:rPr>
              <w:t>，用于储存</w:t>
            </w:r>
            <w:r>
              <w:rPr>
                <w:sz w:val="20"/>
                <w:szCs w:val="20"/>
              </w:rPr>
              <w:t xml:space="preserve">  </w:t>
            </w:r>
            <w:r>
              <w:rPr>
                <w:spacing w:val="5"/>
                <w:sz w:val="20"/>
                <w:szCs w:val="20"/>
              </w:rPr>
              <w:t>废蓄电池；</w:t>
            </w:r>
            <w:r>
              <w:rPr>
                <w:rFonts w:ascii="Times New Roman" w:hAnsi="Times New Roman" w:eastAsia="Times New Roman" w:cs="Times New Roman"/>
                <w:spacing w:val="5"/>
                <w:sz w:val="20"/>
                <w:szCs w:val="20"/>
              </w:rPr>
              <w:t>3#</w:t>
            </w:r>
            <w:r>
              <w:rPr>
                <w:spacing w:val="5"/>
                <w:sz w:val="20"/>
                <w:szCs w:val="20"/>
              </w:rPr>
              <w:t>废矿物油暂存区</w:t>
            </w:r>
            <w:r>
              <w:rPr>
                <w:rFonts w:ascii="Times New Roman" w:hAnsi="Times New Roman" w:eastAsia="Times New Roman" w:cs="Times New Roman"/>
                <w:spacing w:val="5"/>
                <w:sz w:val="20"/>
                <w:szCs w:val="20"/>
              </w:rPr>
              <w:t>20</w:t>
            </w:r>
            <w:r>
              <w:rPr>
                <w:spacing w:val="5"/>
                <w:sz w:val="20"/>
                <w:szCs w:val="20"/>
              </w:rPr>
              <w:t>㎡，</w:t>
            </w:r>
            <w:r>
              <w:rPr>
                <w:spacing w:val="3"/>
                <w:sz w:val="20"/>
                <w:szCs w:val="20"/>
              </w:rPr>
              <w:t xml:space="preserve"> </w:t>
            </w:r>
            <w:r>
              <w:rPr>
                <w:spacing w:val="8"/>
                <w:sz w:val="20"/>
                <w:szCs w:val="20"/>
              </w:rPr>
              <w:t>用于储存废矿物油。为封闭区域，</w:t>
            </w:r>
          </w:p>
          <w:p w14:paraId="5F50BC35">
            <w:pPr>
              <w:pStyle w:val="6"/>
              <w:spacing w:before="34" w:line="278" w:lineRule="auto"/>
              <w:ind w:left="113" w:right="9" w:firstLine="3"/>
              <w:rPr>
                <w:sz w:val="20"/>
                <w:szCs w:val="20"/>
              </w:rPr>
            </w:pPr>
            <w:r>
              <w:rPr>
                <w:spacing w:val="9"/>
                <w:sz w:val="20"/>
                <w:szCs w:val="20"/>
              </w:rPr>
              <w:t>危险废物贮存库按照《危险废物贮</w:t>
            </w:r>
            <w:r>
              <w:rPr>
                <w:sz w:val="20"/>
                <w:szCs w:val="20"/>
              </w:rPr>
              <w:t xml:space="preserve">   </w:t>
            </w:r>
            <w:r>
              <w:rPr>
                <w:spacing w:val="-3"/>
                <w:sz w:val="20"/>
                <w:szCs w:val="20"/>
              </w:rPr>
              <w:t>存污染控制标准》（</w:t>
            </w:r>
            <w:r>
              <w:rPr>
                <w:rFonts w:ascii="Times New Roman" w:hAnsi="Times New Roman" w:eastAsia="Times New Roman" w:cs="Times New Roman"/>
                <w:spacing w:val="-3"/>
                <w:sz w:val="20"/>
                <w:szCs w:val="20"/>
              </w:rPr>
              <w:t>GB18597</w:t>
            </w:r>
            <w:r>
              <w:rPr>
                <w:spacing w:val="-3"/>
                <w:sz w:val="20"/>
                <w:szCs w:val="20"/>
              </w:rPr>
              <w:t>—</w:t>
            </w:r>
            <w:r>
              <w:rPr>
                <w:rFonts w:ascii="Times New Roman" w:hAnsi="Times New Roman" w:eastAsia="Times New Roman" w:cs="Times New Roman"/>
                <w:spacing w:val="-3"/>
                <w:sz w:val="20"/>
                <w:szCs w:val="20"/>
              </w:rPr>
              <w:t>2023</w:t>
            </w:r>
            <w:r>
              <w:rPr>
                <w:spacing w:val="-3"/>
                <w:sz w:val="20"/>
                <w:szCs w:val="20"/>
              </w:rPr>
              <w:t>）</w:t>
            </w:r>
            <w:r>
              <w:rPr>
                <w:spacing w:val="14"/>
                <w:sz w:val="20"/>
                <w:szCs w:val="20"/>
              </w:rPr>
              <w:t xml:space="preserve"> </w:t>
            </w:r>
            <w:r>
              <w:rPr>
                <w:spacing w:val="8"/>
                <w:sz w:val="20"/>
                <w:szCs w:val="20"/>
              </w:rPr>
              <w:t>中的相关要求，混凝土表面硬化，</w:t>
            </w:r>
          </w:p>
        </w:tc>
        <w:tc>
          <w:tcPr>
            <w:tcW w:w="982" w:type="dxa"/>
            <w:vMerge w:val="continue"/>
            <w:tcBorders>
              <w:top w:val="nil"/>
              <w:left w:val="single" w:color="000000" w:sz="2" w:space="0"/>
            </w:tcBorders>
            <w:vAlign w:val="top"/>
          </w:tcPr>
          <w:p w14:paraId="4F6B4095">
            <w:pPr>
              <w:rPr>
                <w:rFonts w:ascii="Arial"/>
                <w:sz w:val="21"/>
              </w:rPr>
            </w:pPr>
          </w:p>
        </w:tc>
      </w:tr>
    </w:tbl>
    <w:p w14:paraId="7D9674F6">
      <w:pPr>
        <w:pStyle w:val="2"/>
        <w:spacing w:line="128" w:lineRule="exact"/>
        <w:rPr>
          <w:sz w:val="11"/>
        </w:rPr>
      </w:pPr>
    </w:p>
    <w:p w14:paraId="0D500775">
      <w:pPr>
        <w:spacing w:line="128" w:lineRule="exact"/>
        <w:rPr>
          <w:sz w:val="11"/>
          <w:szCs w:val="11"/>
        </w:rPr>
        <w:sectPr>
          <w:footerReference r:id="rId33"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3990"/>
        <w:gridCol w:w="3456"/>
        <w:gridCol w:w="982"/>
      </w:tblGrid>
      <w:tr w14:paraId="276E158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6707" w:hRule="atLeast"/>
        </w:trPr>
        <w:tc>
          <w:tcPr>
            <w:tcW w:w="494" w:type="dxa"/>
            <w:vMerge w:val="restart"/>
            <w:tcBorders>
              <w:bottom w:val="nil"/>
              <w:right w:val="single" w:color="000000" w:sz="2" w:space="0"/>
            </w:tcBorders>
            <w:vAlign w:val="top"/>
          </w:tcPr>
          <w:p w14:paraId="24DD1390">
            <w:pPr>
              <w:rPr>
                <w:rFonts w:ascii="Arial"/>
                <w:sz w:val="21"/>
              </w:rPr>
            </w:pPr>
          </w:p>
        </w:tc>
        <w:tc>
          <w:tcPr>
            <w:tcW w:w="3990" w:type="dxa"/>
            <w:vMerge w:val="restart"/>
            <w:tcBorders>
              <w:left w:val="single" w:color="000000" w:sz="2" w:space="0"/>
              <w:bottom w:val="nil"/>
              <w:right w:val="single" w:color="000000" w:sz="2" w:space="0"/>
            </w:tcBorders>
            <w:vAlign w:val="top"/>
          </w:tcPr>
          <w:p w14:paraId="119F9978">
            <w:pPr>
              <w:pStyle w:val="6"/>
              <w:spacing w:before="72" w:line="228" w:lineRule="auto"/>
              <w:ind w:left="212"/>
              <w:rPr>
                <w:sz w:val="20"/>
                <w:szCs w:val="20"/>
              </w:rPr>
            </w:pPr>
            <w:r>
              <w:rPr>
                <w:spacing w:val="7"/>
                <w:sz w:val="20"/>
                <w:szCs w:val="20"/>
              </w:rPr>
              <w:t>足</w:t>
            </w:r>
            <w:r>
              <w:rPr>
                <w:rFonts w:ascii="Times New Roman" w:hAnsi="Times New Roman" w:eastAsia="Times New Roman" w:cs="Times New Roman"/>
                <w:sz w:val="20"/>
                <w:szCs w:val="20"/>
              </w:rPr>
              <w:t>HJ</w:t>
            </w:r>
            <w:r>
              <w:rPr>
                <w:rFonts w:ascii="Times New Roman" w:hAnsi="Times New Roman" w:eastAsia="Times New Roman" w:cs="Times New Roman"/>
                <w:spacing w:val="7"/>
                <w:sz w:val="20"/>
                <w:szCs w:val="20"/>
              </w:rPr>
              <w:t>519</w:t>
            </w:r>
            <w:r>
              <w:rPr>
                <w:spacing w:val="7"/>
                <w:sz w:val="20"/>
                <w:szCs w:val="20"/>
              </w:rPr>
              <w:t>中其他相关要求；</w:t>
            </w:r>
          </w:p>
          <w:p w14:paraId="4F25414E">
            <w:pPr>
              <w:pStyle w:val="6"/>
              <w:spacing w:before="71" w:line="287" w:lineRule="auto"/>
              <w:ind w:left="209" w:right="105" w:hanging="24"/>
              <w:rPr>
                <w:sz w:val="20"/>
                <w:szCs w:val="20"/>
              </w:rPr>
            </w:pPr>
            <w:r>
              <w:rPr>
                <w:rFonts w:ascii="Times New Roman" w:hAnsi="Times New Roman" w:eastAsia="Times New Roman" w:cs="Times New Roman"/>
                <w:spacing w:val="3"/>
                <w:sz w:val="20"/>
                <w:szCs w:val="20"/>
              </w:rPr>
              <w:t>j)</w:t>
            </w:r>
            <w:r>
              <w:rPr>
                <w:spacing w:val="3"/>
                <w:sz w:val="20"/>
                <w:szCs w:val="20"/>
              </w:rPr>
              <w:t>动力蓄电池拆卸、贮存区应满足</w:t>
            </w:r>
            <w:r>
              <w:rPr>
                <w:rFonts w:ascii="Times New Roman" w:hAnsi="Times New Roman" w:eastAsia="Times New Roman" w:cs="Times New Roman"/>
                <w:sz w:val="20"/>
                <w:szCs w:val="20"/>
              </w:rPr>
              <w:t>HJ</w:t>
            </w:r>
            <w:r>
              <w:rPr>
                <w:rFonts w:ascii="Times New Roman" w:hAnsi="Times New Roman" w:eastAsia="Times New Roman" w:cs="Times New Roman"/>
                <w:spacing w:val="38"/>
                <w:w w:val="101"/>
                <w:sz w:val="20"/>
                <w:szCs w:val="20"/>
              </w:rPr>
              <w:t xml:space="preserve"> </w:t>
            </w:r>
            <w:r>
              <w:rPr>
                <w:rFonts w:ascii="Times New Roman" w:hAnsi="Times New Roman" w:eastAsia="Times New Roman" w:cs="Times New Roman"/>
                <w:spacing w:val="3"/>
                <w:sz w:val="20"/>
                <w:szCs w:val="20"/>
              </w:rPr>
              <w:t>1186</w:t>
            </w:r>
            <w:r>
              <w:rPr>
                <w:rFonts w:ascii="Times New Roman" w:hAnsi="Times New Roman" w:eastAsia="Times New Roman" w:cs="Times New Roman"/>
                <w:sz w:val="20"/>
                <w:szCs w:val="20"/>
              </w:rPr>
              <w:t xml:space="preserve"> </w:t>
            </w:r>
            <w:r>
              <w:rPr>
                <w:spacing w:val="3"/>
                <w:sz w:val="20"/>
                <w:szCs w:val="20"/>
              </w:rPr>
              <w:t>中的相关要求，地面应采用环氧地坪等硬</w:t>
            </w:r>
            <w:r>
              <w:rPr>
                <w:spacing w:val="12"/>
                <w:sz w:val="20"/>
                <w:szCs w:val="20"/>
              </w:rPr>
              <w:t xml:space="preserve"> </w:t>
            </w:r>
            <w:r>
              <w:rPr>
                <w:spacing w:val="3"/>
                <w:sz w:val="20"/>
                <w:szCs w:val="20"/>
              </w:rPr>
              <w:t>化措施，地面应做防酸、防腐、防渗、硬</w:t>
            </w:r>
            <w:r>
              <w:rPr>
                <w:spacing w:val="13"/>
                <w:sz w:val="20"/>
                <w:szCs w:val="20"/>
              </w:rPr>
              <w:t xml:space="preserve"> </w:t>
            </w:r>
            <w:r>
              <w:rPr>
                <w:spacing w:val="6"/>
                <w:sz w:val="20"/>
                <w:szCs w:val="20"/>
              </w:rPr>
              <w:t>化及绝缘处理；</w:t>
            </w:r>
          </w:p>
          <w:p w14:paraId="616A4CAD">
            <w:pPr>
              <w:pStyle w:val="6"/>
              <w:spacing w:before="34" w:line="287" w:lineRule="auto"/>
              <w:ind w:left="208" w:right="52" w:hanging="6"/>
              <w:jc w:val="both"/>
              <w:rPr>
                <w:sz w:val="20"/>
                <w:szCs w:val="20"/>
              </w:rPr>
            </w:pPr>
            <w:r>
              <w:rPr>
                <w:rFonts w:ascii="Times New Roman" w:hAnsi="Times New Roman" w:eastAsia="Times New Roman" w:cs="Times New Roman"/>
                <w:spacing w:val="5"/>
                <w:sz w:val="20"/>
                <w:szCs w:val="20"/>
              </w:rPr>
              <w:t>k)</w:t>
            </w:r>
            <w:r>
              <w:rPr>
                <w:spacing w:val="5"/>
                <w:sz w:val="20"/>
                <w:szCs w:val="20"/>
              </w:rPr>
              <w:t>各贮存区应在显著位置设置标识，标明</w:t>
            </w:r>
            <w:r>
              <w:rPr>
                <w:spacing w:val="12"/>
                <w:sz w:val="20"/>
                <w:szCs w:val="20"/>
              </w:rPr>
              <w:t xml:space="preserve"> </w:t>
            </w:r>
            <w:r>
              <w:rPr>
                <w:spacing w:val="-5"/>
                <w:sz w:val="20"/>
                <w:szCs w:val="20"/>
              </w:rPr>
              <w:t>贮存物的类别、名称、规格、注意事项等，</w:t>
            </w:r>
            <w:r>
              <w:rPr>
                <w:spacing w:val="17"/>
                <w:sz w:val="20"/>
                <w:szCs w:val="20"/>
              </w:rPr>
              <w:t xml:space="preserve"> </w:t>
            </w:r>
            <w:r>
              <w:rPr>
                <w:spacing w:val="3"/>
                <w:sz w:val="20"/>
                <w:szCs w:val="20"/>
              </w:rPr>
              <w:t>根据其特性合理划分贮存区域，采取必要</w:t>
            </w:r>
            <w:r>
              <w:rPr>
                <w:spacing w:val="13"/>
                <w:sz w:val="20"/>
                <w:szCs w:val="20"/>
              </w:rPr>
              <w:t xml:space="preserve"> </w:t>
            </w:r>
            <w:r>
              <w:rPr>
                <w:spacing w:val="6"/>
                <w:sz w:val="20"/>
                <w:szCs w:val="20"/>
              </w:rPr>
              <w:t>的隔离措施。</w:t>
            </w:r>
          </w:p>
          <w:p w14:paraId="7095499D">
            <w:pPr>
              <w:pStyle w:val="6"/>
              <w:spacing w:before="40" w:line="291" w:lineRule="auto"/>
              <w:ind w:left="208" w:right="38" w:firstLine="2"/>
              <w:jc w:val="both"/>
              <w:rPr>
                <w:sz w:val="20"/>
                <w:szCs w:val="20"/>
              </w:rPr>
            </w:pPr>
            <w:r>
              <w:rPr>
                <w:rFonts w:ascii="Times New Roman" w:hAnsi="Times New Roman" w:eastAsia="Times New Roman" w:cs="Times New Roman"/>
                <w:spacing w:val="11"/>
                <w:sz w:val="20"/>
                <w:szCs w:val="20"/>
              </w:rPr>
              <w:t>5.3</w:t>
            </w:r>
            <w:r>
              <w:rPr>
                <w:spacing w:val="11"/>
                <w:sz w:val="20"/>
                <w:szCs w:val="20"/>
              </w:rPr>
              <w:t>报废机动车回收拆解企业内的道路应</w:t>
            </w:r>
            <w:r>
              <w:rPr>
                <w:spacing w:val="6"/>
                <w:sz w:val="20"/>
                <w:szCs w:val="20"/>
              </w:rPr>
              <w:t xml:space="preserve"> </w:t>
            </w:r>
            <w:r>
              <w:rPr>
                <w:spacing w:val="7"/>
                <w:sz w:val="20"/>
                <w:szCs w:val="20"/>
              </w:rPr>
              <w:t>采取硬化措施，如出现破损应及时维修。</w:t>
            </w:r>
            <w:r>
              <w:rPr>
                <w:spacing w:val="11"/>
                <w:sz w:val="20"/>
                <w:szCs w:val="20"/>
              </w:rPr>
              <w:t xml:space="preserve"> </w:t>
            </w:r>
            <w:r>
              <w:rPr>
                <w:rFonts w:ascii="Times New Roman" w:hAnsi="Times New Roman" w:eastAsia="Times New Roman" w:cs="Times New Roman"/>
                <w:spacing w:val="11"/>
                <w:sz w:val="20"/>
                <w:szCs w:val="20"/>
              </w:rPr>
              <w:t>5.4</w:t>
            </w:r>
            <w:r>
              <w:rPr>
                <w:spacing w:val="11"/>
                <w:sz w:val="20"/>
                <w:szCs w:val="20"/>
              </w:rPr>
              <w:t>报废机动车回收拆解企业应做到雨污</w:t>
            </w:r>
            <w:r>
              <w:rPr>
                <w:spacing w:val="9"/>
                <w:sz w:val="20"/>
                <w:szCs w:val="20"/>
              </w:rPr>
              <w:t xml:space="preserve"> </w:t>
            </w:r>
            <w:r>
              <w:rPr>
                <w:spacing w:val="3"/>
                <w:sz w:val="20"/>
                <w:szCs w:val="20"/>
              </w:rPr>
              <w:t>分流，在作业区内产生的初期雨水、清洗</w:t>
            </w:r>
            <w:r>
              <w:rPr>
                <w:spacing w:val="14"/>
                <w:sz w:val="20"/>
                <w:szCs w:val="20"/>
              </w:rPr>
              <w:t xml:space="preserve"> </w:t>
            </w:r>
            <w:r>
              <w:rPr>
                <w:spacing w:val="15"/>
                <w:sz w:val="20"/>
                <w:szCs w:val="20"/>
              </w:rPr>
              <w:t>水和其他非生活废水应设置专门的收集</w:t>
            </w:r>
            <w:r>
              <w:rPr>
                <w:spacing w:val="13"/>
                <w:sz w:val="20"/>
                <w:szCs w:val="20"/>
              </w:rPr>
              <w:t xml:space="preserve"> </w:t>
            </w:r>
            <w:r>
              <w:rPr>
                <w:spacing w:val="26"/>
                <w:sz w:val="20"/>
                <w:szCs w:val="20"/>
              </w:rPr>
              <w:t>设施和污水处理设施</w:t>
            </w:r>
            <w:r>
              <w:rPr>
                <w:spacing w:val="-48"/>
                <w:sz w:val="20"/>
                <w:szCs w:val="20"/>
              </w:rPr>
              <w:t xml:space="preserve"> </w:t>
            </w:r>
            <w:r>
              <w:rPr>
                <w:spacing w:val="26"/>
                <w:sz w:val="20"/>
                <w:szCs w:val="20"/>
              </w:rPr>
              <w:t>。厂区内应按照</w:t>
            </w:r>
            <w:r>
              <w:rPr>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/T50483</w:t>
            </w:r>
            <w:r>
              <w:rPr>
                <w:spacing w:val="7"/>
                <w:sz w:val="20"/>
                <w:szCs w:val="20"/>
              </w:rPr>
              <w:t>的要求设置初期雨水收集池。</w:t>
            </w:r>
          </w:p>
          <w:p w14:paraId="71CEB78E">
            <w:pPr>
              <w:spacing w:line="261" w:lineRule="auto"/>
              <w:rPr>
                <w:rFonts w:ascii="Arial"/>
                <w:sz w:val="21"/>
              </w:rPr>
            </w:pPr>
          </w:p>
          <w:p w14:paraId="27FABF25">
            <w:pPr>
              <w:spacing w:line="261" w:lineRule="auto"/>
              <w:rPr>
                <w:rFonts w:ascii="Arial"/>
                <w:sz w:val="21"/>
              </w:rPr>
            </w:pPr>
          </w:p>
          <w:p w14:paraId="351DA7B5">
            <w:pPr>
              <w:spacing w:line="261" w:lineRule="auto"/>
              <w:rPr>
                <w:rFonts w:ascii="Arial"/>
                <w:sz w:val="21"/>
              </w:rPr>
            </w:pPr>
          </w:p>
          <w:p w14:paraId="23C3B8C9">
            <w:pPr>
              <w:spacing w:line="261" w:lineRule="auto"/>
              <w:rPr>
                <w:rFonts w:ascii="Arial"/>
                <w:sz w:val="21"/>
              </w:rPr>
            </w:pPr>
          </w:p>
          <w:p w14:paraId="10998BA9">
            <w:pPr>
              <w:spacing w:line="261" w:lineRule="auto"/>
              <w:rPr>
                <w:rFonts w:ascii="Arial"/>
                <w:sz w:val="21"/>
              </w:rPr>
            </w:pPr>
          </w:p>
          <w:p w14:paraId="55309858">
            <w:pPr>
              <w:spacing w:line="262" w:lineRule="auto"/>
              <w:rPr>
                <w:rFonts w:ascii="Arial"/>
                <w:sz w:val="21"/>
              </w:rPr>
            </w:pPr>
          </w:p>
          <w:p w14:paraId="46D2DC4A">
            <w:pPr>
              <w:pStyle w:val="6"/>
              <w:spacing w:before="65" w:line="228" w:lineRule="auto"/>
              <w:ind w:left="210"/>
              <w:rPr>
                <w:sz w:val="20"/>
                <w:szCs w:val="20"/>
              </w:rPr>
            </w:pPr>
            <w:r>
              <w:rPr>
                <w:rFonts w:ascii="Times New Roman" w:hAnsi="Times New Roman" w:eastAsia="Times New Roman" w:cs="Times New Roman"/>
                <w:spacing w:val="8"/>
                <w:sz w:val="20"/>
                <w:szCs w:val="20"/>
              </w:rPr>
              <w:t>6</w:t>
            </w:r>
            <w:r>
              <w:rPr>
                <w:spacing w:val="8"/>
                <w:sz w:val="20"/>
                <w:szCs w:val="20"/>
              </w:rPr>
              <w:t>拆解过程污染控制要求</w:t>
            </w:r>
          </w:p>
          <w:p w14:paraId="0FFE7F64">
            <w:pPr>
              <w:pStyle w:val="6"/>
              <w:spacing w:before="72" w:line="292" w:lineRule="auto"/>
              <w:ind w:left="208" w:right="38" w:firstLine="1"/>
              <w:rPr>
                <w:sz w:val="20"/>
                <w:szCs w:val="20"/>
              </w:rPr>
            </w:pPr>
            <w:r>
              <w:rPr>
                <w:rFonts w:ascii="Times New Roman" w:hAnsi="Times New Roman" w:eastAsia="Times New Roman" w:cs="Times New Roman"/>
                <w:spacing w:val="10"/>
                <w:sz w:val="20"/>
                <w:szCs w:val="20"/>
              </w:rPr>
              <w:t>6.</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10"/>
                <w:sz w:val="20"/>
                <w:szCs w:val="20"/>
              </w:rPr>
              <w:t>1</w:t>
            </w:r>
            <w:r>
              <w:rPr>
                <w:spacing w:val="10"/>
                <w:sz w:val="20"/>
                <w:szCs w:val="20"/>
              </w:rPr>
              <w:t>传统燃料报废机动车在开展拆解作业</w:t>
            </w:r>
            <w:r>
              <w:rPr>
                <w:sz w:val="20"/>
                <w:szCs w:val="20"/>
              </w:rPr>
              <w:t xml:space="preserve"> </w:t>
            </w:r>
            <w:r>
              <w:rPr>
                <w:spacing w:val="3"/>
                <w:sz w:val="20"/>
                <w:szCs w:val="20"/>
              </w:rPr>
              <w:t>前，应抽排下列气体及液体：燃油、发动</w:t>
            </w:r>
            <w:r>
              <w:rPr>
                <w:spacing w:val="14"/>
                <w:sz w:val="20"/>
                <w:szCs w:val="20"/>
              </w:rPr>
              <w:t xml:space="preserve"> </w:t>
            </w:r>
            <w:r>
              <w:rPr>
                <w:spacing w:val="15"/>
                <w:sz w:val="20"/>
                <w:szCs w:val="20"/>
              </w:rPr>
              <w:t>机油、变速器</w:t>
            </w:r>
            <w:r>
              <w:rPr>
                <w:rFonts w:ascii="Times New Roman" w:hAnsi="Times New Roman" w:eastAsia="Times New Roman" w:cs="Times New Roman"/>
                <w:spacing w:val="15"/>
                <w:sz w:val="20"/>
                <w:szCs w:val="20"/>
              </w:rPr>
              <w:t>/</w:t>
            </w:r>
            <w:r>
              <w:rPr>
                <w:spacing w:val="15"/>
                <w:sz w:val="20"/>
                <w:szCs w:val="20"/>
              </w:rPr>
              <w:t>齿轮箱</w:t>
            </w:r>
            <w:r>
              <w:rPr>
                <w:rFonts w:ascii="Times New Roman" w:hAnsi="Times New Roman" w:eastAsia="Times New Roman" w:cs="Times New Roman"/>
                <w:spacing w:val="15"/>
                <w:sz w:val="20"/>
                <w:szCs w:val="20"/>
              </w:rPr>
              <w:t>(</w:t>
            </w:r>
            <w:r>
              <w:rPr>
                <w:spacing w:val="15"/>
                <w:sz w:val="20"/>
                <w:szCs w:val="20"/>
              </w:rPr>
              <w:t>包括后差速器和</w:t>
            </w:r>
            <w:r>
              <w:rPr>
                <w:rFonts w:ascii="Times New Roman" w:hAnsi="Times New Roman" w:eastAsia="Times New Roman" w:cs="Times New Roman"/>
                <w:spacing w:val="15"/>
                <w:sz w:val="20"/>
                <w:szCs w:val="20"/>
              </w:rPr>
              <w:t>/</w:t>
            </w:r>
            <w:r>
              <w:rPr>
                <w:rFonts w:ascii="Times New Roman" w:hAnsi="Times New Roman" w:eastAsia="Times New Roman" w:cs="Times New Roman"/>
                <w:spacing w:val="3"/>
                <w:sz w:val="20"/>
                <w:szCs w:val="20"/>
              </w:rPr>
              <w:t xml:space="preserve">  </w:t>
            </w:r>
            <w:r>
              <w:rPr>
                <w:spacing w:val="11"/>
                <w:sz w:val="20"/>
                <w:szCs w:val="20"/>
              </w:rPr>
              <w:t>或分动器</w:t>
            </w:r>
            <w:r>
              <w:rPr>
                <w:rFonts w:ascii="Times New Roman" w:hAnsi="Times New Roman" w:eastAsia="Times New Roman" w:cs="Times New Roman"/>
                <w:spacing w:val="11"/>
                <w:sz w:val="20"/>
                <w:szCs w:val="20"/>
              </w:rPr>
              <w:t>)</w:t>
            </w:r>
            <w:r>
              <w:rPr>
                <w:spacing w:val="11"/>
                <w:sz w:val="20"/>
                <w:szCs w:val="20"/>
              </w:rPr>
              <w:t>油、动力转向油、制动液等石</w:t>
            </w:r>
            <w:r>
              <w:rPr>
                <w:spacing w:val="3"/>
                <w:sz w:val="20"/>
                <w:szCs w:val="20"/>
              </w:rPr>
              <w:t xml:space="preserve"> 油基油或者液态合成润滑剂、冷却液、挡</w:t>
            </w:r>
            <w:r>
              <w:rPr>
                <w:spacing w:val="14"/>
                <w:sz w:val="20"/>
                <w:szCs w:val="20"/>
              </w:rPr>
              <w:t xml:space="preserve"> </w:t>
            </w:r>
            <w:r>
              <w:rPr>
                <w:spacing w:val="3"/>
                <w:sz w:val="20"/>
                <w:szCs w:val="20"/>
              </w:rPr>
              <w:t>风玻璃清洗液、制冷剂等，并使用专用容</w:t>
            </w:r>
            <w:r>
              <w:rPr>
                <w:spacing w:val="14"/>
                <w:sz w:val="20"/>
                <w:szCs w:val="20"/>
              </w:rPr>
              <w:t xml:space="preserve"> </w:t>
            </w:r>
            <w:r>
              <w:rPr>
                <w:spacing w:val="3"/>
                <w:sz w:val="20"/>
                <w:szCs w:val="20"/>
              </w:rPr>
              <w:t>器回收贮存。操作场所应有防漏、截流和</w:t>
            </w:r>
            <w:r>
              <w:rPr>
                <w:spacing w:val="14"/>
                <w:sz w:val="20"/>
                <w:szCs w:val="20"/>
              </w:rPr>
              <w:t xml:space="preserve"> </w:t>
            </w:r>
            <w:r>
              <w:rPr>
                <w:spacing w:val="3"/>
                <w:sz w:val="20"/>
                <w:szCs w:val="20"/>
              </w:rPr>
              <w:t>清污措施，抽排挥发性油液时应通过油气</w:t>
            </w:r>
            <w:r>
              <w:rPr>
                <w:spacing w:val="14"/>
                <w:sz w:val="20"/>
                <w:szCs w:val="20"/>
              </w:rPr>
              <w:t xml:space="preserve"> </w:t>
            </w:r>
            <w:r>
              <w:rPr>
                <w:spacing w:val="7"/>
                <w:sz w:val="20"/>
                <w:szCs w:val="20"/>
              </w:rPr>
              <w:t>回收装置吸收拆解区域内的挥发性气体。</w:t>
            </w:r>
            <w:r>
              <w:rPr>
                <w:spacing w:val="11"/>
                <w:sz w:val="20"/>
                <w:szCs w:val="20"/>
              </w:rPr>
              <w:t xml:space="preserve"> </w:t>
            </w:r>
            <w:r>
              <w:rPr>
                <w:spacing w:val="8"/>
                <w:sz w:val="20"/>
                <w:szCs w:val="20"/>
              </w:rPr>
              <w:t>防止上述气体及液体遗撒或泄漏。</w:t>
            </w:r>
          </w:p>
          <w:p w14:paraId="53CECD8D">
            <w:pPr>
              <w:pStyle w:val="6"/>
              <w:spacing w:before="38" w:line="288" w:lineRule="auto"/>
              <w:ind w:left="210" w:right="106"/>
              <w:jc w:val="both"/>
              <w:rPr>
                <w:sz w:val="20"/>
                <w:szCs w:val="20"/>
              </w:rPr>
            </w:pPr>
            <w:r>
              <w:rPr>
                <w:rFonts w:ascii="Times New Roman" w:hAnsi="Times New Roman" w:eastAsia="Times New Roman" w:cs="Times New Roman"/>
                <w:spacing w:val="11"/>
                <w:sz w:val="20"/>
                <w:szCs w:val="20"/>
              </w:rPr>
              <w:t>6.2</w:t>
            </w:r>
            <w:r>
              <w:rPr>
                <w:spacing w:val="11"/>
                <w:sz w:val="20"/>
                <w:szCs w:val="20"/>
              </w:rPr>
              <w:t>报废电动汽车进场检测时，受损变形</w:t>
            </w:r>
            <w:r>
              <w:rPr>
                <w:spacing w:val="7"/>
                <w:sz w:val="20"/>
                <w:szCs w:val="20"/>
              </w:rPr>
              <w:t xml:space="preserve"> </w:t>
            </w:r>
            <w:r>
              <w:rPr>
                <w:spacing w:val="3"/>
                <w:sz w:val="20"/>
                <w:szCs w:val="20"/>
              </w:rPr>
              <w:t>以及漏液、漏电、电源供应工作不正常或</w:t>
            </w:r>
            <w:r>
              <w:rPr>
                <w:spacing w:val="12"/>
                <w:sz w:val="20"/>
                <w:szCs w:val="20"/>
              </w:rPr>
              <w:t xml:space="preserve"> </w:t>
            </w:r>
            <w:r>
              <w:rPr>
                <w:spacing w:val="3"/>
                <w:sz w:val="20"/>
                <w:szCs w:val="20"/>
              </w:rPr>
              <w:t>其他的事故车辆应进行明显标识，及时隔</w:t>
            </w:r>
            <w:r>
              <w:rPr>
                <w:spacing w:val="12"/>
                <w:sz w:val="20"/>
                <w:szCs w:val="20"/>
              </w:rPr>
              <w:t xml:space="preserve"> </w:t>
            </w:r>
            <w:r>
              <w:rPr>
                <w:spacing w:val="8"/>
                <w:sz w:val="20"/>
                <w:szCs w:val="20"/>
              </w:rPr>
              <w:t>离并优先处理，避免造成环境风险。</w:t>
            </w:r>
          </w:p>
          <w:p w14:paraId="6446EE87">
            <w:pPr>
              <w:pStyle w:val="6"/>
              <w:spacing w:before="33" w:line="291" w:lineRule="auto"/>
              <w:ind w:left="208" w:right="38" w:firstLine="1"/>
              <w:jc w:val="both"/>
              <w:rPr>
                <w:sz w:val="20"/>
                <w:szCs w:val="20"/>
              </w:rPr>
            </w:pPr>
            <w:r>
              <w:rPr>
                <w:rFonts w:ascii="Times New Roman" w:hAnsi="Times New Roman" w:eastAsia="Times New Roman" w:cs="Times New Roman"/>
                <w:spacing w:val="11"/>
                <w:sz w:val="20"/>
                <w:szCs w:val="20"/>
              </w:rPr>
              <w:t>6.3</w:t>
            </w:r>
            <w:r>
              <w:rPr>
                <w:spacing w:val="11"/>
                <w:sz w:val="20"/>
                <w:szCs w:val="20"/>
              </w:rPr>
              <w:t>报废电动汽车在开展拆解作业前，应</w:t>
            </w:r>
            <w:r>
              <w:rPr>
                <w:spacing w:val="7"/>
                <w:sz w:val="20"/>
                <w:szCs w:val="20"/>
              </w:rPr>
              <w:t xml:space="preserve"> </w:t>
            </w:r>
            <w:r>
              <w:rPr>
                <w:spacing w:val="3"/>
                <w:sz w:val="20"/>
                <w:szCs w:val="20"/>
              </w:rPr>
              <w:t>采用防静电设备彻底抽排制冷剂，并用专</w:t>
            </w:r>
            <w:r>
              <w:rPr>
                <w:spacing w:val="14"/>
                <w:sz w:val="20"/>
                <w:szCs w:val="20"/>
              </w:rPr>
              <w:t xml:space="preserve"> </w:t>
            </w:r>
            <w:r>
              <w:rPr>
                <w:spacing w:val="3"/>
                <w:sz w:val="20"/>
                <w:szCs w:val="20"/>
              </w:rPr>
              <w:t>用容器回收储存，避免电解质和有机溶剂</w:t>
            </w:r>
            <w:r>
              <w:rPr>
                <w:spacing w:val="14"/>
                <w:sz w:val="20"/>
                <w:szCs w:val="20"/>
              </w:rPr>
              <w:t xml:space="preserve"> </w:t>
            </w:r>
            <w:r>
              <w:rPr>
                <w:spacing w:val="7"/>
                <w:sz w:val="20"/>
                <w:szCs w:val="20"/>
              </w:rPr>
              <w:t>泄漏。拆卸下来的动力蓄电池存在漏液、</w:t>
            </w:r>
            <w:r>
              <w:rPr>
                <w:spacing w:val="11"/>
                <w:sz w:val="20"/>
                <w:szCs w:val="20"/>
              </w:rPr>
              <w:t xml:space="preserve"> </w:t>
            </w:r>
            <w:r>
              <w:rPr>
                <w:spacing w:val="3"/>
                <w:sz w:val="20"/>
                <w:szCs w:val="20"/>
              </w:rPr>
              <w:t>冒烟、漏电、外壳破损等情形的，应及时</w:t>
            </w:r>
            <w:r>
              <w:rPr>
                <w:spacing w:val="14"/>
                <w:sz w:val="20"/>
                <w:szCs w:val="20"/>
              </w:rPr>
              <w:t xml:space="preserve"> </w:t>
            </w:r>
            <w:r>
              <w:rPr>
                <w:spacing w:val="3"/>
                <w:sz w:val="20"/>
                <w:szCs w:val="20"/>
              </w:rPr>
              <w:t>处理并采用专用容器单独存放，避免动力</w:t>
            </w:r>
            <w:r>
              <w:rPr>
                <w:spacing w:val="14"/>
                <w:sz w:val="20"/>
                <w:szCs w:val="20"/>
              </w:rPr>
              <w:t xml:space="preserve"> </w:t>
            </w:r>
            <w:r>
              <w:rPr>
                <w:spacing w:val="8"/>
                <w:sz w:val="20"/>
                <w:szCs w:val="20"/>
              </w:rPr>
              <w:t>蓄电池自燃引起的环境风险。</w:t>
            </w:r>
          </w:p>
          <w:p w14:paraId="15CEC3C7">
            <w:pPr>
              <w:pStyle w:val="6"/>
              <w:spacing w:before="30" w:line="228" w:lineRule="auto"/>
              <w:ind w:left="210"/>
              <w:rPr>
                <w:sz w:val="20"/>
                <w:szCs w:val="20"/>
              </w:rPr>
            </w:pPr>
            <w:r>
              <w:rPr>
                <w:rFonts w:ascii="Times New Roman" w:hAnsi="Times New Roman" w:eastAsia="Times New Roman" w:cs="Times New Roman"/>
                <w:spacing w:val="23"/>
                <w:sz w:val="20"/>
                <w:szCs w:val="20"/>
              </w:rPr>
              <w:t>6.4</w:t>
            </w:r>
            <w:r>
              <w:rPr>
                <w:spacing w:val="23"/>
                <w:sz w:val="20"/>
                <w:szCs w:val="20"/>
              </w:rPr>
              <w:t>动力蓄电池不应与铅蓄电池混合贮</w:t>
            </w:r>
          </w:p>
        </w:tc>
        <w:tc>
          <w:tcPr>
            <w:tcW w:w="3456" w:type="dxa"/>
            <w:tcBorders>
              <w:left w:val="single" w:color="000000" w:sz="2" w:space="0"/>
              <w:bottom w:val="single" w:color="000000" w:sz="2" w:space="0"/>
              <w:right w:val="single" w:color="000000" w:sz="2" w:space="0"/>
            </w:tcBorders>
            <w:vAlign w:val="top"/>
          </w:tcPr>
          <w:p w14:paraId="3C39371B">
            <w:pPr>
              <w:pStyle w:val="6"/>
              <w:spacing w:before="71" w:line="280" w:lineRule="auto"/>
              <w:ind w:left="114" w:right="186"/>
              <w:rPr>
                <w:sz w:val="20"/>
                <w:szCs w:val="20"/>
              </w:rPr>
            </w:pPr>
            <w:r>
              <w:rPr>
                <w:spacing w:val="9"/>
                <w:sz w:val="20"/>
                <w:szCs w:val="20"/>
              </w:rPr>
              <w:t>基础防渗采用</w:t>
            </w:r>
            <w:r>
              <w:rPr>
                <w:rFonts w:ascii="Times New Roman" w:hAnsi="Times New Roman" w:eastAsia="Times New Roman" w:cs="Times New Roman"/>
                <w:spacing w:val="9"/>
                <w:sz w:val="20"/>
                <w:szCs w:val="20"/>
              </w:rPr>
              <w:t>2</w:t>
            </w:r>
            <w:r>
              <w:rPr>
                <w:rFonts w:ascii="Times New Roman" w:hAnsi="Times New Roman" w:eastAsia="Times New Roman" w:cs="Times New Roman"/>
                <w:sz w:val="20"/>
                <w:szCs w:val="20"/>
              </w:rPr>
              <w:t>mm</w:t>
            </w:r>
            <w:r>
              <w:rPr>
                <w:spacing w:val="9"/>
                <w:sz w:val="20"/>
                <w:szCs w:val="20"/>
              </w:rPr>
              <w:t>后的高密度聚乙</w:t>
            </w:r>
            <w:r>
              <w:rPr>
                <w:spacing w:val="12"/>
                <w:sz w:val="20"/>
                <w:szCs w:val="20"/>
              </w:rPr>
              <w:t xml:space="preserve"> </w:t>
            </w:r>
            <w:r>
              <w:rPr>
                <w:spacing w:val="9"/>
                <w:sz w:val="20"/>
                <w:szCs w:val="20"/>
              </w:rPr>
              <w:t>烯或其他人工材料，渗透系数≤</w:t>
            </w:r>
          </w:p>
          <w:p w14:paraId="5DB136DD">
            <w:pPr>
              <w:pStyle w:val="6"/>
              <w:spacing w:before="32" w:line="286" w:lineRule="auto"/>
              <w:ind w:left="114" w:right="74" w:firstLine="16"/>
              <w:rPr>
                <w:sz w:val="20"/>
                <w:szCs w:val="20"/>
              </w:rPr>
            </w:pPr>
            <w:r>
              <w:rPr>
                <w:rFonts w:ascii="Times New Roman" w:hAnsi="Times New Roman" w:eastAsia="Times New Roman" w:cs="Times New Roman"/>
                <w:spacing w:val="3"/>
                <w:sz w:val="20"/>
                <w:szCs w:val="20"/>
              </w:rPr>
              <w:t>10</w:t>
            </w:r>
            <w:r>
              <w:rPr>
                <w:rFonts w:ascii="Times New Roman" w:hAnsi="Times New Roman" w:eastAsia="Times New Roman" w:cs="Times New Roman"/>
                <w:spacing w:val="3"/>
                <w:position w:val="6"/>
                <w:sz w:val="13"/>
                <w:szCs w:val="13"/>
              </w:rPr>
              <w:t>-10</w:t>
            </w:r>
            <w:r>
              <w:rPr>
                <w:rFonts w:ascii="Times New Roman" w:hAnsi="Times New Roman" w:eastAsia="Times New Roman" w:cs="Times New Roman"/>
                <w:sz w:val="20"/>
                <w:szCs w:val="20"/>
              </w:rPr>
              <w:t>cm</w:t>
            </w:r>
            <w:r>
              <w:rPr>
                <w:rFonts w:ascii="Times New Roman" w:hAnsi="Times New Roman" w:eastAsia="Times New Roman" w:cs="Times New Roman"/>
                <w:spacing w:val="3"/>
                <w:sz w:val="20"/>
                <w:szCs w:val="20"/>
              </w:rPr>
              <w:t>/s</w:t>
            </w:r>
            <w:r>
              <w:rPr>
                <w:rFonts w:ascii="Times New Roman" w:hAnsi="Times New Roman" w:eastAsia="Times New Roman" w:cs="Times New Roman"/>
                <w:spacing w:val="-14"/>
                <w:sz w:val="20"/>
                <w:szCs w:val="20"/>
              </w:rPr>
              <w:t xml:space="preserve"> </w:t>
            </w:r>
            <w:r>
              <w:rPr>
                <w:spacing w:val="3"/>
                <w:sz w:val="20"/>
                <w:szCs w:val="20"/>
              </w:rPr>
              <w:t>。危废储存场所必须防风、</w:t>
            </w:r>
            <w:r>
              <w:rPr>
                <w:sz w:val="20"/>
                <w:szCs w:val="20"/>
              </w:rPr>
              <w:t xml:space="preserve"> </w:t>
            </w:r>
            <w:r>
              <w:rPr>
                <w:spacing w:val="9"/>
                <w:sz w:val="20"/>
                <w:szCs w:val="20"/>
              </w:rPr>
              <w:t>防雨、防晒、地面必须高于厂房的</w:t>
            </w:r>
            <w:r>
              <w:rPr>
                <w:spacing w:val="2"/>
                <w:sz w:val="20"/>
                <w:szCs w:val="20"/>
              </w:rPr>
              <w:t xml:space="preserve">  </w:t>
            </w:r>
            <w:r>
              <w:rPr>
                <w:spacing w:val="8"/>
                <w:sz w:val="20"/>
                <w:szCs w:val="20"/>
              </w:rPr>
              <w:t>基准地面，各类危废分类存放。</w:t>
            </w:r>
          </w:p>
          <w:p w14:paraId="3750A4A9">
            <w:pPr>
              <w:pStyle w:val="6"/>
              <w:spacing w:before="30" w:line="286" w:lineRule="auto"/>
              <w:ind w:left="114" w:right="195" w:firstLine="2"/>
              <w:rPr>
                <w:sz w:val="20"/>
                <w:szCs w:val="20"/>
              </w:rPr>
            </w:pPr>
            <w:r>
              <w:rPr>
                <w:spacing w:val="9"/>
                <w:sz w:val="20"/>
                <w:szCs w:val="20"/>
              </w:rPr>
              <w:t>各贮存区进行明显标识，标明贮存</w:t>
            </w:r>
            <w:r>
              <w:rPr>
                <w:spacing w:val="2"/>
                <w:sz w:val="20"/>
                <w:szCs w:val="20"/>
              </w:rPr>
              <w:t xml:space="preserve"> </w:t>
            </w:r>
            <w:r>
              <w:rPr>
                <w:spacing w:val="9"/>
                <w:sz w:val="20"/>
                <w:szCs w:val="20"/>
              </w:rPr>
              <w:t>物的类别、名称、规格、注意事项</w:t>
            </w:r>
            <w:r>
              <w:rPr>
                <w:spacing w:val="4"/>
                <w:sz w:val="20"/>
                <w:szCs w:val="20"/>
              </w:rPr>
              <w:t xml:space="preserve"> </w:t>
            </w:r>
            <w:r>
              <w:rPr>
                <w:sz w:val="20"/>
                <w:szCs w:val="20"/>
              </w:rPr>
              <w:t>等。</w:t>
            </w:r>
          </w:p>
          <w:p w14:paraId="5CCB580F">
            <w:pPr>
              <w:pStyle w:val="6"/>
              <w:spacing w:before="31" w:line="282" w:lineRule="auto"/>
              <w:ind w:left="117" w:right="246"/>
              <w:rPr>
                <w:sz w:val="20"/>
                <w:szCs w:val="20"/>
              </w:rPr>
            </w:pPr>
            <w:r>
              <w:rPr>
                <w:spacing w:val="5"/>
                <w:sz w:val="20"/>
                <w:szCs w:val="20"/>
              </w:rPr>
              <w:t>厂区内场地、道路进行硬化处理，</w:t>
            </w:r>
            <w:r>
              <w:rPr>
                <w:spacing w:val="11"/>
                <w:sz w:val="20"/>
                <w:szCs w:val="20"/>
              </w:rPr>
              <w:t xml:space="preserve"> </w:t>
            </w:r>
            <w:r>
              <w:rPr>
                <w:spacing w:val="7"/>
                <w:sz w:val="20"/>
                <w:szCs w:val="20"/>
              </w:rPr>
              <w:t>如出现破损应及时维修。</w:t>
            </w:r>
          </w:p>
          <w:p w14:paraId="4D192A92">
            <w:pPr>
              <w:pStyle w:val="6"/>
              <w:spacing w:before="35" w:line="287" w:lineRule="auto"/>
              <w:ind w:left="112" w:right="94" w:firstLine="5"/>
              <w:rPr>
                <w:sz w:val="20"/>
                <w:szCs w:val="20"/>
              </w:rPr>
            </w:pPr>
            <w:r>
              <w:rPr>
                <w:spacing w:val="15"/>
                <w:sz w:val="20"/>
                <w:szCs w:val="20"/>
              </w:rPr>
              <w:t>项目实行雨污分流，设备及车辆不</w:t>
            </w:r>
            <w:r>
              <w:rPr>
                <w:spacing w:val="9"/>
                <w:sz w:val="20"/>
                <w:szCs w:val="20"/>
              </w:rPr>
              <w:t xml:space="preserve"> </w:t>
            </w:r>
            <w:r>
              <w:rPr>
                <w:spacing w:val="16"/>
                <w:sz w:val="20"/>
                <w:szCs w:val="20"/>
              </w:rPr>
              <w:t>在厂区内清洗；本项目收购来的报</w:t>
            </w:r>
            <w:r>
              <w:rPr>
                <w:spacing w:val="2"/>
                <w:sz w:val="20"/>
                <w:szCs w:val="20"/>
              </w:rPr>
              <w:t xml:space="preserve"> </w:t>
            </w:r>
            <w:r>
              <w:rPr>
                <w:spacing w:val="22"/>
                <w:sz w:val="20"/>
                <w:szCs w:val="20"/>
              </w:rPr>
              <w:t>废农机运至报废农机</w:t>
            </w:r>
            <w:r>
              <w:rPr>
                <w:spacing w:val="-57"/>
                <w:sz w:val="20"/>
                <w:szCs w:val="20"/>
              </w:rPr>
              <w:t xml:space="preserve"> </w:t>
            </w:r>
            <w:r>
              <w:rPr>
                <w:spacing w:val="22"/>
                <w:sz w:val="20"/>
                <w:szCs w:val="20"/>
              </w:rPr>
              <w:t>暂存</w:t>
            </w:r>
            <w:r>
              <w:rPr>
                <w:spacing w:val="-50"/>
                <w:sz w:val="20"/>
                <w:szCs w:val="20"/>
              </w:rPr>
              <w:t xml:space="preserve"> </w:t>
            </w:r>
            <w:r>
              <w:rPr>
                <w:spacing w:val="22"/>
                <w:sz w:val="20"/>
                <w:szCs w:val="20"/>
              </w:rPr>
              <w:t>区内</w:t>
            </w:r>
            <w:r>
              <w:rPr>
                <w:spacing w:val="-59"/>
                <w:sz w:val="20"/>
                <w:szCs w:val="20"/>
              </w:rPr>
              <w:t xml:space="preserve"> </w:t>
            </w:r>
            <w:r>
              <w:rPr>
                <w:spacing w:val="22"/>
                <w:sz w:val="20"/>
                <w:szCs w:val="20"/>
              </w:rPr>
              <w:t>暂</w:t>
            </w:r>
            <w:r>
              <w:rPr>
                <w:sz w:val="20"/>
                <w:szCs w:val="20"/>
              </w:rPr>
              <w:t xml:space="preserve"> </w:t>
            </w:r>
            <w:r>
              <w:rPr>
                <w:spacing w:val="16"/>
                <w:sz w:val="20"/>
                <w:szCs w:val="20"/>
              </w:rPr>
              <w:t>存，不进行露天停放，不单独设置</w:t>
            </w:r>
            <w:r>
              <w:rPr>
                <w:spacing w:val="2"/>
                <w:sz w:val="20"/>
                <w:szCs w:val="20"/>
              </w:rPr>
              <w:t xml:space="preserve"> </w:t>
            </w:r>
            <w:r>
              <w:rPr>
                <w:spacing w:val="16"/>
                <w:sz w:val="20"/>
                <w:szCs w:val="20"/>
              </w:rPr>
              <w:t>停车坪，雨水收集池位于厂区西北</w:t>
            </w:r>
            <w:r>
              <w:rPr>
                <w:spacing w:val="2"/>
                <w:sz w:val="20"/>
                <w:szCs w:val="20"/>
              </w:rPr>
              <w:t xml:space="preserve"> </w:t>
            </w:r>
            <w:r>
              <w:rPr>
                <w:spacing w:val="8"/>
                <w:sz w:val="20"/>
                <w:szCs w:val="20"/>
              </w:rPr>
              <w:t>侧，5m</w:t>
            </w:r>
            <w:r>
              <w:rPr>
                <w:spacing w:val="8"/>
                <w:position w:val="10"/>
                <w:sz w:val="10"/>
                <w:szCs w:val="10"/>
              </w:rPr>
              <w:t>3</w:t>
            </w:r>
            <w:r>
              <w:rPr>
                <w:spacing w:val="-10"/>
                <w:position w:val="10"/>
                <w:sz w:val="10"/>
                <w:szCs w:val="10"/>
              </w:rPr>
              <w:t xml:space="preserve"> </w:t>
            </w:r>
            <w:r>
              <w:rPr>
                <w:spacing w:val="8"/>
                <w:sz w:val="20"/>
                <w:szCs w:val="20"/>
              </w:rPr>
              <w:t>，利用厂区坡降收集雨水；</w:t>
            </w:r>
            <w:r>
              <w:rPr>
                <w:sz w:val="20"/>
                <w:szCs w:val="20"/>
              </w:rPr>
              <w:t xml:space="preserve"> </w:t>
            </w:r>
            <w:r>
              <w:rPr>
                <w:spacing w:val="16"/>
                <w:sz w:val="20"/>
                <w:szCs w:val="20"/>
              </w:rPr>
              <w:t>本项目车间地面不清洗，地面如有</w:t>
            </w:r>
            <w:r>
              <w:rPr>
                <w:spacing w:val="2"/>
                <w:sz w:val="20"/>
                <w:szCs w:val="20"/>
              </w:rPr>
              <w:t xml:space="preserve"> </w:t>
            </w:r>
            <w:r>
              <w:rPr>
                <w:spacing w:val="8"/>
                <w:sz w:val="20"/>
                <w:szCs w:val="20"/>
              </w:rPr>
              <w:t>油渍，采用抹布/拖布擦干，废抹布</w:t>
            </w:r>
            <w:r>
              <w:rPr>
                <w:spacing w:val="11"/>
                <w:sz w:val="20"/>
                <w:szCs w:val="20"/>
              </w:rPr>
              <w:t xml:space="preserve"> </w:t>
            </w:r>
            <w:r>
              <w:rPr>
                <w:spacing w:val="22"/>
                <w:sz w:val="20"/>
                <w:szCs w:val="20"/>
              </w:rPr>
              <w:t>/拖布作为危险废物暂存在危险废</w:t>
            </w:r>
            <w:r>
              <w:rPr>
                <w:spacing w:val="9"/>
                <w:sz w:val="20"/>
                <w:szCs w:val="20"/>
              </w:rPr>
              <w:t xml:space="preserve"> </w:t>
            </w:r>
            <w:r>
              <w:rPr>
                <w:spacing w:val="13"/>
                <w:sz w:val="20"/>
                <w:szCs w:val="20"/>
              </w:rPr>
              <w:t>物暂存点，</w:t>
            </w:r>
            <w:r>
              <w:rPr>
                <w:spacing w:val="-53"/>
                <w:sz w:val="20"/>
                <w:szCs w:val="20"/>
              </w:rPr>
              <w:t xml:space="preserve"> </w:t>
            </w:r>
            <w:r>
              <w:rPr>
                <w:spacing w:val="13"/>
                <w:sz w:val="20"/>
                <w:szCs w:val="20"/>
              </w:rPr>
              <w:t>由有资质单位处理，不</w:t>
            </w:r>
            <w:r>
              <w:rPr>
                <w:sz w:val="20"/>
                <w:szCs w:val="20"/>
              </w:rPr>
              <w:t xml:space="preserve"> </w:t>
            </w:r>
            <w:r>
              <w:rPr>
                <w:spacing w:val="7"/>
                <w:sz w:val="20"/>
                <w:szCs w:val="20"/>
              </w:rPr>
              <w:t>设污水收集池。</w:t>
            </w:r>
          </w:p>
        </w:tc>
        <w:tc>
          <w:tcPr>
            <w:tcW w:w="982" w:type="dxa"/>
            <w:vMerge w:val="restart"/>
            <w:tcBorders>
              <w:left w:val="single" w:color="000000" w:sz="2" w:space="0"/>
              <w:bottom w:val="nil"/>
            </w:tcBorders>
            <w:vAlign w:val="top"/>
          </w:tcPr>
          <w:p w14:paraId="2E2C9E92">
            <w:pPr>
              <w:spacing w:line="242" w:lineRule="auto"/>
              <w:rPr>
                <w:rFonts w:ascii="Arial"/>
                <w:sz w:val="21"/>
              </w:rPr>
            </w:pPr>
          </w:p>
          <w:p w14:paraId="0E9E3EFB">
            <w:pPr>
              <w:spacing w:line="242" w:lineRule="auto"/>
              <w:rPr>
                <w:rFonts w:ascii="Arial"/>
                <w:sz w:val="21"/>
              </w:rPr>
            </w:pPr>
          </w:p>
          <w:p w14:paraId="3738F3D2">
            <w:pPr>
              <w:spacing w:line="242" w:lineRule="auto"/>
              <w:rPr>
                <w:rFonts w:ascii="Arial"/>
                <w:sz w:val="21"/>
              </w:rPr>
            </w:pPr>
          </w:p>
          <w:p w14:paraId="2B712A16">
            <w:pPr>
              <w:spacing w:line="242" w:lineRule="auto"/>
              <w:rPr>
                <w:rFonts w:ascii="Arial"/>
                <w:sz w:val="21"/>
              </w:rPr>
            </w:pPr>
          </w:p>
          <w:p w14:paraId="5BDD6E73">
            <w:pPr>
              <w:spacing w:line="242" w:lineRule="auto"/>
              <w:rPr>
                <w:rFonts w:ascii="Arial"/>
                <w:sz w:val="21"/>
              </w:rPr>
            </w:pPr>
          </w:p>
          <w:p w14:paraId="0FEF7003">
            <w:pPr>
              <w:spacing w:line="242" w:lineRule="auto"/>
              <w:rPr>
                <w:rFonts w:ascii="Arial"/>
                <w:sz w:val="21"/>
              </w:rPr>
            </w:pPr>
          </w:p>
          <w:p w14:paraId="4D096745">
            <w:pPr>
              <w:spacing w:line="242" w:lineRule="auto"/>
              <w:rPr>
                <w:rFonts w:ascii="Arial"/>
                <w:sz w:val="21"/>
              </w:rPr>
            </w:pPr>
          </w:p>
          <w:p w14:paraId="0583EC51">
            <w:pPr>
              <w:spacing w:line="242" w:lineRule="auto"/>
              <w:rPr>
                <w:rFonts w:ascii="Arial"/>
                <w:sz w:val="21"/>
              </w:rPr>
            </w:pPr>
          </w:p>
          <w:p w14:paraId="00DDD0A4">
            <w:pPr>
              <w:spacing w:line="242" w:lineRule="auto"/>
              <w:rPr>
                <w:rFonts w:ascii="Arial"/>
                <w:sz w:val="21"/>
              </w:rPr>
            </w:pPr>
          </w:p>
          <w:p w14:paraId="4081A16E">
            <w:pPr>
              <w:spacing w:line="242" w:lineRule="auto"/>
              <w:rPr>
                <w:rFonts w:ascii="Arial"/>
                <w:sz w:val="21"/>
              </w:rPr>
            </w:pPr>
          </w:p>
          <w:p w14:paraId="3206C3B8">
            <w:pPr>
              <w:spacing w:line="242" w:lineRule="auto"/>
              <w:rPr>
                <w:rFonts w:ascii="Arial"/>
                <w:sz w:val="21"/>
              </w:rPr>
            </w:pPr>
          </w:p>
          <w:p w14:paraId="0315EB5D">
            <w:pPr>
              <w:spacing w:line="242" w:lineRule="auto"/>
              <w:rPr>
                <w:rFonts w:ascii="Arial"/>
                <w:sz w:val="21"/>
              </w:rPr>
            </w:pPr>
          </w:p>
          <w:p w14:paraId="717553CC">
            <w:pPr>
              <w:spacing w:line="243" w:lineRule="auto"/>
              <w:rPr>
                <w:rFonts w:ascii="Arial"/>
                <w:sz w:val="21"/>
              </w:rPr>
            </w:pPr>
          </w:p>
          <w:p w14:paraId="0DF18955">
            <w:pPr>
              <w:spacing w:line="243" w:lineRule="auto"/>
              <w:rPr>
                <w:rFonts w:ascii="Arial"/>
                <w:sz w:val="21"/>
              </w:rPr>
            </w:pPr>
          </w:p>
          <w:p w14:paraId="5DCEE959">
            <w:pPr>
              <w:spacing w:line="243" w:lineRule="auto"/>
              <w:rPr>
                <w:rFonts w:ascii="Arial"/>
                <w:sz w:val="21"/>
              </w:rPr>
            </w:pPr>
          </w:p>
          <w:p w14:paraId="1E4F472B">
            <w:pPr>
              <w:spacing w:line="243" w:lineRule="auto"/>
              <w:rPr>
                <w:rFonts w:ascii="Arial"/>
                <w:sz w:val="21"/>
              </w:rPr>
            </w:pPr>
          </w:p>
          <w:p w14:paraId="342B00EF">
            <w:pPr>
              <w:spacing w:line="243" w:lineRule="auto"/>
              <w:rPr>
                <w:rFonts w:ascii="Arial"/>
                <w:sz w:val="21"/>
              </w:rPr>
            </w:pPr>
          </w:p>
          <w:p w14:paraId="697BDD49">
            <w:pPr>
              <w:spacing w:line="243" w:lineRule="auto"/>
              <w:rPr>
                <w:rFonts w:ascii="Arial"/>
                <w:sz w:val="21"/>
              </w:rPr>
            </w:pPr>
          </w:p>
          <w:p w14:paraId="349903A3">
            <w:pPr>
              <w:spacing w:line="243" w:lineRule="auto"/>
              <w:rPr>
                <w:rFonts w:ascii="Arial"/>
                <w:sz w:val="21"/>
              </w:rPr>
            </w:pPr>
          </w:p>
          <w:p w14:paraId="56F85A66">
            <w:pPr>
              <w:spacing w:line="243" w:lineRule="auto"/>
              <w:rPr>
                <w:rFonts w:ascii="Arial"/>
                <w:sz w:val="21"/>
              </w:rPr>
            </w:pPr>
          </w:p>
          <w:p w14:paraId="47683952">
            <w:pPr>
              <w:spacing w:line="243" w:lineRule="auto"/>
              <w:rPr>
                <w:rFonts w:ascii="Arial"/>
                <w:sz w:val="21"/>
              </w:rPr>
            </w:pPr>
          </w:p>
          <w:p w14:paraId="155498D0">
            <w:pPr>
              <w:spacing w:line="243" w:lineRule="auto"/>
              <w:rPr>
                <w:rFonts w:ascii="Arial"/>
                <w:sz w:val="21"/>
              </w:rPr>
            </w:pPr>
          </w:p>
          <w:p w14:paraId="498CD6E7">
            <w:pPr>
              <w:spacing w:line="243" w:lineRule="auto"/>
              <w:rPr>
                <w:rFonts w:ascii="Arial"/>
                <w:sz w:val="21"/>
              </w:rPr>
            </w:pPr>
          </w:p>
          <w:p w14:paraId="32DA2346">
            <w:pPr>
              <w:spacing w:line="243" w:lineRule="auto"/>
              <w:rPr>
                <w:rFonts w:ascii="Arial"/>
                <w:sz w:val="21"/>
              </w:rPr>
            </w:pPr>
          </w:p>
          <w:p w14:paraId="125DFFF5">
            <w:pPr>
              <w:spacing w:line="243" w:lineRule="auto"/>
              <w:rPr>
                <w:rFonts w:ascii="Arial"/>
                <w:sz w:val="21"/>
              </w:rPr>
            </w:pPr>
          </w:p>
          <w:p w14:paraId="1BB41D80">
            <w:pPr>
              <w:spacing w:line="243" w:lineRule="auto"/>
              <w:rPr>
                <w:rFonts w:ascii="Arial"/>
                <w:sz w:val="21"/>
              </w:rPr>
            </w:pPr>
          </w:p>
          <w:p w14:paraId="2F57149A">
            <w:pPr>
              <w:spacing w:line="243" w:lineRule="auto"/>
              <w:rPr>
                <w:rFonts w:ascii="Arial"/>
                <w:sz w:val="21"/>
              </w:rPr>
            </w:pPr>
          </w:p>
          <w:p w14:paraId="3C4E6FA3">
            <w:pPr>
              <w:spacing w:line="243" w:lineRule="auto"/>
              <w:rPr>
                <w:rFonts w:ascii="Arial"/>
                <w:sz w:val="21"/>
              </w:rPr>
            </w:pPr>
          </w:p>
          <w:p w14:paraId="22251032">
            <w:pPr>
              <w:spacing w:line="243" w:lineRule="auto"/>
              <w:rPr>
                <w:rFonts w:ascii="Arial"/>
                <w:sz w:val="21"/>
              </w:rPr>
            </w:pPr>
          </w:p>
          <w:p w14:paraId="2EBA859B">
            <w:pPr>
              <w:spacing w:line="243" w:lineRule="auto"/>
              <w:rPr>
                <w:rFonts w:ascii="Arial"/>
                <w:sz w:val="21"/>
              </w:rPr>
            </w:pPr>
          </w:p>
          <w:p w14:paraId="61144A36">
            <w:pPr>
              <w:spacing w:line="243" w:lineRule="auto"/>
              <w:rPr>
                <w:rFonts w:ascii="Arial"/>
                <w:sz w:val="21"/>
              </w:rPr>
            </w:pPr>
          </w:p>
          <w:p w14:paraId="29F2B467">
            <w:pPr>
              <w:spacing w:line="243" w:lineRule="auto"/>
              <w:rPr>
                <w:rFonts w:ascii="Arial"/>
                <w:sz w:val="21"/>
              </w:rPr>
            </w:pPr>
          </w:p>
          <w:p w14:paraId="52871F3F">
            <w:pPr>
              <w:spacing w:line="243" w:lineRule="auto"/>
              <w:rPr>
                <w:rFonts w:ascii="Arial"/>
                <w:sz w:val="21"/>
              </w:rPr>
            </w:pPr>
          </w:p>
          <w:p w14:paraId="3F1BA7E4">
            <w:pPr>
              <w:spacing w:line="243" w:lineRule="auto"/>
              <w:rPr>
                <w:rFonts w:ascii="Arial"/>
                <w:sz w:val="21"/>
              </w:rPr>
            </w:pPr>
          </w:p>
          <w:p w14:paraId="4AA38CD2">
            <w:pPr>
              <w:spacing w:line="243" w:lineRule="auto"/>
              <w:rPr>
                <w:rFonts w:ascii="Arial"/>
                <w:sz w:val="21"/>
              </w:rPr>
            </w:pPr>
          </w:p>
          <w:p w14:paraId="7D7563FE">
            <w:pPr>
              <w:spacing w:line="243" w:lineRule="auto"/>
              <w:rPr>
                <w:rFonts w:ascii="Arial"/>
                <w:sz w:val="21"/>
              </w:rPr>
            </w:pPr>
          </w:p>
          <w:p w14:paraId="4F2FF872">
            <w:pPr>
              <w:spacing w:line="243" w:lineRule="auto"/>
              <w:rPr>
                <w:rFonts w:ascii="Arial"/>
                <w:sz w:val="21"/>
              </w:rPr>
            </w:pPr>
          </w:p>
          <w:p w14:paraId="3B03C12C">
            <w:pPr>
              <w:spacing w:line="243" w:lineRule="auto"/>
              <w:rPr>
                <w:rFonts w:ascii="Arial"/>
                <w:sz w:val="21"/>
              </w:rPr>
            </w:pPr>
          </w:p>
          <w:p w14:paraId="4C439D3B">
            <w:pPr>
              <w:spacing w:line="243" w:lineRule="auto"/>
              <w:rPr>
                <w:rFonts w:ascii="Arial"/>
                <w:sz w:val="21"/>
              </w:rPr>
            </w:pPr>
          </w:p>
          <w:p w14:paraId="3430C66B">
            <w:pPr>
              <w:spacing w:line="243" w:lineRule="auto"/>
              <w:rPr>
                <w:rFonts w:ascii="Arial"/>
                <w:sz w:val="21"/>
              </w:rPr>
            </w:pPr>
          </w:p>
          <w:p w14:paraId="41D532A3">
            <w:pPr>
              <w:spacing w:line="243" w:lineRule="auto"/>
              <w:rPr>
                <w:rFonts w:ascii="Arial"/>
                <w:sz w:val="21"/>
              </w:rPr>
            </w:pPr>
          </w:p>
          <w:p w14:paraId="04C5294D">
            <w:pPr>
              <w:spacing w:line="243" w:lineRule="auto"/>
              <w:rPr>
                <w:rFonts w:ascii="Arial"/>
                <w:sz w:val="21"/>
              </w:rPr>
            </w:pPr>
          </w:p>
          <w:p w14:paraId="123AE1B7">
            <w:pPr>
              <w:pStyle w:val="6"/>
              <w:spacing w:before="65" w:line="228" w:lineRule="auto"/>
              <w:ind w:left="238"/>
              <w:rPr>
                <w:sz w:val="20"/>
                <w:szCs w:val="20"/>
              </w:rPr>
            </w:pPr>
            <w:r>
              <w:rPr>
                <w:spacing w:val="3"/>
                <w:sz w:val="20"/>
                <w:szCs w:val="20"/>
              </w:rPr>
              <w:t>符合</w:t>
            </w:r>
          </w:p>
        </w:tc>
      </w:tr>
      <w:tr w14:paraId="7F12ADC8">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7404" w:hRule="atLeast"/>
        </w:trPr>
        <w:tc>
          <w:tcPr>
            <w:tcW w:w="494" w:type="dxa"/>
            <w:vMerge w:val="continue"/>
            <w:tcBorders>
              <w:top w:val="nil"/>
              <w:right w:val="single" w:color="000000" w:sz="2" w:space="0"/>
            </w:tcBorders>
            <w:vAlign w:val="top"/>
          </w:tcPr>
          <w:p w14:paraId="349777B2">
            <w:pPr>
              <w:rPr>
                <w:rFonts w:ascii="Arial"/>
                <w:sz w:val="21"/>
              </w:rPr>
            </w:pPr>
          </w:p>
        </w:tc>
        <w:tc>
          <w:tcPr>
            <w:tcW w:w="3990" w:type="dxa"/>
            <w:vMerge w:val="continue"/>
            <w:tcBorders>
              <w:top w:val="nil"/>
              <w:left w:val="single" w:color="000000" w:sz="2" w:space="0"/>
              <w:right w:val="single" w:color="000000" w:sz="2" w:space="0"/>
            </w:tcBorders>
            <w:vAlign w:val="top"/>
          </w:tcPr>
          <w:p w14:paraId="43F8F1DE">
            <w:pPr>
              <w:rPr>
                <w:rFonts w:ascii="Arial"/>
                <w:sz w:val="21"/>
              </w:rPr>
            </w:pPr>
          </w:p>
        </w:tc>
        <w:tc>
          <w:tcPr>
            <w:tcW w:w="3456" w:type="dxa"/>
            <w:tcBorders>
              <w:top w:val="single" w:color="000000" w:sz="2" w:space="0"/>
              <w:left w:val="single" w:color="000000" w:sz="2" w:space="0"/>
              <w:right w:val="single" w:color="000000" w:sz="2" w:space="0"/>
            </w:tcBorders>
            <w:vAlign w:val="top"/>
          </w:tcPr>
          <w:p w14:paraId="16D0C889">
            <w:pPr>
              <w:pStyle w:val="6"/>
              <w:spacing w:before="89" w:line="228" w:lineRule="auto"/>
              <w:ind w:left="114"/>
              <w:rPr>
                <w:sz w:val="20"/>
                <w:szCs w:val="20"/>
              </w:rPr>
            </w:pPr>
            <w:r>
              <w:rPr>
                <w:spacing w:val="8"/>
                <w:sz w:val="20"/>
                <w:szCs w:val="20"/>
              </w:rPr>
              <w:t>拆解过程按照污染控制要求就行，</w:t>
            </w:r>
          </w:p>
          <w:p w14:paraId="6CF3938C">
            <w:pPr>
              <w:pStyle w:val="6"/>
              <w:spacing w:before="78" w:line="292" w:lineRule="auto"/>
              <w:ind w:left="113" w:right="26"/>
              <w:rPr>
                <w:sz w:val="20"/>
                <w:szCs w:val="20"/>
              </w:rPr>
            </w:pPr>
            <w:r>
              <w:rPr>
                <w:spacing w:val="9"/>
                <w:sz w:val="20"/>
                <w:szCs w:val="20"/>
              </w:rPr>
              <w:t>在开展拆解作业前，抽排燃油、发</w:t>
            </w:r>
            <w:r>
              <w:rPr>
                <w:spacing w:val="2"/>
                <w:sz w:val="20"/>
                <w:szCs w:val="20"/>
              </w:rPr>
              <w:t xml:space="preserve">  </w:t>
            </w:r>
            <w:r>
              <w:rPr>
                <w:spacing w:val="6"/>
                <w:sz w:val="20"/>
                <w:szCs w:val="20"/>
              </w:rPr>
              <w:t>动机油、变速器</w:t>
            </w:r>
            <w:r>
              <w:rPr>
                <w:rFonts w:ascii="Times New Roman" w:hAnsi="Times New Roman" w:eastAsia="Times New Roman" w:cs="Times New Roman"/>
                <w:spacing w:val="6"/>
                <w:sz w:val="20"/>
                <w:szCs w:val="20"/>
              </w:rPr>
              <w:t>/</w:t>
            </w:r>
            <w:r>
              <w:rPr>
                <w:spacing w:val="6"/>
                <w:sz w:val="20"/>
                <w:szCs w:val="20"/>
              </w:rPr>
              <w:t>齿轮箱</w:t>
            </w:r>
            <w:r>
              <w:rPr>
                <w:rFonts w:ascii="Times New Roman" w:hAnsi="Times New Roman" w:eastAsia="Times New Roman" w:cs="Times New Roman"/>
                <w:spacing w:val="6"/>
                <w:sz w:val="20"/>
                <w:szCs w:val="20"/>
              </w:rPr>
              <w:t>(</w:t>
            </w:r>
            <w:r>
              <w:rPr>
                <w:spacing w:val="6"/>
                <w:sz w:val="20"/>
                <w:szCs w:val="20"/>
              </w:rPr>
              <w:t>包括后差速</w:t>
            </w:r>
            <w:r>
              <w:rPr>
                <w:spacing w:val="14"/>
                <w:sz w:val="20"/>
                <w:szCs w:val="20"/>
              </w:rPr>
              <w:t xml:space="preserve"> </w:t>
            </w:r>
            <w:r>
              <w:rPr>
                <w:spacing w:val="6"/>
                <w:sz w:val="20"/>
                <w:szCs w:val="20"/>
              </w:rPr>
              <w:t>器和</w:t>
            </w:r>
            <w:r>
              <w:rPr>
                <w:rFonts w:ascii="Times New Roman" w:hAnsi="Times New Roman" w:eastAsia="Times New Roman" w:cs="Times New Roman"/>
                <w:spacing w:val="6"/>
                <w:sz w:val="20"/>
                <w:szCs w:val="20"/>
              </w:rPr>
              <w:t>/</w:t>
            </w:r>
            <w:r>
              <w:rPr>
                <w:spacing w:val="6"/>
                <w:sz w:val="20"/>
                <w:szCs w:val="20"/>
              </w:rPr>
              <w:t>或分动器</w:t>
            </w:r>
            <w:r>
              <w:rPr>
                <w:rFonts w:ascii="Times New Roman" w:hAnsi="Times New Roman" w:eastAsia="Times New Roman" w:cs="Times New Roman"/>
                <w:spacing w:val="6"/>
                <w:sz w:val="20"/>
                <w:szCs w:val="20"/>
              </w:rPr>
              <w:t>)</w:t>
            </w:r>
            <w:r>
              <w:rPr>
                <w:spacing w:val="6"/>
                <w:sz w:val="20"/>
                <w:szCs w:val="20"/>
              </w:rPr>
              <w:t>油、动力转向油、制</w:t>
            </w:r>
            <w:r>
              <w:rPr>
                <w:spacing w:val="14"/>
                <w:sz w:val="20"/>
                <w:szCs w:val="20"/>
              </w:rPr>
              <w:t xml:space="preserve"> </w:t>
            </w:r>
            <w:r>
              <w:rPr>
                <w:spacing w:val="9"/>
                <w:sz w:val="20"/>
                <w:szCs w:val="20"/>
              </w:rPr>
              <w:t>动液等石油基油或者液态合成润滑</w:t>
            </w:r>
            <w:r>
              <w:rPr>
                <w:spacing w:val="2"/>
                <w:sz w:val="20"/>
                <w:szCs w:val="20"/>
              </w:rPr>
              <w:t xml:space="preserve">  </w:t>
            </w:r>
            <w:r>
              <w:rPr>
                <w:spacing w:val="9"/>
                <w:sz w:val="20"/>
                <w:szCs w:val="20"/>
              </w:rPr>
              <w:t>剂、冷却液、挡风玻璃清洗液、制</w:t>
            </w:r>
            <w:r>
              <w:rPr>
                <w:spacing w:val="2"/>
                <w:sz w:val="20"/>
                <w:szCs w:val="20"/>
              </w:rPr>
              <w:t xml:space="preserve">  </w:t>
            </w:r>
            <w:r>
              <w:rPr>
                <w:spacing w:val="6"/>
                <w:sz w:val="20"/>
                <w:szCs w:val="20"/>
              </w:rPr>
              <w:t>冷剂等，并使用专用容器回收贮存。</w:t>
            </w:r>
            <w:r>
              <w:rPr>
                <w:spacing w:val="13"/>
                <w:sz w:val="20"/>
                <w:szCs w:val="20"/>
              </w:rPr>
              <w:t xml:space="preserve"> </w:t>
            </w:r>
            <w:r>
              <w:rPr>
                <w:spacing w:val="6"/>
                <w:sz w:val="20"/>
                <w:szCs w:val="20"/>
              </w:rPr>
              <w:t>操作场所有防漏、截流和清污措施，</w:t>
            </w:r>
            <w:r>
              <w:rPr>
                <w:spacing w:val="13"/>
                <w:sz w:val="20"/>
                <w:szCs w:val="20"/>
              </w:rPr>
              <w:t xml:space="preserve"> </w:t>
            </w:r>
            <w:r>
              <w:rPr>
                <w:spacing w:val="9"/>
                <w:sz w:val="20"/>
                <w:szCs w:val="20"/>
              </w:rPr>
              <w:t>抽油液工段与危险废物贮存库共用</w:t>
            </w:r>
            <w:r>
              <w:rPr>
                <w:spacing w:val="2"/>
                <w:sz w:val="20"/>
                <w:szCs w:val="20"/>
              </w:rPr>
              <w:t xml:space="preserve">  </w:t>
            </w:r>
            <w:r>
              <w:rPr>
                <w:rFonts w:ascii="Times New Roman" w:hAnsi="Times New Roman" w:eastAsia="Times New Roman" w:cs="Times New Roman"/>
                <w:spacing w:val="8"/>
                <w:sz w:val="20"/>
                <w:szCs w:val="20"/>
              </w:rPr>
              <w:t>1</w:t>
            </w:r>
            <w:r>
              <w:rPr>
                <w:spacing w:val="8"/>
                <w:sz w:val="20"/>
                <w:szCs w:val="20"/>
              </w:rPr>
              <w:t>套设置集气装置，收集的废气经</w:t>
            </w:r>
            <w:r>
              <w:rPr>
                <w:rFonts w:ascii="Times New Roman" w:hAnsi="Times New Roman" w:eastAsia="Times New Roman" w:cs="Times New Roman"/>
                <w:spacing w:val="8"/>
                <w:sz w:val="20"/>
                <w:szCs w:val="20"/>
              </w:rPr>
              <w:t>1</w:t>
            </w:r>
            <w:r>
              <w:rPr>
                <w:rFonts w:ascii="Times New Roman" w:hAnsi="Times New Roman" w:eastAsia="Times New Roman" w:cs="Times New Roman"/>
                <w:spacing w:val="2"/>
                <w:sz w:val="20"/>
                <w:szCs w:val="20"/>
              </w:rPr>
              <w:t xml:space="preserve">    </w:t>
            </w:r>
            <w:r>
              <w:rPr>
                <w:spacing w:val="8"/>
                <w:sz w:val="20"/>
                <w:szCs w:val="20"/>
              </w:rPr>
              <w:t>套活性碳吸附装置处理后由</w:t>
            </w:r>
            <w:r>
              <w:rPr>
                <w:rFonts w:ascii="Times New Roman" w:hAnsi="Times New Roman" w:eastAsia="Times New Roman" w:cs="Times New Roman"/>
                <w:spacing w:val="8"/>
                <w:sz w:val="20"/>
                <w:szCs w:val="20"/>
              </w:rPr>
              <w:t>15m</w:t>
            </w:r>
            <w:r>
              <w:rPr>
                <w:spacing w:val="8"/>
                <w:sz w:val="20"/>
                <w:szCs w:val="20"/>
              </w:rPr>
              <w:t>高</w:t>
            </w:r>
            <w:r>
              <w:rPr>
                <w:spacing w:val="3"/>
                <w:sz w:val="20"/>
                <w:szCs w:val="20"/>
              </w:rPr>
              <w:t xml:space="preserve">   </w:t>
            </w:r>
            <w:r>
              <w:rPr>
                <w:spacing w:val="7"/>
                <w:sz w:val="20"/>
                <w:szCs w:val="20"/>
              </w:rPr>
              <w:t>排气筒排放（</w:t>
            </w:r>
            <w:r>
              <w:rPr>
                <w:rFonts w:ascii="Times New Roman" w:hAnsi="Times New Roman" w:eastAsia="Times New Roman" w:cs="Times New Roman"/>
                <w:sz w:val="20"/>
                <w:szCs w:val="20"/>
              </w:rPr>
              <w:t>DA</w:t>
            </w:r>
            <w:r>
              <w:rPr>
                <w:rFonts w:ascii="Times New Roman" w:hAnsi="Times New Roman" w:eastAsia="Times New Roman" w:cs="Times New Roman"/>
                <w:spacing w:val="7"/>
                <w:sz w:val="20"/>
                <w:szCs w:val="20"/>
              </w:rPr>
              <w:t>002</w:t>
            </w:r>
            <w:r>
              <w:rPr>
                <w:spacing w:val="7"/>
                <w:sz w:val="20"/>
                <w:szCs w:val="20"/>
              </w:rPr>
              <w:t>）。</w:t>
            </w:r>
          </w:p>
          <w:p w14:paraId="3FD9AD4F">
            <w:pPr>
              <w:pStyle w:val="6"/>
              <w:spacing w:before="35" w:line="286" w:lineRule="auto"/>
              <w:ind w:left="115" w:right="195" w:firstLine="2"/>
              <w:jc w:val="both"/>
              <w:rPr>
                <w:sz w:val="20"/>
                <w:szCs w:val="20"/>
              </w:rPr>
            </w:pPr>
            <w:r>
              <w:rPr>
                <w:spacing w:val="9"/>
                <w:sz w:val="20"/>
                <w:szCs w:val="20"/>
              </w:rPr>
              <w:t>项目不进行电动汽车拆解，废电池</w:t>
            </w:r>
            <w:r>
              <w:rPr>
                <w:spacing w:val="1"/>
                <w:sz w:val="20"/>
                <w:szCs w:val="20"/>
              </w:rPr>
              <w:t xml:space="preserve"> </w:t>
            </w:r>
            <w:r>
              <w:rPr>
                <w:spacing w:val="8"/>
                <w:sz w:val="20"/>
                <w:szCs w:val="20"/>
              </w:rPr>
              <w:t>暂存于</w:t>
            </w:r>
            <w:r>
              <w:rPr>
                <w:rFonts w:ascii="Times New Roman" w:hAnsi="Times New Roman" w:eastAsia="Times New Roman" w:cs="Times New Roman"/>
                <w:spacing w:val="8"/>
                <w:sz w:val="20"/>
                <w:szCs w:val="20"/>
              </w:rPr>
              <w:t>2#</w:t>
            </w:r>
            <w:r>
              <w:rPr>
                <w:spacing w:val="8"/>
                <w:sz w:val="20"/>
                <w:szCs w:val="20"/>
              </w:rPr>
              <w:t xml:space="preserve">废蓄电池暂存区，由有资 </w:t>
            </w:r>
            <w:r>
              <w:rPr>
                <w:spacing w:val="6"/>
                <w:sz w:val="20"/>
                <w:szCs w:val="20"/>
              </w:rPr>
              <w:t>质单位处理。</w:t>
            </w:r>
          </w:p>
          <w:p w14:paraId="08E1FC45">
            <w:pPr>
              <w:pStyle w:val="6"/>
              <w:spacing w:before="27" w:line="291" w:lineRule="auto"/>
              <w:ind w:left="112" w:right="94"/>
              <w:jc w:val="both"/>
              <w:rPr>
                <w:sz w:val="20"/>
                <w:szCs w:val="20"/>
              </w:rPr>
            </w:pPr>
            <w:r>
              <w:rPr>
                <w:spacing w:val="16"/>
                <w:sz w:val="20"/>
                <w:szCs w:val="20"/>
              </w:rPr>
              <w:t>报废机动车回收拆解企业不应在未</w:t>
            </w:r>
            <w:r>
              <w:rPr>
                <w:spacing w:val="2"/>
                <w:sz w:val="20"/>
                <w:szCs w:val="20"/>
              </w:rPr>
              <w:t xml:space="preserve"> </w:t>
            </w:r>
            <w:r>
              <w:rPr>
                <w:spacing w:val="16"/>
                <w:sz w:val="20"/>
                <w:szCs w:val="20"/>
              </w:rPr>
              <w:t>完成各项拆解作业前对报废机动车</w:t>
            </w:r>
            <w:r>
              <w:rPr>
                <w:spacing w:val="2"/>
                <w:sz w:val="20"/>
                <w:szCs w:val="20"/>
              </w:rPr>
              <w:t xml:space="preserve"> </w:t>
            </w:r>
            <w:r>
              <w:rPr>
                <w:spacing w:val="16"/>
                <w:sz w:val="20"/>
                <w:szCs w:val="20"/>
              </w:rPr>
              <w:t>进行破碎处理或者直接进行熔炼处</w:t>
            </w:r>
            <w:r>
              <w:rPr>
                <w:spacing w:val="2"/>
                <w:sz w:val="20"/>
                <w:szCs w:val="20"/>
              </w:rPr>
              <w:t xml:space="preserve"> </w:t>
            </w:r>
            <w:r>
              <w:rPr>
                <w:spacing w:val="1"/>
                <w:sz w:val="20"/>
                <w:szCs w:val="20"/>
              </w:rPr>
              <w:t>理。</w:t>
            </w:r>
          </w:p>
          <w:p w14:paraId="3A9D8459">
            <w:pPr>
              <w:pStyle w:val="6"/>
              <w:spacing w:before="20" w:line="282" w:lineRule="auto"/>
              <w:ind w:left="115" w:right="94"/>
              <w:rPr>
                <w:sz w:val="20"/>
                <w:szCs w:val="20"/>
              </w:rPr>
            </w:pPr>
            <w:r>
              <w:rPr>
                <w:spacing w:val="16"/>
                <w:sz w:val="20"/>
                <w:szCs w:val="20"/>
              </w:rPr>
              <w:t>本项目拆解过程中产生的废电线电</w:t>
            </w:r>
            <w:r>
              <w:rPr>
                <w:sz w:val="20"/>
                <w:szCs w:val="20"/>
              </w:rPr>
              <w:t xml:space="preserve"> </w:t>
            </w:r>
            <w:r>
              <w:rPr>
                <w:spacing w:val="8"/>
                <w:sz w:val="20"/>
                <w:szCs w:val="20"/>
              </w:rPr>
              <w:t>缆、废轮胎和其他废物严禁焚烧。</w:t>
            </w:r>
          </w:p>
          <w:p w14:paraId="5DF3C547">
            <w:pPr>
              <w:pStyle w:val="6"/>
              <w:spacing w:before="29" w:line="270" w:lineRule="auto"/>
              <w:ind w:left="114" w:right="26"/>
              <w:rPr>
                <w:sz w:val="20"/>
                <w:szCs w:val="20"/>
              </w:rPr>
            </w:pPr>
            <w:r>
              <w:rPr>
                <w:spacing w:val="6"/>
                <w:sz w:val="20"/>
                <w:szCs w:val="20"/>
              </w:rPr>
              <w:t>拆解产生的玻璃、废旧轮胎、塑料、</w:t>
            </w:r>
            <w:r>
              <w:rPr>
                <w:spacing w:val="13"/>
                <w:sz w:val="20"/>
                <w:szCs w:val="20"/>
              </w:rPr>
              <w:t xml:space="preserve"> </w:t>
            </w:r>
            <w:r>
              <w:rPr>
                <w:spacing w:val="15"/>
                <w:sz w:val="20"/>
                <w:szCs w:val="20"/>
              </w:rPr>
              <w:t>密封胶条、金属类等收集在拆解后</w:t>
            </w:r>
          </w:p>
        </w:tc>
        <w:tc>
          <w:tcPr>
            <w:tcW w:w="982" w:type="dxa"/>
            <w:vMerge w:val="continue"/>
            <w:tcBorders>
              <w:top w:val="nil"/>
              <w:left w:val="single" w:color="000000" w:sz="2" w:space="0"/>
            </w:tcBorders>
            <w:vAlign w:val="top"/>
          </w:tcPr>
          <w:p w14:paraId="0C1A8FC9">
            <w:pPr>
              <w:rPr>
                <w:rFonts w:ascii="Arial"/>
                <w:sz w:val="21"/>
              </w:rPr>
            </w:pPr>
          </w:p>
        </w:tc>
      </w:tr>
    </w:tbl>
    <w:p w14:paraId="32CC6E04">
      <w:pPr>
        <w:pStyle w:val="2"/>
        <w:spacing w:line="128" w:lineRule="exact"/>
        <w:rPr>
          <w:sz w:val="11"/>
        </w:rPr>
      </w:pPr>
    </w:p>
    <w:p w14:paraId="31EB9F6D">
      <w:pPr>
        <w:spacing w:line="128" w:lineRule="exact"/>
        <w:rPr>
          <w:sz w:val="11"/>
          <w:szCs w:val="11"/>
        </w:rPr>
        <w:sectPr>
          <w:footerReference r:id="rId34"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3990"/>
        <w:gridCol w:w="3456"/>
        <w:gridCol w:w="982"/>
      </w:tblGrid>
      <w:tr w14:paraId="6EA449A4">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1180" w:hRule="atLeast"/>
        </w:trPr>
        <w:tc>
          <w:tcPr>
            <w:tcW w:w="494" w:type="dxa"/>
            <w:vMerge w:val="restart"/>
            <w:tcBorders>
              <w:bottom w:val="nil"/>
              <w:right w:val="single" w:color="000000" w:sz="2" w:space="0"/>
            </w:tcBorders>
            <w:vAlign w:val="top"/>
          </w:tcPr>
          <w:p w14:paraId="34DB226B">
            <w:pPr>
              <w:rPr>
                <w:rFonts w:ascii="Arial"/>
                <w:sz w:val="21"/>
              </w:rPr>
            </w:pPr>
          </w:p>
        </w:tc>
        <w:tc>
          <w:tcPr>
            <w:tcW w:w="3990" w:type="dxa"/>
            <w:vMerge w:val="restart"/>
            <w:tcBorders>
              <w:left w:val="single" w:color="000000" w:sz="2" w:space="0"/>
              <w:bottom w:val="nil"/>
              <w:right w:val="single" w:color="000000" w:sz="2" w:space="0"/>
            </w:tcBorders>
            <w:vAlign w:val="top"/>
          </w:tcPr>
          <w:p w14:paraId="7237C87C">
            <w:pPr>
              <w:pStyle w:val="6"/>
              <w:spacing w:before="71" w:line="228" w:lineRule="auto"/>
              <w:ind w:left="208"/>
              <w:rPr>
                <w:sz w:val="20"/>
                <w:szCs w:val="20"/>
              </w:rPr>
            </w:pPr>
            <w:r>
              <w:rPr>
                <w:sz w:val="20"/>
                <w:szCs w:val="20"/>
              </w:rPr>
              <w:t>存。</w:t>
            </w:r>
          </w:p>
          <w:p w14:paraId="6DD22B88">
            <w:pPr>
              <w:pStyle w:val="6"/>
              <w:spacing w:before="72" w:line="286" w:lineRule="auto"/>
              <w:ind w:left="208" w:right="106" w:firstLine="1"/>
              <w:jc w:val="both"/>
              <w:rPr>
                <w:sz w:val="20"/>
                <w:szCs w:val="20"/>
              </w:rPr>
            </w:pPr>
            <w:r>
              <w:rPr>
                <w:rFonts w:ascii="Times New Roman" w:hAnsi="Times New Roman" w:eastAsia="Times New Roman" w:cs="Times New Roman"/>
                <w:spacing w:val="11"/>
                <w:sz w:val="20"/>
                <w:szCs w:val="20"/>
              </w:rPr>
              <w:t>6.5</w:t>
            </w:r>
            <w:r>
              <w:rPr>
                <w:spacing w:val="11"/>
                <w:sz w:val="20"/>
                <w:szCs w:val="20"/>
              </w:rPr>
              <w:t>报废机动车回收拆解企业不应在未完</w:t>
            </w:r>
            <w:r>
              <w:rPr>
                <w:spacing w:val="7"/>
                <w:sz w:val="20"/>
                <w:szCs w:val="20"/>
              </w:rPr>
              <w:t xml:space="preserve"> </w:t>
            </w:r>
            <w:r>
              <w:rPr>
                <w:spacing w:val="15"/>
                <w:sz w:val="20"/>
                <w:szCs w:val="20"/>
              </w:rPr>
              <w:t>成各项拆解作业前对报废机动车进行破</w:t>
            </w:r>
            <w:r>
              <w:rPr>
                <w:spacing w:val="13"/>
                <w:sz w:val="20"/>
                <w:szCs w:val="20"/>
              </w:rPr>
              <w:t xml:space="preserve"> </w:t>
            </w:r>
            <w:r>
              <w:rPr>
                <w:spacing w:val="8"/>
                <w:sz w:val="20"/>
                <w:szCs w:val="20"/>
              </w:rPr>
              <w:t>碎处理或者直接进行熔炼处理。</w:t>
            </w:r>
          </w:p>
          <w:p w14:paraId="76230B0A">
            <w:pPr>
              <w:pStyle w:val="6"/>
              <w:spacing w:before="30" w:line="286" w:lineRule="auto"/>
              <w:ind w:left="208" w:right="38" w:firstLine="1"/>
              <w:jc w:val="both"/>
              <w:rPr>
                <w:sz w:val="20"/>
                <w:szCs w:val="20"/>
              </w:rPr>
            </w:pPr>
            <w:r>
              <w:rPr>
                <w:rFonts w:ascii="Times New Roman" w:hAnsi="Times New Roman" w:eastAsia="Times New Roman" w:cs="Times New Roman"/>
                <w:spacing w:val="11"/>
                <w:sz w:val="20"/>
                <w:szCs w:val="20"/>
              </w:rPr>
              <w:t>6.6</w:t>
            </w:r>
            <w:r>
              <w:rPr>
                <w:spacing w:val="11"/>
                <w:sz w:val="20"/>
                <w:szCs w:val="20"/>
              </w:rPr>
              <w:t>报废机动车回收拆解企业不应焚烧报</w:t>
            </w:r>
            <w:r>
              <w:rPr>
                <w:spacing w:val="7"/>
                <w:sz w:val="20"/>
                <w:szCs w:val="20"/>
              </w:rPr>
              <w:t xml:space="preserve"> 废机动车拆解过程中产生的废电线电缆、</w:t>
            </w:r>
            <w:r>
              <w:rPr>
                <w:spacing w:val="11"/>
                <w:sz w:val="20"/>
                <w:szCs w:val="20"/>
              </w:rPr>
              <w:t xml:space="preserve"> </w:t>
            </w:r>
            <w:r>
              <w:rPr>
                <w:spacing w:val="7"/>
                <w:sz w:val="20"/>
                <w:szCs w:val="20"/>
              </w:rPr>
              <w:t>废轮胎和其他废物。</w:t>
            </w:r>
          </w:p>
          <w:p w14:paraId="6247EDB7">
            <w:pPr>
              <w:pStyle w:val="6"/>
              <w:spacing w:before="26" w:line="293" w:lineRule="auto"/>
              <w:ind w:left="208" w:right="38" w:firstLine="1"/>
              <w:rPr>
                <w:sz w:val="20"/>
                <w:szCs w:val="20"/>
              </w:rPr>
            </w:pPr>
            <w:r>
              <w:rPr>
                <w:rFonts w:ascii="Times New Roman" w:hAnsi="Times New Roman" w:eastAsia="Times New Roman" w:cs="Times New Roman"/>
                <w:spacing w:val="11"/>
                <w:sz w:val="20"/>
                <w:szCs w:val="20"/>
              </w:rPr>
              <w:t>6.7</w:t>
            </w:r>
            <w:r>
              <w:rPr>
                <w:spacing w:val="11"/>
                <w:sz w:val="20"/>
                <w:szCs w:val="20"/>
              </w:rPr>
              <w:t>报废机动车拆解产生的废旧玻璃、报</w:t>
            </w:r>
            <w:r>
              <w:rPr>
                <w:spacing w:val="7"/>
                <w:sz w:val="20"/>
                <w:szCs w:val="20"/>
              </w:rPr>
              <w:t xml:space="preserve"> </w:t>
            </w:r>
            <w:r>
              <w:rPr>
                <w:spacing w:val="3"/>
                <w:sz w:val="20"/>
                <w:szCs w:val="20"/>
              </w:rPr>
              <w:t>废机动车破碎残余物、引爆后的安全气囊</w:t>
            </w:r>
            <w:r>
              <w:rPr>
                <w:spacing w:val="14"/>
                <w:sz w:val="20"/>
                <w:szCs w:val="20"/>
              </w:rPr>
              <w:t xml:space="preserve"> </w:t>
            </w:r>
            <w:r>
              <w:rPr>
                <w:spacing w:val="3"/>
                <w:sz w:val="20"/>
                <w:szCs w:val="20"/>
              </w:rPr>
              <w:t>等应避免危险废物的沾染，未沾染危险废</w:t>
            </w:r>
            <w:r>
              <w:rPr>
                <w:spacing w:val="14"/>
                <w:sz w:val="20"/>
                <w:szCs w:val="20"/>
              </w:rPr>
              <w:t xml:space="preserve"> </w:t>
            </w:r>
            <w:r>
              <w:rPr>
                <w:spacing w:val="10"/>
                <w:sz w:val="20"/>
                <w:szCs w:val="20"/>
              </w:rPr>
              <w:t>物的应按一般工</w:t>
            </w:r>
            <w:r>
              <w:rPr>
                <w:rFonts w:ascii="Times New Roman" w:hAnsi="Times New Roman" w:eastAsia="Times New Roman" w:cs="Times New Roman"/>
                <w:spacing w:val="10"/>
                <w:sz w:val="20"/>
                <w:szCs w:val="20"/>
              </w:rPr>
              <w:t>I</w:t>
            </w:r>
            <w:r>
              <w:rPr>
                <w:spacing w:val="10"/>
                <w:sz w:val="20"/>
                <w:szCs w:val="20"/>
              </w:rPr>
              <w:t>业固体废物进行管理。</w:t>
            </w:r>
            <w:r>
              <w:rPr>
                <w:spacing w:val="1"/>
                <w:sz w:val="20"/>
                <w:szCs w:val="20"/>
              </w:rPr>
              <w:t xml:space="preserve">  </w:t>
            </w:r>
            <w:r>
              <w:rPr>
                <w:rFonts w:ascii="Times New Roman" w:hAnsi="Times New Roman" w:eastAsia="Times New Roman" w:cs="Times New Roman"/>
                <w:spacing w:val="12"/>
                <w:sz w:val="20"/>
                <w:szCs w:val="20"/>
              </w:rPr>
              <w:t>6.8</w:t>
            </w:r>
            <w:r>
              <w:rPr>
                <w:spacing w:val="12"/>
                <w:sz w:val="20"/>
                <w:szCs w:val="20"/>
              </w:rPr>
              <w:t>报废机动车拆解产生的废铅蓄电池、</w:t>
            </w:r>
            <w:r>
              <w:rPr>
                <w:spacing w:val="4"/>
                <w:sz w:val="20"/>
                <w:szCs w:val="20"/>
              </w:rPr>
              <w:t xml:space="preserve"> </w:t>
            </w:r>
            <w:r>
              <w:rPr>
                <w:spacing w:val="3"/>
                <w:sz w:val="20"/>
                <w:szCs w:val="20"/>
              </w:rPr>
              <w:t>废矿物油、废电路板、废尾气净化催化剂</w:t>
            </w:r>
            <w:r>
              <w:rPr>
                <w:spacing w:val="14"/>
                <w:sz w:val="20"/>
                <w:szCs w:val="20"/>
              </w:rPr>
              <w:t xml:space="preserve"> </w:t>
            </w:r>
            <w:r>
              <w:rPr>
                <w:spacing w:val="7"/>
                <w:sz w:val="20"/>
                <w:szCs w:val="20"/>
              </w:rPr>
              <w:t>以及含有或沾染危险废物的废弃包装物、</w:t>
            </w:r>
            <w:r>
              <w:rPr>
                <w:spacing w:val="11"/>
                <w:sz w:val="20"/>
                <w:szCs w:val="20"/>
              </w:rPr>
              <w:t xml:space="preserve"> </w:t>
            </w:r>
            <w:r>
              <w:rPr>
                <w:spacing w:val="3"/>
                <w:sz w:val="20"/>
                <w:szCs w:val="20"/>
              </w:rPr>
              <w:t>容器等依据《国家危险废物名录》属于危</w:t>
            </w:r>
            <w:r>
              <w:rPr>
                <w:spacing w:val="14"/>
                <w:sz w:val="20"/>
                <w:szCs w:val="20"/>
              </w:rPr>
              <w:t xml:space="preserve"> </w:t>
            </w:r>
            <w:r>
              <w:rPr>
                <w:spacing w:val="3"/>
                <w:sz w:val="20"/>
                <w:szCs w:val="20"/>
              </w:rPr>
              <w:t>险废物的，应按照危险废物贮存管理相关</w:t>
            </w:r>
            <w:r>
              <w:rPr>
                <w:spacing w:val="14"/>
                <w:sz w:val="20"/>
                <w:szCs w:val="20"/>
              </w:rPr>
              <w:t xml:space="preserve"> </w:t>
            </w:r>
            <w:r>
              <w:rPr>
                <w:spacing w:val="3"/>
                <w:sz w:val="20"/>
                <w:szCs w:val="20"/>
              </w:rPr>
              <w:t>要求进行分区、分类贮存。废弃含油抹布</w:t>
            </w:r>
            <w:r>
              <w:rPr>
                <w:spacing w:val="14"/>
                <w:sz w:val="20"/>
                <w:szCs w:val="20"/>
              </w:rPr>
              <w:t xml:space="preserve"> </w:t>
            </w:r>
            <w:r>
              <w:rPr>
                <w:spacing w:val="8"/>
                <w:sz w:val="20"/>
                <w:szCs w:val="20"/>
              </w:rPr>
              <w:t>和劳保用品宜集中收集。</w:t>
            </w:r>
          </w:p>
          <w:p w14:paraId="3BD728ED">
            <w:pPr>
              <w:pStyle w:val="6"/>
              <w:spacing w:before="34" w:line="288" w:lineRule="auto"/>
              <w:ind w:left="208" w:right="38" w:firstLine="1"/>
              <w:jc w:val="both"/>
              <w:rPr>
                <w:sz w:val="20"/>
                <w:szCs w:val="20"/>
              </w:rPr>
            </w:pPr>
            <w:r>
              <w:rPr>
                <w:rFonts w:ascii="Times New Roman" w:hAnsi="Times New Roman" w:eastAsia="Times New Roman" w:cs="Times New Roman"/>
                <w:spacing w:val="11"/>
                <w:sz w:val="20"/>
                <w:szCs w:val="20"/>
              </w:rPr>
              <w:t>6.9</w:t>
            </w:r>
            <w:r>
              <w:rPr>
                <w:spacing w:val="11"/>
                <w:sz w:val="20"/>
                <w:szCs w:val="20"/>
              </w:rPr>
              <w:t>报废机动车回收拆解企业不应倾倒铅</w:t>
            </w:r>
            <w:r>
              <w:rPr>
                <w:spacing w:val="7"/>
                <w:sz w:val="20"/>
                <w:szCs w:val="20"/>
              </w:rPr>
              <w:t xml:space="preserve"> 蓄电池内的电解液、铅块和铅膏等废物。</w:t>
            </w:r>
            <w:r>
              <w:rPr>
                <w:spacing w:val="11"/>
                <w:sz w:val="20"/>
                <w:szCs w:val="20"/>
              </w:rPr>
              <w:t xml:space="preserve"> </w:t>
            </w:r>
            <w:r>
              <w:rPr>
                <w:spacing w:val="3"/>
                <w:sz w:val="20"/>
                <w:szCs w:val="20"/>
              </w:rPr>
              <w:t>对于破损的铅蓄电池，应单独贮存，并采</w:t>
            </w:r>
            <w:r>
              <w:rPr>
                <w:spacing w:val="14"/>
                <w:sz w:val="20"/>
                <w:szCs w:val="20"/>
              </w:rPr>
              <w:t xml:space="preserve"> </w:t>
            </w:r>
            <w:r>
              <w:rPr>
                <w:spacing w:val="8"/>
                <w:sz w:val="20"/>
                <w:szCs w:val="20"/>
              </w:rPr>
              <w:t>取防止电解液泄漏的措施。</w:t>
            </w:r>
          </w:p>
          <w:p w14:paraId="386474EF">
            <w:pPr>
              <w:pStyle w:val="6"/>
              <w:spacing w:before="31" w:line="288" w:lineRule="auto"/>
              <w:ind w:left="208" w:right="54" w:firstLine="1"/>
              <w:jc w:val="both"/>
              <w:rPr>
                <w:sz w:val="20"/>
                <w:szCs w:val="20"/>
              </w:rPr>
            </w:pPr>
            <w:r>
              <w:rPr>
                <w:rFonts w:ascii="Times New Roman" w:hAnsi="Times New Roman" w:eastAsia="Times New Roman" w:cs="Times New Roman"/>
                <w:spacing w:val="15"/>
                <w:sz w:val="20"/>
                <w:szCs w:val="20"/>
              </w:rPr>
              <w:t>6.</w:t>
            </w:r>
            <w:r>
              <w:rPr>
                <w:rFonts w:ascii="Times New Roman" w:hAnsi="Times New Roman" w:eastAsia="Times New Roman" w:cs="Times New Roman"/>
                <w:spacing w:val="-19"/>
                <w:sz w:val="20"/>
                <w:szCs w:val="20"/>
              </w:rPr>
              <w:t xml:space="preserve"> </w:t>
            </w:r>
            <w:r>
              <w:rPr>
                <w:rFonts w:ascii="Times New Roman" w:hAnsi="Times New Roman" w:eastAsia="Times New Roman" w:cs="Times New Roman"/>
                <w:spacing w:val="15"/>
                <w:sz w:val="20"/>
                <w:szCs w:val="20"/>
              </w:rPr>
              <w:t>10</w:t>
            </w:r>
            <w:r>
              <w:rPr>
                <w:spacing w:val="15"/>
                <w:sz w:val="20"/>
                <w:szCs w:val="20"/>
              </w:rPr>
              <w:t>报废机动车拆解产生的产物和固体</w:t>
            </w:r>
            <w:r>
              <w:rPr>
                <w:sz w:val="20"/>
                <w:szCs w:val="20"/>
              </w:rPr>
              <w:t xml:space="preserve"> </w:t>
            </w:r>
            <w:r>
              <w:rPr>
                <w:spacing w:val="6"/>
                <w:sz w:val="20"/>
                <w:szCs w:val="20"/>
              </w:rPr>
              <w:t>废物应合理分类，不能自行利用处置的，</w:t>
            </w:r>
            <w:r>
              <w:rPr>
                <w:spacing w:val="12"/>
                <w:sz w:val="20"/>
                <w:szCs w:val="20"/>
              </w:rPr>
              <w:t xml:space="preserve"> </w:t>
            </w:r>
            <w:r>
              <w:rPr>
                <w:spacing w:val="3"/>
                <w:sz w:val="20"/>
                <w:szCs w:val="20"/>
              </w:rPr>
              <w:t>分别委托具有相关资质、相应处理能力或</w:t>
            </w:r>
            <w:r>
              <w:rPr>
                <w:spacing w:val="14"/>
                <w:sz w:val="20"/>
                <w:szCs w:val="20"/>
              </w:rPr>
              <w:t xml:space="preserve"> </w:t>
            </w:r>
            <w:r>
              <w:rPr>
                <w:spacing w:val="8"/>
                <w:sz w:val="20"/>
                <w:szCs w:val="20"/>
              </w:rPr>
              <w:t>经营范围的单位利用和处置。</w:t>
            </w:r>
          </w:p>
          <w:p w14:paraId="3A97DD46">
            <w:pPr>
              <w:pStyle w:val="6"/>
              <w:spacing w:before="29" w:line="291" w:lineRule="auto"/>
              <w:ind w:left="208" w:right="106" w:firstLine="1"/>
              <w:jc w:val="both"/>
              <w:rPr>
                <w:sz w:val="20"/>
                <w:szCs w:val="20"/>
              </w:rPr>
            </w:pPr>
            <w:r>
              <w:rPr>
                <w:rFonts w:ascii="Times New Roman" w:hAnsi="Times New Roman" w:eastAsia="Times New Roman" w:cs="Times New Roman"/>
                <w:spacing w:val="15"/>
                <w:sz w:val="20"/>
                <w:szCs w:val="20"/>
              </w:rPr>
              <w:t>6.</w:t>
            </w:r>
            <w:r>
              <w:rPr>
                <w:rFonts w:ascii="Times New Roman" w:hAnsi="Times New Roman" w:eastAsia="Times New Roman" w:cs="Times New Roman"/>
                <w:spacing w:val="-19"/>
                <w:sz w:val="20"/>
                <w:szCs w:val="20"/>
              </w:rPr>
              <w:t xml:space="preserve"> </w:t>
            </w:r>
            <w:r>
              <w:rPr>
                <w:rFonts w:ascii="Times New Roman" w:hAnsi="Times New Roman" w:eastAsia="Times New Roman" w:cs="Times New Roman"/>
                <w:spacing w:val="15"/>
                <w:sz w:val="20"/>
                <w:szCs w:val="20"/>
              </w:rPr>
              <w:t>11</w:t>
            </w:r>
            <w:r>
              <w:rPr>
                <w:spacing w:val="15"/>
                <w:sz w:val="20"/>
                <w:szCs w:val="20"/>
              </w:rPr>
              <w:t>报废机动车拆解产物应符合国家及</w:t>
            </w:r>
            <w:r>
              <w:rPr>
                <w:sz w:val="20"/>
                <w:szCs w:val="20"/>
              </w:rPr>
              <w:t xml:space="preserve"> </w:t>
            </w:r>
            <w:r>
              <w:rPr>
                <w:spacing w:val="3"/>
                <w:sz w:val="20"/>
                <w:szCs w:val="20"/>
              </w:rPr>
              <w:t>地方处理处置要求，其中主要拆解产物特</w:t>
            </w:r>
            <w:r>
              <w:rPr>
                <w:spacing w:val="14"/>
                <w:sz w:val="20"/>
                <w:szCs w:val="20"/>
              </w:rPr>
              <w:t xml:space="preserve"> </w:t>
            </w:r>
            <w:r>
              <w:rPr>
                <w:spacing w:val="6"/>
                <w:sz w:val="20"/>
                <w:szCs w:val="20"/>
              </w:rPr>
              <w:t>性及去向见附录</w:t>
            </w:r>
            <w:r>
              <w:rPr>
                <w:rFonts w:ascii="Times New Roman" w:hAnsi="Times New Roman" w:eastAsia="Times New Roman" w:cs="Times New Roman"/>
                <w:spacing w:val="6"/>
                <w:sz w:val="20"/>
                <w:szCs w:val="20"/>
              </w:rPr>
              <w:t>A</w:t>
            </w:r>
            <w:r>
              <w:rPr>
                <w:spacing w:val="6"/>
                <w:sz w:val="20"/>
                <w:szCs w:val="20"/>
              </w:rPr>
              <w:t>。如报废机动车回收拆</w:t>
            </w:r>
            <w:r>
              <w:rPr>
                <w:spacing w:val="16"/>
                <w:sz w:val="20"/>
                <w:szCs w:val="20"/>
              </w:rPr>
              <w:t xml:space="preserve"> </w:t>
            </w:r>
            <w:r>
              <w:rPr>
                <w:spacing w:val="15"/>
                <w:sz w:val="20"/>
                <w:szCs w:val="20"/>
              </w:rPr>
              <w:t>解企业具备与报废机动车拆解处理相关</w:t>
            </w:r>
            <w:r>
              <w:rPr>
                <w:spacing w:val="13"/>
                <w:sz w:val="20"/>
                <w:szCs w:val="20"/>
              </w:rPr>
              <w:t xml:space="preserve"> </w:t>
            </w:r>
            <w:r>
              <w:rPr>
                <w:spacing w:val="3"/>
                <w:sz w:val="20"/>
                <w:szCs w:val="20"/>
              </w:rPr>
              <w:t>的深加工或二次加工经营业务，应当符合</w:t>
            </w:r>
            <w:r>
              <w:rPr>
                <w:spacing w:val="14"/>
                <w:sz w:val="20"/>
                <w:szCs w:val="20"/>
              </w:rPr>
              <w:t xml:space="preserve"> </w:t>
            </w:r>
            <w:r>
              <w:rPr>
                <w:spacing w:val="8"/>
                <w:sz w:val="20"/>
                <w:szCs w:val="20"/>
              </w:rPr>
              <w:t>其他相关污染控制要求。</w:t>
            </w:r>
          </w:p>
          <w:p w14:paraId="46FA706E">
            <w:pPr>
              <w:pStyle w:val="6"/>
              <w:spacing w:before="29" w:line="280" w:lineRule="auto"/>
              <w:ind w:left="209" w:right="106"/>
              <w:jc w:val="both"/>
              <w:rPr>
                <w:sz w:val="20"/>
                <w:szCs w:val="20"/>
              </w:rPr>
            </w:pPr>
            <w:r>
              <w:rPr>
                <w:rFonts w:ascii="Times New Roman" w:hAnsi="Times New Roman" w:eastAsia="Times New Roman" w:cs="Times New Roman"/>
                <w:spacing w:val="11"/>
                <w:sz w:val="20"/>
                <w:szCs w:val="20"/>
              </w:rPr>
              <w:t>6.</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11"/>
                <w:sz w:val="20"/>
                <w:szCs w:val="20"/>
              </w:rPr>
              <w:t>12</w:t>
            </w:r>
            <w:r>
              <w:rPr>
                <w:spacing w:val="11"/>
                <w:sz w:val="20"/>
                <w:szCs w:val="20"/>
              </w:rPr>
              <w:t>报废机动车油箱中的燃料</w:t>
            </w:r>
            <w:r>
              <w:rPr>
                <w:rFonts w:ascii="Times New Roman" w:hAnsi="Times New Roman" w:eastAsia="Times New Roman" w:cs="Times New Roman"/>
                <w:spacing w:val="11"/>
                <w:sz w:val="20"/>
                <w:szCs w:val="20"/>
              </w:rPr>
              <w:t>(</w:t>
            </w:r>
            <w:r>
              <w:rPr>
                <w:spacing w:val="11"/>
                <w:sz w:val="20"/>
                <w:szCs w:val="20"/>
              </w:rPr>
              <w:t>汽油、柴</w:t>
            </w:r>
            <w:r>
              <w:rPr>
                <w:sz w:val="20"/>
                <w:szCs w:val="20"/>
              </w:rPr>
              <w:t xml:space="preserve"> </w:t>
            </w:r>
            <w:r>
              <w:rPr>
                <w:spacing w:val="8"/>
                <w:sz w:val="20"/>
                <w:szCs w:val="20"/>
              </w:rPr>
              <w:t>油、天然气、液化石油气、</w:t>
            </w:r>
            <w:r>
              <w:rPr>
                <w:spacing w:val="-46"/>
                <w:sz w:val="20"/>
                <w:szCs w:val="20"/>
              </w:rPr>
              <w:t xml:space="preserve"> </w:t>
            </w:r>
            <w:r>
              <w:rPr>
                <w:spacing w:val="8"/>
                <w:sz w:val="20"/>
                <w:szCs w:val="20"/>
              </w:rPr>
              <w:t>甲醇等</w:t>
            </w:r>
            <w:r>
              <w:rPr>
                <w:rFonts w:ascii="Times New Roman" w:hAnsi="Times New Roman" w:eastAsia="Times New Roman" w:cs="Times New Roman"/>
                <w:spacing w:val="8"/>
                <w:sz w:val="20"/>
                <w:szCs w:val="20"/>
              </w:rPr>
              <w:t>)</w:t>
            </w:r>
            <w:r>
              <w:rPr>
                <w:spacing w:val="8"/>
                <w:sz w:val="20"/>
                <w:szCs w:val="20"/>
              </w:rPr>
              <w:t>应分</w:t>
            </w:r>
            <w:r>
              <w:rPr>
                <w:sz w:val="20"/>
                <w:szCs w:val="20"/>
              </w:rPr>
              <w:t xml:space="preserve"> </w:t>
            </w:r>
            <w:r>
              <w:rPr>
                <w:spacing w:val="5"/>
                <w:sz w:val="20"/>
                <w:szCs w:val="20"/>
              </w:rPr>
              <w:t>类收集。</w:t>
            </w:r>
          </w:p>
          <w:p w14:paraId="0B2437AC">
            <w:pPr>
              <w:pStyle w:val="6"/>
              <w:spacing w:before="63" w:line="280" w:lineRule="auto"/>
              <w:ind w:left="208" w:right="1789"/>
              <w:rPr>
                <w:sz w:val="20"/>
                <w:szCs w:val="20"/>
              </w:rPr>
            </w:pPr>
            <w:r>
              <w:rPr>
                <w:rFonts w:ascii="Times New Roman" w:hAnsi="Times New Roman" w:eastAsia="Times New Roman" w:cs="Times New Roman"/>
                <w:spacing w:val="8"/>
                <w:sz w:val="20"/>
                <w:szCs w:val="20"/>
              </w:rPr>
              <w:t>7</w:t>
            </w:r>
            <w:r>
              <w:rPr>
                <w:spacing w:val="8"/>
                <w:sz w:val="20"/>
                <w:szCs w:val="20"/>
              </w:rPr>
              <w:t>企业污染物排放要求</w:t>
            </w:r>
            <w:r>
              <w:rPr>
                <w:spacing w:val="5"/>
                <w:sz w:val="20"/>
                <w:szCs w:val="20"/>
              </w:rPr>
              <w:t xml:space="preserve"> </w:t>
            </w:r>
            <w:r>
              <w:rPr>
                <w:rFonts w:ascii="Times New Roman" w:hAnsi="Times New Roman" w:eastAsia="Times New Roman" w:cs="Times New Roman"/>
                <w:spacing w:val="5"/>
                <w:sz w:val="20"/>
                <w:szCs w:val="20"/>
              </w:rPr>
              <w:t>7.</w:t>
            </w:r>
            <w:r>
              <w:rPr>
                <w:rFonts w:ascii="Times New Roman" w:hAnsi="Times New Roman" w:eastAsia="Times New Roman" w:cs="Times New Roman"/>
                <w:spacing w:val="-22"/>
                <w:sz w:val="20"/>
                <w:szCs w:val="20"/>
              </w:rPr>
              <w:t xml:space="preserve"> </w:t>
            </w:r>
            <w:r>
              <w:rPr>
                <w:rFonts w:ascii="Times New Roman" w:hAnsi="Times New Roman" w:eastAsia="Times New Roman" w:cs="Times New Roman"/>
                <w:spacing w:val="5"/>
                <w:sz w:val="20"/>
                <w:szCs w:val="20"/>
              </w:rPr>
              <w:t>1</w:t>
            </w:r>
            <w:r>
              <w:rPr>
                <w:spacing w:val="5"/>
                <w:sz w:val="20"/>
                <w:szCs w:val="20"/>
              </w:rPr>
              <w:t>水污染物排放要求</w:t>
            </w:r>
          </w:p>
          <w:p w14:paraId="2631DF4E">
            <w:pPr>
              <w:pStyle w:val="6"/>
              <w:spacing w:before="32" w:line="289" w:lineRule="auto"/>
              <w:ind w:left="208" w:right="106" w:hanging="1"/>
              <w:jc w:val="both"/>
              <w:rPr>
                <w:sz w:val="20"/>
                <w:szCs w:val="20"/>
              </w:rPr>
            </w:pPr>
            <w:r>
              <w:rPr>
                <w:spacing w:val="15"/>
                <w:sz w:val="20"/>
                <w:szCs w:val="20"/>
              </w:rPr>
              <w:t>报废机动车回收拆解企业厂区收集的初</w:t>
            </w:r>
            <w:r>
              <w:rPr>
                <w:spacing w:val="14"/>
                <w:sz w:val="20"/>
                <w:szCs w:val="20"/>
              </w:rPr>
              <w:t xml:space="preserve"> </w:t>
            </w:r>
            <w:r>
              <w:rPr>
                <w:spacing w:val="3"/>
                <w:sz w:val="20"/>
                <w:szCs w:val="20"/>
              </w:rPr>
              <w:t>期雨水、清洗水和其他非生活废水等应通</w:t>
            </w:r>
            <w:r>
              <w:rPr>
                <w:spacing w:val="13"/>
                <w:sz w:val="20"/>
                <w:szCs w:val="20"/>
              </w:rPr>
              <w:t xml:space="preserve"> </w:t>
            </w:r>
            <w:r>
              <w:rPr>
                <w:spacing w:val="18"/>
                <w:sz w:val="20"/>
                <w:szCs w:val="20"/>
              </w:rPr>
              <w:t>过收集管道</w:t>
            </w:r>
            <w:r>
              <w:rPr>
                <w:rFonts w:ascii="Times New Roman" w:hAnsi="Times New Roman" w:eastAsia="Times New Roman" w:cs="Times New Roman"/>
                <w:spacing w:val="18"/>
                <w:sz w:val="20"/>
                <w:szCs w:val="20"/>
              </w:rPr>
              <w:t>(</w:t>
            </w:r>
            <w:r>
              <w:rPr>
                <w:spacing w:val="18"/>
                <w:sz w:val="20"/>
                <w:szCs w:val="20"/>
              </w:rPr>
              <w:t>井</w:t>
            </w:r>
            <w:r>
              <w:rPr>
                <w:rFonts w:ascii="Times New Roman" w:hAnsi="Times New Roman" w:eastAsia="Times New Roman" w:cs="Times New Roman"/>
                <w:spacing w:val="18"/>
                <w:sz w:val="20"/>
                <w:szCs w:val="20"/>
              </w:rPr>
              <w:t>)</w:t>
            </w:r>
            <w:r>
              <w:rPr>
                <w:spacing w:val="18"/>
                <w:sz w:val="20"/>
                <w:szCs w:val="20"/>
              </w:rPr>
              <w:t>等收集后进入污水处理</w:t>
            </w:r>
            <w:r>
              <w:rPr>
                <w:spacing w:val="10"/>
                <w:sz w:val="20"/>
                <w:szCs w:val="20"/>
              </w:rPr>
              <w:t xml:space="preserve"> </w:t>
            </w:r>
            <w:r>
              <w:rPr>
                <w:spacing w:val="3"/>
                <w:sz w:val="20"/>
                <w:szCs w:val="20"/>
              </w:rPr>
              <w:t>设施进行处理，达到国家和地方的污染物</w:t>
            </w:r>
            <w:r>
              <w:rPr>
                <w:spacing w:val="13"/>
                <w:sz w:val="20"/>
                <w:szCs w:val="20"/>
              </w:rPr>
              <w:t xml:space="preserve"> </w:t>
            </w:r>
            <w:r>
              <w:rPr>
                <w:spacing w:val="8"/>
                <w:sz w:val="20"/>
                <w:szCs w:val="20"/>
              </w:rPr>
              <w:t>排放标准后方可排放。</w:t>
            </w:r>
          </w:p>
          <w:p w14:paraId="4C516EF8">
            <w:pPr>
              <w:pStyle w:val="6"/>
              <w:spacing w:before="35" w:line="228" w:lineRule="auto"/>
              <w:ind w:left="208"/>
              <w:rPr>
                <w:sz w:val="20"/>
                <w:szCs w:val="20"/>
              </w:rPr>
            </w:pPr>
            <w:r>
              <w:rPr>
                <w:rFonts w:ascii="Times New Roman" w:hAnsi="Times New Roman" w:eastAsia="Times New Roman" w:cs="Times New Roman"/>
                <w:spacing w:val="7"/>
                <w:sz w:val="20"/>
                <w:szCs w:val="20"/>
              </w:rPr>
              <w:t>7.2</w:t>
            </w:r>
            <w:r>
              <w:rPr>
                <w:spacing w:val="7"/>
                <w:sz w:val="20"/>
                <w:szCs w:val="20"/>
              </w:rPr>
              <w:t>大气污染物排放要求</w:t>
            </w:r>
          </w:p>
          <w:p w14:paraId="2FBAF8A2">
            <w:pPr>
              <w:pStyle w:val="6"/>
              <w:spacing w:before="72" w:line="227" w:lineRule="auto"/>
              <w:ind w:left="208"/>
              <w:rPr>
                <w:sz w:val="20"/>
                <w:szCs w:val="20"/>
              </w:rPr>
            </w:pPr>
            <w:r>
              <w:rPr>
                <w:rFonts w:ascii="Times New Roman" w:hAnsi="Times New Roman" w:eastAsia="Times New Roman" w:cs="Times New Roman"/>
                <w:spacing w:val="12"/>
                <w:sz w:val="20"/>
                <w:szCs w:val="20"/>
              </w:rPr>
              <w:t>7.2.</w:t>
            </w:r>
            <w:r>
              <w:rPr>
                <w:rFonts w:ascii="Times New Roman" w:hAnsi="Times New Roman" w:eastAsia="Times New Roman" w:cs="Times New Roman"/>
                <w:spacing w:val="-22"/>
                <w:sz w:val="20"/>
                <w:szCs w:val="20"/>
              </w:rPr>
              <w:t xml:space="preserve"> </w:t>
            </w:r>
            <w:r>
              <w:rPr>
                <w:rFonts w:ascii="Times New Roman" w:hAnsi="Times New Roman" w:eastAsia="Times New Roman" w:cs="Times New Roman"/>
                <w:spacing w:val="12"/>
                <w:sz w:val="20"/>
                <w:szCs w:val="20"/>
              </w:rPr>
              <w:t>1</w:t>
            </w:r>
            <w:r>
              <w:rPr>
                <w:spacing w:val="12"/>
                <w:sz w:val="20"/>
                <w:szCs w:val="20"/>
              </w:rPr>
              <w:t>报废机动车回收拆解企业排放废气</w:t>
            </w:r>
          </w:p>
        </w:tc>
        <w:tc>
          <w:tcPr>
            <w:tcW w:w="3456" w:type="dxa"/>
            <w:tcBorders>
              <w:left w:val="single" w:color="000000" w:sz="2" w:space="0"/>
              <w:bottom w:val="single" w:color="000000" w:sz="2" w:space="0"/>
              <w:right w:val="single" w:color="000000" w:sz="2" w:space="0"/>
            </w:tcBorders>
            <w:vAlign w:val="top"/>
          </w:tcPr>
          <w:p w14:paraId="2899911A">
            <w:pPr>
              <w:pStyle w:val="6"/>
              <w:spacing w:before="72" w:line="280" w:lineRule="auto"/>
              <w:ind w:left="121" w:right="94" w:hanging="7"/>
              <w:rPr>
                <w:sz w:val="20"/>
                <w:szCs w:val="20"/>
              </w:rPr>
            </w:pPr>
            <w:r>
              <w:rPr>
                <w:spacing w:val="16"/>
                <w:sz w:val="20"/>
                <w:szCs w:val="20"/>
              </w:rPr>
              <w:t>物料存储区，定期外售废旧资源回</w:t>
            </w:r>
            <w:r>
              <w:rPr>
                <w:sz w:val="20"/>
                <w:szCs w:val="20"/>
              </w:rPr>
              <w:t xml:space="preserve"> </w:t>
            </w:r>
            <w:r>
              <w:rPr>
                <w:spacing w:val="3"/>
                <w:sz w:val="20"/>
                <w:szCs w:val="20"/>
              </w:rPr>
              <w:t>收公司。</w:t>
            </w:r>
          </w:p>
          <w:p w14:paraId="6BD9DD2A">
            <w:pPr>
              <w:pStyle w:val="6"/>
              <w:spacing w:before="35" w:line="293" w:lineRule="auto"/>
              <w:ind w:left="113" w:right="45"/>
              <w:rPr>
                <w:sz w:val="20"/>
                <w:szCs w:val="20"/>
              </w:rPr>
            </w:pPr>
            <w:r>
              <w:rPr>
                <w:spacing w:val="15"/>
                <w:sz w:val="20"/>
                <w:szCs w:val="20"/>
              </w:rPr>
              <w:t>拆解产生的废油类、制冷剂采用废</w:t>
            </w:r>
            <w:r>
              <w:rPr>
                <w:spacing w:val="13"/>
                <w:sz w:val="20"/>
                <w:szCs w:val="20"/>
              </w:rPr>
              <w:t xml:space="preserve"> </w:t>
            </w:r>
            <w:r>
              <w:rPr>
                <w:spacing w:val="15"/>
                <w:sz w:val="20"/>
                <w:szCs w:val="20"/>
              </w:rPr>
              <w:t>液的专用密闭容器分类暂存于</w:t>
            </w:r>
            <w:r>
              <w:rPr>
                <w:rFonts w:ascii="Times New Roman" w:hAnsi="Times New Roman" w:eastAsia="Times New Roman" w:cs="Times New Roman"/>
                <w:spacing w:val="15"/>
                <w:sz w:val="20"/>
                <w:szCs w:val="20"/>
              </w:rPr>
              <w:t>3#</w:t>
            </w:r>
            <w:r>
              <w:rPr>
                <w:spacing w:val="15"/>
                <w:sz w:val="20"/>
                <w:szCs w:val="20"/>
              </w:rPr>
              <w:t>废</w:t>
            </w:r>
            <w:r>
              <w:rPr>
                <w:sz w:val="20"/>
                <w:szCs w:val="20"/>
              </w:rPr>
              <w:t xml:space="preserve"> </w:t>
            </w:r>
            <w:r>
              <w:rPr>
                <w:spacing w:val="5"/>
                <w:sz w:val="20"/>
                <w:szCs w:val="20"/>
              </w:rPr>
              <w:t>矿物油暂存区，由有资质单位处理；</w:t>
            </w:r>
            <w:r>
              <w:rPr>
                <w:spacing w:val="11"/>
                <w:sz w:val="20"/>
                <w:szCs w:val="20"/>
              </w:rPr>
              <w:t xml:space="preserve"> </w:t>
            </w:r>
            <w:r>
              <w:rPr>
                <w:spacing w:val="16"/>
                <w:sz w:val="20"/>
                <w:szCs w:val="20"/>
              </w:rPr>
              <w:t>废电池暂存于</w:t>
            </w:r>
            <w:r>
              <w:rPr>
                <w:rFonts w:ascii="Times New Roman" w:hAnsi="Times New Roman" w:eastAsia="Times New Roman" w:cs="Times New Roman"/>
                <w:spacing w:val="16"/>
                <w:sz w:val="20"/>
                <w:szCs w:val="20"/>
              </w:rPr>
              <w:t>2#</w:t>
            </w:r>
            <w:r>
              <w:rPr>
                <w:spacing w:val="16"/>
                <w:sz w:val="20"/>
                <w:szCs w:val="20"/>
              </w:rPr>
              <w:t>废蓄电池暂存区，</w:t>
            </w:r>
            <w:r>
              <w:rPr>
                <w:sz w:val="20"/>
                <w:szCs w:val="20"/>
              </w:rPr>
              <w:t xml:space="preserve"> </w:t>
            </w:r>
            <w:r>
              <w:rPr>
                <w:spacing w:val="15"/>
                <w:sz w:val="20"/>
                <w:szCs w:val="20"/>
              </w:rPr>
              <w:t>由有资质单位处理；燃料罐、液压</w:t>
            </w:r>
            <w:r>
              <w:rPr>
                <w:spacing w:val="11"/>
                <w:sz w:val="20"/>
                <w:szCs w:val="20"/>
              </w:rPr>
              <w:t xml:space="preserve"> </w:t>
            </w:r>
            <w:r>
              <w:rPr>
                <w:spacing w:val="16"/>
                <w:sz w:val="20"/>
                <w:szCs w:val="20"/>
              </w:rPr>
              <w:t>油管、催化器、废活性炭、含油抹</w:t>
            </w:r>
            <w:r>
              <w:rPr>
                <w:sz w:val="20"/>
                <w:szCs w:val="20"/>
              </w:rPr>
              <w:t xml:space="preserve"> </w:t>
            </w:r>
            <w:r>
              <w:rPr>
                <w:spacing w:val="14"/>
                <w:sz w:val="20"/>
                <w:szCs w:val="20"/>
              </w:rPr>
              <w:t>布、拖布和手套分类暂存于</w:t>
            </w:r>
            <w:r>
              <w:rPr>
                <w:rFonts w:ascii="Times New Roman" w:hAnsi="Times New Roman" w:eastAsia="Times New Roman" w:cs="Times New Roman"/>
                <w:spacing w:val="14"/>
                <w:sz w:val="20"/>
                <w:szCs w:val="20"/>
              </w:rPr>
              <w:t>1#</w:t>
            </w:r>
            <w:r>
              <w:rPr>
                <w:spacing w:val="14"/>
                <w:sz w:val="20"/>
                <w:szCs w:val="20"/>
              </w:rPr>
              <w:t>其他</w:t>
            </w:r>
            <w:r>
              <w:rPr>
                <w:spacing w:val="12"/>
                <w:sz w:val="20"/>
                <w:szCs w:val="20"/>
              </w:rPr>
              <w:t xml:space="preserve"> 危险废物暂存区，</w:t>
            </w:r>
            <w:r>
              <w:rPr>
                <w:spacing w:val="-39"/>
                <w:sz w:val="20"/>
                <w:szCs w:val="20"/>
              </w:rPr>
              <w:t xml:space="preserve"> </w:t>
            </w:r>
            <w:r>
              <w:rPr>
                <w:spacing w:val="12"/>
                <w:sz w:val="20"/>
                <w:szCs w:val="20"/>
              </w:rPr>
              <w:t>由有资质单位处</w:t>
            </w:r>
            <w:r>
              <w:rPr>
                <w:sz w:val="20"/>
                <w:szCs w:val="20"/>
              </w:rPr>
              <w:t xml:space="preserve"> 理。</w:t>
            </w:r>
          </w:p>
          <w:p w14:paraId="7E21D1E2">
            <w:pPr>
              <w:pStyle w:val="6"/>
              <w:spacing w:before="20" w:line="292" w:lineRule="auto"/>
              <w:ind w:left="113" w:right="26" w:firstLine="4"/>
              <w:jc w:val="both"/>
              <w:rPr>
                <w:sz w:val="20"/>
                <w:szCs w:val="20"/>
              </w:rPr>
            </w:pPr>
            <w:r>
              <w:rPr>
                <w:spacing w:val="15"/>
                <w:sz w:val="20"/>
                <w:szCs w:val="20"/>
              </w:rPr>
              <w:t>不倾倒铅蓄电池内的电解液、铅块</w:t>
            </w:r>
            <w:r>
              <w:rPr>
                <w:spacing w:val="12"/>
                <w:sz w:val="20"/>
                <w:szCs w:val="20"/>
              </w:rPr>
              <w:t xml:space="preserve"> </w:t>
            </w:r>
            <w:r>
              <w:rPr>
                <w:spacing w:val="16"/>
                <w:sz w:val="20"/>
                <w:szCs w:val="20"/>
              </w:rPr>
              <w:t>和铅膏等废物。如有破损的废电池</w:t>
            </w:r>
            <w:r>
              <w:rPr>
                <w:spacing w:val="1"/>
                <w:sz w:val="20"/>
                <w:szCs w:val="20"/>
              </w:rPr>
              <w:t xml:space="preserve"> </w:t>
            </w:r>
            <w:r>
              <w:rPr>
                <w:spacing w:val="31"/>
                <w:sz w:val="20"/>
                <w:szCs w:val="20"/>
              </w:rPr>
              <w:t>放置在耐酸耐腐蚀的塑料箱内储</w:t>
            </w:r>
            <w:r>
              <w:rPr>
                <w:spacing w:val="7"/>
                <w:sz w:val="20"/>
                <w:szCs w:val="20"/>
              </w:rPr>
              <w:t xml:space="preserve"> </w:t>
            </w:r>
            <w:r>
              <w:rPr>
                <w:spacing w:val="6"/>
                <w:sz w:val="20"/>
                <w:szCs w:val="20"/>
              </w:rPr>
              <w:t>存，单独贮存，由有资质单位处理。</w:t>
            </w:r>
            <w:r>
              <w:rPr>
                <w:spacing w:val="13"/>
                <w:sz w:val="20"/>
                <w:szCs w:val="20"/>
              </w:rPr>
              <w:t xml:space="preserve"> </w:t>
            </w:r>
            <w:r>
              <w:rPr>
                <w:spacing w:val="16"/>
                <w:sz w:val="20"/>
                <w:szCs w:val="20"/>
              </w:rPr>
              <w:t>拆解产生的产物和固体废物合理分</w:t>
            </w:r>
            <w:r>
              <w:rPr>
                <w:spacing w:val="1"/>
                <w:sz w:val="20"/>
                <w:szCs w:val="20"/>
              </w:rPr>
              <w:t xml:space="preserve"> </w:t>
            </w:r>
            <w:r>
              <w:rPr>
                <w:spacing w:val="16"/>
                <w:sz w:val="20"/>
                <w:szCs w:val="20"/>
              </w:rPr>
              <w:t>类，不能自行利用处置的，分别委</w:t>
            </w:r>
            <w:r>
              <w:rPr>
                <w:spacing w:val="1"/>
                <w:sz w:val="20"/>
                <w:szCs w:val="20"/>
              </w:rPr>
              <w:t xml:space="preserve"> </w:t>
            </w:r>
            <w:r>
              <w:rPr>
                <w:spacing w:val="16"/>
                <w:sz w:val="20"/>
                <w:szCs w:val="20"/>
              </w:rPr>
              <w:t>托具有相关资质、相应处理能力或</w:t>
            </w:r>
            <w:r>
              <w:rPr>
                <w:spacing w:val="1"/>
                <w:sz w:val="20"/>
                <w:szCs w:val="20"/>
              </w:rPr>
              <w:t xml:space="preserve"> </w:t>
            </w:r>
            <w:r>
              <w:rPr>
                <w:spacing w:val="8"/>
                <w:sz w:val="20"/>
                <w:szCs w:val="20"/>
              </w:rPr>
              <w:t>经营范围的单位利用和处置。</w:t>
            </w:r>
          </w:p>
          <w:p w14:paraId="63328358">
            <w:pPr>
              <w:pStyle w:val="6"/>
              <w:spacing w:before="29" w:line="281" w:lineRule="auto"/>
              <w:ind w:left="114" w:right="94"/>
              <w:rPr>
                <w:sz w:val="20"/>
                <w:szCs w:val="20"/>
              </w:rPr>
            </w:pPr>
            <w:r>
              <w:rPr>
                <w:spacing w:val="16"/>
                <w:sz w:val="20"/>
                <w:szCs w:val="20"/>
              </w:rPr>
              <w:t>拆解产物符合国家及地方处理处置</w:t>
            </w:r>
            <w:r>
              <w:rPr>
                <w:sz w:val="20"/>
                <w:szCs w:val="20"/>
              </w:rPr>
              <w:t xml:space="preserve"> </w:t>
            </w:r>
            <w:r>
              <w:rPr>
                <w:spacing w:val="2"/>
                <w:sz w:val="20"/>
                <w:szCs w:val="20"/>
              </w:rPr>
              <w:t>要求。</w:t>
            </w:r>
          </w:p>
          <w:p w14:paraId="012BCEA5">
            <w:pPr>
              <w:pStyle w:val="6"/>
              <w:spacing w:before="31" w:line="279" w:lineRule="auto"/>
              <w:ind w:left="116" w:right="126" w:hanging="4"/>
              <w:jc w:val="both"/>
              <w:rPr>
                <w:sz w:val="20"/>
                <w:szCs w:val="20"/>
              </w:rPr>
            </w:pPr>
            <w:r>
              <w:rPr>
                <w:spacing w:val="8"/>
                <w:sz w:val="20"/>
                <w:szCs w:val="20"/>
              </w:rPr>
              <w:t>报废机动车油箱中的燃料</w:t>
            </w:r>
            <w:r>
              <w:rPr>
                <w:rFonts w:ascii="Times New Roman" w:hAnsi="Times New Roman" w:eastAsia="Times New Roman" w:cs="Times New Roman"/>
                <w:spacing w:val="8"/>
                <w:sz w:val="20"/>
                <w:szCs w:val="20"/>
              </w:rPr>
              <w:t>(</w:t>
            </w:r>
            <w:r>
              <w:rPr>
                <w:spacing w:val="8"/>
                <w:sz w:val="20"/>
                <w:szCs w:val="20"/>
              </w:rPr>
              <w:t>汽油、柴</w:t>
            </w:r>
            <w:r>
              <w:rPr>
                <w:spacing w:val="14"/>
                <w:sz w:val="20"/>
                <w:szCs w:val="20"/>
              </w:rPr>
              <w:t xml:space="preserve"> </w:t>
            </w:r>
            <w:r>
              <w:rPr>
                <w:spacing w:val="6"/>
                <w:sz w:val="20"/>
                <w:szCs w:val="20"/>
              </w:rPr>
              <w:t>油、天然气、液化石油气、</w:t>
            </w:r>
            <w:r>
              <w:rPr>
                <w:spacing w:val="-56"/>
                <w:sz w:val="20"/>
                <w:szCs w:val="20"/>
              </w:rPr>
              <w:t xml:space="preserve"> </w:t>
            </w:r>
            <w:r>
              <w:rPr>
                <w:spacing w:val="6"/>
                <w:sz w:val="20"/>
                <w:szCs w:val="20"/>
              </w:rPr>
              <w:t>甲醇等</w:t>
            </w:r>
            <w:r>
              <w:rPr>
                <w:rFonts w:ascii="Times New Roman" w:hAnsi="Times New Roman" w:eastAsia="Times New Roman" w:cs="Times New Roman"/>
                <w:spacing w:val="6"/>
                <w:sz w:val="20"/>
                <w:szCs w:val="20"/>
              </w:rPr>
              <w:t>)</w:t>
            </w:r>
            <w:r>
              <w:rPr>
                <w:rFonts w:ascii="Times New Roman" w:hAnsi="Times New Roman" w:eastAsia="Times New Roman" w:cs="Times New Roman"/>
                <w:sz w:val="20"/>
                <w:szCs w:val="20"/>
              </w:rPr>
              <w:t xml:space="preserve"> </w:t>
            </w:r>
            <w:r>
              <w:rPr>
                <w:spacing w:val="5"/>
                <w:sz w:val="20"/>
                <w:szCs w:val="20"/>
              </w:rPr>
              <w:t>分类收集。</w:t>
            </w:r>
          </w:p>
        </w:tc>
        <w:tc>
          <w:tcPr>
            <w:tcW w:w="982" w:type="dxa"/>
            <w:vMerge w:val="restart"/>
            <w:tcBorders>
              <w:left w:val="single" w:color="000000" w:sz="2" w:space="0"/>
              <w:bottom w:val="nil"/>
            </w:tcBorders>
            <w:vAlign w:val="top"/>
          </w:tcPr>
          <w:p w14:paraId="7DC1DAC3">
            <w:pPr>
              <w:spacing w:line="243" w:lineRule="auto"/>
              <w:rPr>
                <w:rFonts w:ascii="Arial"/>
                <w:sz w:val="21"/>
              </w:rPr>
            </w:pPr>
          </w:p>
          <w:p w14:paraId="5739E365">
            <w:pPr>
              <w:spacing w:line="243" w:lineRule="auto"/>
              <w:rPr>
                <w:rFonts w:ascii="Arial"/>
                <w:sz w:val="21"/>
              </w:rPr>
            </w:pPr>
          </w:p>
          <w:p w14:paraId="347B9B94">
            <w:pPr>
              <w:spacing w:line="243" w:lineRule="auto"/>
              <w:rPr>
                <w:rFonts w:ascii="Arial"/>
                <w:sz w:val="21"/>
              </w:rPr>
            </w:pPr>
          </w:p>
          <w:p w14:paraId="0D739695">
            <w:pPr>
              <w:spacing w:line="243" w:lineRule="auto"/>
              <w:rPr>
                <w:rFonts w:ascii="Arial"/>
                <w:sz w:val="21"/>
              </w:rPr>
            </w:pPr>
          </w:p>
          <w:p w14:paraId="33530B1D">
            <w:pPr>
              <w:spacing w:line="243" w:lineRule="auto"/>
              <w:rPr>
                <w:rFonts w:ascii="Arial"/>
                <w:sz w:val="21"/>
              </w:rPr>
            </w:pPr>
          </w:p>
          <w:p w14:paraId="7E9DC1F7">
            <w:pPr>
              <w:spacing w:line="243" w:lineRule="auto"/>
              <w:rPr>
                <w:rFonts w:ascii="Arial"/>
                <w:sz w:val="21"/>
              </w:rPr>
            </w:pPr>
          </w:p>
          <w:p w14:paraId="41E7F079">
            <w:pPr>
              <w:spacing w:line="243" w:lineRule="auto"/>
              <w:rPr>
                <w:rFonts w:ascii="Arial"/>
                <w:sz w:val="21"/>
              </w:rPr>
            </w:pPr>
          </w:p>
          <w:p w14:paraId="4585AA0A">
            <w:pPr>
              <w:spacing w:line="243" w:lineRule="auto"/>
              <w:rPr>
                <w:rFonts w:ascii="Arial"/>
                <w:sz w:val="21"/>
              </w:rPr>
            </w:pPr>
          </w:p>
          <w:p w14:paraId="1DD920AF">
            <w:pPr>
              <w:spacing w:line="243" w:lineRule="auto"/>
              <w:rPr>
                <w:rFonts w:ascii="Arial"/>
                <w:sz w:val="21"/>
              </w:rPr>
            </w:pPr>
          </w:p>
          <w:p w14:paraId="08FAE3B1">
            <w:pPr>
              <w:spacing w:line="243" w:lineRule="auto"/>
              <w:rPr>
                <w:rFonts w:ascii="Arial"/>
                <w:sz w:val="21"/>
              </w:rPr>
            </w:pPr>
          </w:p>
          <w:p w14:paraId="363A845C">
            <w:pPr>
              <w:spacing w:line="243" w:lineRule="auto"/>
              <w:rPr>
                <w:rFonts w:ascii="Arial"/>
                <w:sz w:val="21"/>
              </w:rPr>
            </w:pPr>
          </w:p>
          <w:p w14:paraId="181ADBE0">
            <w:pPr>
              <w:spacing w:line="243" w:lineRule="auto"/>
              <w:rPr>
                <w:rFonts w:ascii="Arial"/>
                <w:sz w:val="21"/>
              </w:rPr>
            </w:pPr>
          </w:p>
          <w:p w14:paraId="21192326">
            <w:pPr>
              <w:spacing w:line="243" w:lineRule="auto"/>
              <w:rPr>
                <w:rFonts w:ascii="Arial"/>
                <w:sz w:val="21"/>
              </w:rPr>
            </w:pPr>
          </w:p>
          <w:p w14:paraId="22A3396B">
            <w:pPr>
              <w:spacing w:line="243" w:lineRule="auto"/>
              <w:rPr>
                <w:rFonts w:ascii="Arial"/>
                <w:sz w:val="21"/>
              </w:rPr>
            </w:pPr>
          </w:p>
          <w:p w14:paraId="521780FD">
            <w:pPr>
              <w:spacing w:line="243" w:lineRule="auto"/>
              <w:rPr>
                <w:rFonts w:ascii="Arial"/>
                <w:sz w:val="21"/>
              </w:rPr>
            </w:pPr>
          </w:p>
          <w:p w14:paraId="72796892">
            <w:pPr>
              <w:spacing w:line="243" w:lineRule="auto"/>
              <w:rPr>
                <w:rFonts w:ascii="Arial"/>
                <w:sz w:val="21"/>
              </w:rPr>
            </w:pPr>
          </w:p>
          <w:p w14:paraId="74D51E9F">
            <w:pPr>
              <w:spacing w:line="243" w:lineRule="auto"/>
              <w:rPr>
                <w:rFonts w:ascii="Arial"/>
                <w:sz w:val="21"/>
              </w:rPr>
            </w:pPr>
          </w:p>
          <w:p w14:paraId="0739525F">
            <w:pPr>
              <w:spacing w:line="243" w:lineRule="auto"/>
              <w:rPr>
                <w:rFonts w:ascii="Arial"/>
                <w:sz w:val="21"/>
              </w:rPr>
            </w:pPr>
          </w:p>
          <w:p w14:paraId="1468405A">
            <w:pPr>
              <w:spacing w:line="243" w:lineRule="auto"/>
              <w:rPr>
                <w:rFonts w:ascii="Arial"/>
                <w:sz w:val="21"/>
              </w:rPr>
            </w:pPr>
          </w:p>
          <w:p w14:paraId="5751E1DA">
            <w:pPr>
              <w:spacing w:line="243" w:lineRule="auto"/>
              <w:rPr>
                <w:rFonts w:ascii="Arial"/>
                <w:sz w:val="21"/>
              </w:rPr>
            </w:pPr>
          </w:p>
          <w:p w14:paraId="2375631A">
            <w:pPr>
              <w:spacing w:line="243" w:lineRule="auto"/>
              <w:rPr>
                <w:rFonts w:ascii="Arial"/>
                <w:sz w:val="21"/>
              </w:rPr>
            </w:pPr>
          </w:p>
          <w:p w14:paraId="4B8A1DE2">
            <w:pPr>
              <w:spacing w:line="243" w:lineRule="auto"/>
              <w:rPr>
                <w:rFonts w:ascii="Arial"/>
                <w:sz w:val="21"/>
              </w:rPr>
            </w:pPr>
          </w:p>
          <w:p w14:paraId="509D4B9D">
            <w:pPr>
              <w:spacing w:line="243" w:lineRule="auto"/>
              <w:rPr>
                <w:rFonts w:ascii="Arial"/>
                <w:sz w:val="21"/>
              </w:rPr>
            </w:pPr>
          </w:p>
          <w:p w14:paraId="4089BDA3">
            <w:pPr>
              <w:spacing w:line="243" w:lineRule="auto"/>
              <w:rPr>
                <w:rFonts w:ascii="Arial"/>
                <w:sz w:val="21"/>
              </w:rPr>
            </w:pPr>
          </w:p>
          <w:p w14:paraId="37B7A326">
            <w:pPr>
              <w:spacing w:line="243" w:lineRule="auto"/>
              <w:rPr>
                <w:rFonts w:ascii="Arial"/>
                <w:sz w:val="21"/>
              </w:rPr>
            </w:pPr>
          </w:p>
          <w:p w14:paraId="6C4B96E7">
            <w:pPr>
              <w:spacing w:line="244" w:lineRule="auto"/>
              <w:rPr>
                <w:rFonts w:ascii="Arial"/>
                <w:sz w:val="21"/>
              </w:rPr>
            </w:pPr>
          </w:p>
          <w:p w14:paraId="1591C9A5">
            <w:pPr>
              <w:spacing w:line="244" w:lineRule="auto"/>
              <w:rPr>
                <w:rFonts w:ascii="Arial"/>
                <w:sz w:val="21"/>
              </w:rPr>
            </w:pPr>
          </w:p>
          <w:p w14:paraId="7EA58B34">
            <w:pPr>
              <w:spacing w:line="244" w:lineRule="auto"/>
              <w:rPr>
                <w:rFonts w:ascii="Arial"/>
                <w:sz w:val="21"/>
              </w:rPr>
            </w:pPr>
          </w:p>
          <w:p w14:paraId="24C99E58">
            <w:pPr>
              <w:spacing w:line="244" w:lineRule="auto"/>
              <w:rPr>
                <w:rFonts w:ascii="Arial"/>
                <w:sz w:val="21"/>
              </w:rPr>
            </w:pPr>
          </w:p>
          <w:p w14:paraId="03872743">
            <w:pPr>
              <w:spacing w:line="244" w:lineRule="auto"/>
              <w:rPr>
                <w:rFonts w:ascii="Arial"/>
                <w:sz w:val="21"/>
              </w:rPr>
            </w:pPr>
          </w:p>
          <w:p w14:paraId="63402917">
            <w:pPr>
              <w:spacing w:line="244" w:lineRule="auto"/>
              <w:rPr>
                <w:rFonts w:ascii="Arial"/>
                <w:sz w:val="21"/>
              </w:rPr>
            </w:pPr>
          </w:p>
          <w:p w14:paraId="02A3BDA9">
            <w:pPr>
              <w:spacing w:line="244" w:lineRule="auto"/>
              <w:rPr>
                <w:rFonts w:ascii="Arial"/>
                <w:sz w:val="21"/>
              </w:rPr>
            </w:pPr>
          </w:p>
          <w:p w14:paraId="5270940D">
            <w:pPr>
              <w:spacing w:line="244" w:lineRule="auto"/>
              <w:rPr>
                <w:rFonts w:ascii="Arial"/>
                <w:sz w:val="21"/>
              </w:rPr>
            </w:pPr>
          </w:p>
          <w:p w14:paraId="420BA37E">
            <w:pPr>
              <w:spacing w:line="244" w:lineRule="auto"/>
              <w:rPr>
                <w:rFonts w:ascii="Arial"/>
                <w:sz w:val="21"/>
              </w:rPr>
            </w:pPr>
          </w:p>
          <w:p w14:paraId="762EAC6D">
            <w:pPr>
              <w:spacing w:line="244" w:lineRule="auto"/>
              <w:rPr>
                <w:rFonts w:ascii="Arial"/>
                <w:sz w:val="21"/>
              </w:rPr>
            </w:pPr>
          </w:p>
          <w:p w14:paraId="4E07243D">
            <w:pPr>
              <w:spacing w:line="244" w:lineRule="auto"/>
              <w:rPr>
                <w:rFonts w:ascii="Arial"/>
                <w:sz w:val="21"/>
              </w:rPr>
            </w:pPr>
          </w:p>
          <w:p w14:paraId="54E02544">
            <w:pPr>
              <w:spacing w:line="244" w:lineRule="auto"/>
              <w:rPr>
                <w:rFonts w:ascii="Arial"/>
                <w:sz w:val="21"/>
              </w:rPr>
            </w:pPr>
          </w:p>
          <w:p w14:paraId="52FC9346">
            <w:pPr>
              <w:spacing w:line="244" w:lineRule="auto"/>
              <w:rPr>
                <w:rFonts w:ascii="Arial"/>
                <w:sz w:val="21"/>
              </w:rPr>
            </w:pPr>
          </w:p>
          <w:p w14:paraId="37DE7D41">
            <w:pPr>
              <w:spacing w:line="244" w:lineRule="auto"/>
              <w:rPr>
                <w:rFonts w:ascii="Arial"/>
                <w:sz w:val="21"/>
              </w:rPr>
            </w:pPr>
          </w:p>
          <w:p w14:paraId="7F792A15">
            <w:pPr>
              <w:spacing w:line="244" w:lineRule="auto"/>
              <w:rPr>
                <w:rFonts w:ascii="Arial"/>
                <w:sz w:val="21"/>
              </w:rPr>
            </w:pPr>
          </w:p>
          <w:p w14:paraId="3627E2BE">
            <w:pPr>
              <w:spacing w:line="244" w:lineRule="auto"/>
              <w:rPr>
                <w:rFonts w:ascii="Arial"/>
                <w:sz w:val="21"/>
              </w:rPr>
            </w:pPr>
          </w:p>
          <w:p w14:paraId="765D1454">
            <w:pPr>
              <w:spacing w:line="244" w:lineRule="auto"/>
              <w:rPr>
                <w:rFonts w:ascii="Arial"/>
                <w:sz w:val="21"/>
              </w:rPr>
            </w:pPr>
          </w:p>
          <w:p w14:paraId="68A908F4">
            <w:pPr>
              <w:spacing w:line="244" w:lineRule="auto"/>
              <w:rPr>
                <w:rFonts w:ascii="Arial"/>
                <w:sz w:val="21"/>
              </w:rPr>
            </w:pPr>
          </w:p>
          <w:p w14:paraId="26F7F9EE">
            <w:pPr>
              <w:spacing w:line="244" w:lineRule="auto"/>
              <w:rPr>
                <w:rFonts w:ascii="Arial"/>
                <w:sz w:val="21"/>
              </w:rPr>
            </w:pPr>
          </w:p>
          <w:p w14:paraId="28239916">
            <w:pPr>
              <w:spacing w:line="244" w:lineRule="auto"/>
              <w:rPr>
                <w:rFonts w:ascii="Arial"/>
                <w:sz w:val="21"/>
              </w:rPr>
            </w:pPr>
          </w:p>
          <w:p w14:paraId="659616E4">
            <w:pPr>
              <w:spacing w:line="244" w:lineRule="auto"/>
              <w:rPr>
                <w:rFonts w:ascii="Arial"/>
                <w:sz w:val="21"/>
              </w:rPr>
            </w:pPr>
          </w:p>
          <w:p w14:paraId="774B7106">
            <w:pPr>
              <w:spacing w:line="244" w:lineRule="auto"/>
              <w:rPr>
                <w:rFonts w:ascii="Arial"/>
                <w:sz w:val="21"/>
              </w:rPr>
            </w:pPr>
          </w:p>
          <w:p w14:paraId="0A584D36">
            <w:pPr>
              <w:spacing w:line="244" w:lineRule="auto"/>
              <w:rPr>
                <w:rFonts w:ascii="Arial"/>
                <w:sz w:val="21"/>
              </w:rPr>
            </w:pPr>
          </w:p>
          <w:p w14:paraId="3CB979C8">
            <w:pPr>
              <w:spacing w:line="244" w:lineRule="auto"/>
              <w:rPr>
                <w:rFonts w:ascii="Arial"/>
                <w:sz w:val="21"/>
              </w:rPr>
            </w:pPr>
          </w:p>
          <w:p w14:paraId="5BE07E8C">
            <w:pPr>
              <w:spacing w:line="244" w:lineRule="auto"/>
              <w:rPr>
                <w:rFonts w:ascii="Arial"/>
                <w:sz w:val="21"/>
              </w:rPr>
            </w:pPr>
          </w:p>
          <w:p w14:paraId="6C93A121">
            <w:pPr>
              <w:spacing w:line="244" w:lineRule="auto"/>
              <w:rPr>
                <w:rFonts w:ascii="Arial"/>
                <w:sz w:val="21"/>
              </w:rPr>
            </w:pPr>
          </w:p>
          <w:p w14:paraId="354493E0">
            <w:pPr>
              <w:pStyle w:val="6"/>
              <w:spacing w:before="65" w:line="228" w:lineRule="auto"/>
              <w:ind w:left="238"/>
              <w:rPr>
                <w:sz w:val="20"/>
                <w:szCs w:val="20"/>
              </w:rPr>
            </w:pPr>
            <w:r>
              <w:rPr>
                <w:spacing w:val="3"/>
                <w:sz w:val="20"/>
                <w:szCs w:val="20"/>
              </w:rPr>
              <w:t>符合</w:t>
            </w:r>
          </w:p>
        </w:tc>
      </w:tr>
      <w:tr w14:paraId="6D0C4E0F">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2931" w:hRule="atLeast"/>
        </w:trPr>
        <w:tc>
          <w:tcPr>
            <w:tcW w:w="494" w:type="dxa"/>
            <w:vMerge w:val="continue"/>
            <w:tcBorders>
              <w:top w:val="nil"/>
              <w:right w:val="single" w:color="000000" w:sz="2" w:space="0"/>
            </w:tcBorders>
            <w:vAlign w:val="top"/>
          </w:tcPr>
          <w:p w14:paraId="514FA8BC">
            <w:pPr>
              <w:rPr>
                <w:rFonts w:ascii="Arial"/>
                <w:sz w:val="21"/>
              </w:rPr>
            </w:pPr>
          </w:p>
        </w:tc>
        <w:tc>
          <w:tcPr>
            <w:tcW w:w="3990" w:type="dxa"/>
            <w:vMerge w:val="continue"/>
            <w:tcBorders>
              <w:top w:val="nil"/>
              <w:left w:val="single" w:color="000000" w:sz="2" w:space="0"/>
              <w:right w:val="single" w:color="000000" w:sz="2" w:space="0"/>
            </w:tcBorders>
            <w:vAlign w:val="top"/>
          </w:tcPr>
          <w:p w14:paraId="0B0D037F">
            <w:pPr>
              <w:rPr>
                <w:rFonts w:ascii="Arial"/>
                <w:sz w:val="21"/>
              </w:rPr>
            </w:pPr>
          </w:p>
        </w:tc>
        <w:tc>
          <w:tcPr>
            <w:tcW w:w="3456" w:type="dxa"/>
            <w:tcBorders>
              <w:top w:val="single" w:color="000000" w:sz="2" w:space="0"/>
              <w:left w:val="single" w:color="000000" w:sz="2" w:space="0"/>
              <w:right w:val="single" w:color="000000" w:sz="2" w:space="0"/>
            </w:tcBorders>
            <w:vAlign w:val="top"/>
          </w:tcPr>
          <w:p w14:paraId="770AB5C0">
            <w:pPr>
              <w:pStyle w:val="6"/>
              <w:spacing w:before="97" w:line="227" w:lineRule="auto"/>
              <w:ind w:left="115"/>
              <w:rPr>
                <w:sz w:val="20"/>
                <w:szCs w:val="20"/>
              </w:rPr>
            </w:pPr>
            <w:r>
              <w:rPr>
                <w:spacing w:val="9"/>
                <w:sz w:val="20"/>
                <w:szCs w:val="20"/>
              </w:rPr>
              <w:t>本项目设备及车辆不在厂区内清</w:t>
            </w:r>
          </w:p>
          <w:p w14:paraId="3F484FAA">
            <w:pPr>
              <w:pStyle w:val="6"/>
              <w:spacing w:before="73" w:line="289" w:lineRule="auto"/>
              <w:ind w:left="112" w:right="145"/>
              <w:rPr>
                <w:sz w:val="20"/>
                <w:szCs w:val="20"/>
              </w:rPr>
            </w:pPr>
            <w:r>
              <w:rPr>
                <w:spacing w:val="9"/>
                <w:sz w:val="20"/>
                <w:szCs w:val="20"/>
              </w:rPr>
              <w:t>洗；本项目收购来的报废农机运至</w:t>
            </w:r>
            <w:r>
              <w:rPr>
                <w:spacing w:val="5"/>
                <w:sz w:val="20"/>
                <w:szCs w:val="20"/>
              </w:rPr>
              <w:t xml:space="preserve"> </w:t>
            </w:r>
            <w:r>
              <w:rPr>
                <w:spacing w:val="9"/>
                <w:sz w:val="20"/>
                <w:szCs w:val="20"/>
              </w:rPr>
              <w:t>报废农机暂存区内暂存，不进行露</w:t>
            </w:r>
            <w:r>
              <w:rPr>
                <w:spacing w:val="6"/>
                <w:sz w:val="20"/>
                <w:szCs w:val="20"/>
              </w:rPr>
              <w:t xml:space="preserve"> </w:t>
            </w:r>
            <w:r>
              <w:rPr>
                <w:spacing w:val="9"/>
                <w:sz w:val="20"/>
                <w:szCs w:val="20"/>
              </w:rPr>
              <w:t>天停放，不单独设置停车坪，雨水</w:t>
            </w:r>
            <w:r>
              <w:rPr>
                <w:spacing w:val="6"/>
                <w:sz w:val="20"/>
                <w:szCs w:val="20"/>
              </w:rPr>
              <w:t xml:space="preserve"> </w:t>
            </w:r>
            <w:r>
              <w:rPr>
                <w:spacing w:val="7"/>
                <w:sz w:val="20"/>
                <w:szCs w:val="20"/>
              </w:rPr>
              <w:t>收集池位于厂区西北侧，5m</w:t>
            </w:r>
            <w:r>
              <w:rPr>
                <w:spacing w:val="7"/>
                <w:position w:val="10"/>
                <w:sz w:val="10"/>
                <w:szCs w:val="10"/>
              </w:rPr>
              <w:t>3</w:t>
            </w:r>
            <w:r>
              <w:rPr>
                <w:spacing w:val="-28"/>
                <w:position w:val="10"/>
                <w:sz w:val="10"/>
                <w:szCs w:val="10"/>
              </w:rPr>
              <w:t xml:space="preserve"> </w:t>
            </w:r>
            <w:r>
              <w:rPr>
                <w:spacing w:val="7"/>
                <w:sz w:val="20"/>
                <w:szCs w:val="20"/>
              </w:rPr>
              <w:t>，利用</w:t>
            </w:r>
            <w:r>
              <w:rPr>
                <w:sz w:val="20"/>
                <w:szCs w:val="20"/>
              </w:rPr>
              <w:t xml:space="preserve"> </w:t>
            </w:r>
            <w:r>
              <w:rPr>
                <w:spacing w:val="9"/>
                <w:sz w:val="20"/>
                <w:szCs w:val="20"/>
              </w:rPr>
              <w:t>厂区坡降收集雨水；本项目车间地</w:t>
            </w:r>
            <w:r>
              <w:rPr>
                <w:spacing w:val="6"/>
                <w:sz w:val="20"/>
                <w:szCs w:val="20"/>
              </w:rPr>
              <w:t xml:space="preserve"> </w:t>
            </w:r>
            <w:r>
              <w:rPr>
                <w:spacing w:val="9"/>
                <w:sz w:val="20"/>
                <w:szCs w:val="20"/>
              </w:rPr>
              <w:t>面不清洗，地面如有油渍，采用抹</w:t>
            </w:r>
            <w:r>
              <w:rPr>
                <w:spacing w:val="6"/>
                <w:sz w:val="20"/>
                <w:szCs w:val="20"/>
              </w:rPr>
              <w:t xml:space="preserve"> </w:t>
            </w:r>
            <w:r>
              <w:rPr>
                <w:spacing w:val="8"/>
                <w:sz w:val="20"/>
                <w:szCs w:val="20"/>
              </w:rPr>
              <w:t>布/拖布擦干，废抹布/拖布作为危</w:t>
            </w:r>
            <w:r>
              <w:rPr>
                <w:spacing w:val="13"/>
                <w:sz w:val="20"/>
                <w:szCs w:val="20"/>
              </w:rPr>
              <w:t xml:space="preserve"> </w:t>
            </w:r>
            <w:r>
              <w:rPr>
                <w:spacing w:val="8"/>
                <w:sz w:val="20"/>
                <w:szCs w:val="20"/>
              </w:rPr>
              <w:t>险废物暂存在危险废物暂存点，</w:t>
            </w:r>
            <w:r>
              <w:rPr>
                <w:spacing w:val="-55"/>
                <w:sz w:val="20"/>
                <w:szCs w:val="20"/>
              </w:rPr>
              <w:t xml:space="preserve"> </w:t>
            </w:r>
            <w:r>
              <w:rPr>
                <w:spacing w:val="8"/>
                <w:sz w:val="20"/>
                <w:szCs w:val="20"/>
              </w:rPr>
              <w:t>由</w:t>
            </w:r>
          </w:p>
        </w:tc>
        <w:tc>
          <w:tcPr>
            <w:tcW w:w="982" w:type="dxa"/>
            <w:vMerge w:val="continue"/>
            <w:tcBorders>
              <w:top w:val="nil"/>
              <w:left w:val="single" w:color="000000" w:sz="2" w:space="0"/>
            </w:tcBorders>
            <w:vAlign w:val="top"/>
          </w:tcPr>
          <w:p w14:paraId="6BBD7D8D">
            <w:pPr>
              <w:rPr>
                <w:rFonts w:ascii="Arial"/>
                <w:sz w:val="21"/>
              </w:rPr>
            </w:pPr>
          </w:p>
        </w:tc>
      </w:tr>
    </w:tbl>
    <w:p w14:paraId="6F99BA23">
      <w:pPr>
        <w:pStyle w:val="2"/>
        <w:spacing w:line="128" w:lineRule="exact"/>
        <w:rPr>
          <w:sz w:val="11"/>
        </w:rPr>
      </w:pPr>
    </w:p>
    <w:p w14:paraId="370D0BD4">
      <w:pPr>
        <w:spacing w:line="128" w:lineRule="exact"/>
        <w:rPr>
          <w:sz w:val="11"/>
          <w:szCs w:val="11"/>
        </w:rPr>
        <w:sectPr>
          <w:footerReference r:id="rId35"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3990"/>
        <w:gridCol w:w="3456"/>
        <w:gridCol w:w="982"/>
      </w:tblGrid>
      <w:tr w14:paraId="018288DD">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2777" w:hRule="atLeast"/>
        </w:trPr>
        <w:tc>
          <w:tcPr>
            <w:tcW w:w="494" w:type="dxa"/>
            <w:vMerge w:val="restart"/>
            <w:tcBorders>
              <w:bottom w:val="nil"/>
              <w:right w:val="single" w:color="000000" w:sz="2" w:space="0"/>
            </w:tcBorders>
            <w:vAlign w:val="top"/>
          </w:tcPr>
          <w:p w14:paraId="53758E19">
            <w:pPr>
              <w:rPr>
                <w:rFonts w:ascii="Arial"/>
                <w:sz w:val="21"/>
              </w:rPr>
            </w:pPr>
          </w:p>
        </w:tc>
        <w:tc>
          <w:tcPr>
            <w:tcW w:w="3990" w:type="dxa"/>
            <w:vMerge w:val="restart"/>
            <w:tcBorders>
              <w:left w:val="single" w:color="000000" w:sz="2" w:space="0"/>
              <w:bottom w:val="nil"/>
              <w:right w:val="single" w:color="000000" w:sz="2" w:space="0"/>
            </w:tcBorders>
            <w:vAlign w:val="top"/>
          </w:tcPr>
          <w:p w14:paraId="5564C6FC">
            <w:pPr>
              <w:pStyle w:val="6"/>
              <w:spacing w:before="70" w:line="287" w:lineRule="auto"/>
              <w:ind w:left="209" w:right="36" w:firstLine="19"/>
              <w:jc w:val="both"/>
              <w:rPr>
                <w:sz w:val="20"/>
                <w:szCs w:val="20"/>
              </w:rPr>
            </w:pPr>
            <w:r>
              <w:rPr>
                <w:spacing w:val="13"/>
                <w:sz w:val="20"/>
                <w:szCs w:val="20"/>
              </w:rPr>
              <w:t>中颗粒物、挥发性有机物</w:t>
            </w:r>
            <w:r>
              <w:rPr>
                <w:rFonts w:ascii="Times New Roman" w:hAnsi="Times New Roman" w:eastAsia="Times New Roman" w:cs="Times New Roman"/>
                <w:spacing w:val="13"/>
                <w:sz w:val="20"/>
                <w:szCs w:val="20"/>
              </w:rPr>
              <w:t>(</w:t>
            </w:r>
            <w:r>
              <w:rPr>
                <w:rFonts w:ascii="Times New Roman" w:hAnsi="Times New Roman" w:eastAsia="Times New Roman" w:cs="Times New Roman"/>
                <w:sz w:val="20"/>
                <w:szCs w:val="20"/>
              </w:rPr>
              <w:t>VOCs</w:t>
            </w:r>
            <w:r>
              <w:rPr>
                <w:rFonts w:ascii="Times New Roman" w:hAnsi="Times New Roman" w:eastAsia="Times New Roman" w:cs="Times New Roman"/>
                <w:spacing w:val="13"/>
                <w:sz w:val="20"/>
                <w:szCs w:val="20"/>
              </w:rPr>
              <w:t>)</w:t>
            </w:r>
            <w:r>
              <w:rPr>
                <w:spacing w:val="13"/>
                <w:sz w:val="20"/>
                <w:szCs w:val="20"/>
              </w:rPr>
              <w:t>等应符</w:t>
            </w:r>
            <w:r>
              <w:rPr>
                <w:spacing w:val="4"/>
                <w:sz w:val="20"/>
                <w:szCs w:val="20"/>
              </w:rPr>
              <w:t xml:space="preserve"> </w:t>
            </w:r>
            <w:r>
              <w:rPr>
                <w:spacing w:val="2"/>
                <w:sz w:val="20"/>
                <w:szCs w:val="20"/>
              </w:rPr>
              <w:t>合</w:t>
            </w:r>
            <w:r>
              <w:rPr>
                <w:rFonts w:ascii="Times New Roman" w:hAnsi="Times New Roman" w:eastAsia="Times New Roman" w:cs="Times New Roman"/>
                <w:sz w:val="20"/>
                <w:szCs w:val="20"/>
              </w:rPr>
              <w:t>GB</w:t>
            </w:r>
            <w:r>
              <w:rPr>
                <w:rFonts w:ascii="Times New Roman" w:hAnsi="Times New Roman" w:eastAsia="Times New Roman" w:cs="Times New Roman"/>
                <w:spacing w:val="29"/>
                <w:sz w:val="20"/>
                <w:szCs w:val="20"/>
              </w:rPr>
              <w:t xml:space="preserve"> </w:t>
            </w:r>
            <w:r>
              <w:rPr>
                <w:rFonts w:ascii="Times New Roman" w:hAnsi="Times New Roman" w:eastAsia="Times New Roman" w:cs="Times New Roman"/>
                <w:spacing w:val="2"/>
                <w:sz w:val="20"/>
                <w:szCs w:val="20"/>
              </w:rPr>
              <w:t>16297</w:t>
            </w:r>
            <w:r>
              <w:rPr>
                <w:spacing w:val="2"/>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13"/>
                <w:w w:val="101"/>
                <w:sz w:val="20"/>
                <w:szCs w:val="20"/>
              </w:rPr>
              <w:t xml:space="preserve"> </w:t>
            </w:r>
            <w:r>
              <w:rPr>
                <w:rFonts w:ascii="Times New Roman" w:hAnsi="Times New Roman" w:eastAsia="Times New Roman" w:cs="Times New Roman"/>
                <w:spacing w:val="2"/>
                <w:sz w:val="20"/>
                <w:szCs w:val="20"/>
              </w:rPr>
              <w:t>37822</w:t>
            </w:r>
            <w:r>
              <w:rPr>
                <w:spacing w:val="2"/>
                <w:sz w:val="20"/>
                <w:szCs w:val="20"/>
              </w:rPr>
              <w:t>规定的排放要求。</w:t>
            </w:r>
            <w:r>
              <w:rPr>
                <w:sz w:val="20"/>
                <w:szCs w:val="20"/>
              </w:rPr>
              <w:t xml:space="preserve"> </w:t>
            </w:r>
            <w:r>
              <w:rPr>
                <w:spacing w:val="3"/>
                <w:sz w:val="20"/>
                <w:szCs w:val="20"/>
              </w:rPr>
              <w:t>地方污染物排放标准有更严格要求的，从</w:t>
            </w:r>
            <w:r>
              <w:rPr>
                <w:spacing w:val="13"/>
                <w:sz w:val="20"/>
                <w:szCs w:val="20"/>
              </w:rPr>
              <w:t xml:space="preserve"> </w:t>
            </w:r>
            <w:r>
              <w:rPr>
                <w:spacing w:val="5"/>
                <w:sz w:val="20"/>
                <w:szCs w:val="20"/>
              </w:rPr>
              <w:t>其规定。</w:t>
            </w:r>
          </w:p>
          <w:p w14:paraId="227652CF">
            <w:pPr>
              <w:pStyle w:val="6"/>
              <w:spacing w:before="38" w:line="278" w:lineRule="auto"/>
              <w:ind w:left="208" w:right="38"/>
              <w:rPr>
                <w:sz w:val="20"/>
                <w:szCs w:val="20"/>
              </w:rPr>
            </w:pPr>
            <w:r>
              <w:rPr>
                <w:rFonts w:ascii="Times New Roman" w:hAnsi="Times New Roman" w:eastAsia="Times New Roman" w:cs="Times New Roman"/>
                <w:spacing w:val="13"/>
                <w:sz w:val="20"/>
                <w:szCs w:val="20"/>
              </w:rPr>
              <w:t>7.2.2</w:t>
            </w:r>
            <w:r>
              <w:rPr>
                <w:spacing w:val="13"/>
                <w:sz w:val="20"/>
                <w:szCs w:val="20"/>
              </w:rPr>
              <w:t>报废机动车回收拆解企业应在厂区</w:t>
            </w:r>
            <w:r>
              <w:rPr>
                <w:spacing w:val="8"/>
                <w:sz w:val="20"/>
                <w:szCs w:val="20"/>
              </w:rPr>
              <w:t xml:space="preserve"> </w:t>
            </w:r>
            <w:r>
              <w:rPr>
                <w:spacing w:val="7"/>
                <w:sz w:val="20"/>
                <w:szCs w:val="20"/>
              </w:rPr>
              <w:t>及易产生粉尘的生产环节采取有效防尘、</w:t>
            </w:r>
            <w:r>
              <w:rPr>
                <w:spacing w:val="11"/>
                <w:sz w:val="20"/>
                <w:szCs w:val="20"/>
              </w:rPr>
              <w:t xml:space="preserve"> </w:t>
            </w:r>
            <w:r>
              <w:rPr>
                <w:spacing w:val="3"/>
                <w:sz w:val="20"/>
                <w:szCs w:val="20"/>
              </w:rPr>
              <w:t>降尘、集尘措施，拆解过程产生的粉尘等</w:t>
            </w:r>
            <w:r>
              <w:rPr>
                <w:spacing w:val="14"/>
                <w:sz w:val="20"/>
                <w:szCs w:val="20"/>
              </w:rPr>
              <w:t xml:space="preserve"> </w:t>
            </w:r>
            <w:r>
              <w:rPr>
                <w:spacing w:val="7"/>
                <w:sz w:val="20"/>
                <w:szCs w:val="20"/>
              </w:rPr>
              <w:t>应收集净化后排放。</w:t>
            </w:r>
          </w:p>
          <w:p w14:paraId="78462152">
            <w:pPr>
              <w:pStyle w:val="6"/>
              <w:spacing w:before="73" w:line="262" w:lineRule="auto"/>
              <w:ind w:left="211" w:right="62" w:hanging="3"/>
              <w:rPr>
                <w:sz w:val="20"/>
                <w:szCs w:val="20"/>
              </w:rPr>
            </w:pPr>
            <w:r>
              <w:rPr>
                <w:rFonts w:ascii="Times New Roman" w:hAnsi="Times New Roman" w:eastAsia="Times New Roman" w:cs="Times New Roman"/>
                <w:spacing w:val="13"/>
                <w:sz w:val="20"/>
                <w:szCs w:val="20"/>
              </w:rPr>
              <w:t>7.2.3</w:t>
            </w:r>
            <w:r>
              <w:rPr>
                <w:spacing w:val="13"/>
                <w:sz w:val="20"/>
                <w:szCs w:val="20"/>
              </w:rPr>
              <w:t>报废机动车回收拆解企业的恶臭污</w:t>
            </w:r>
            <w:r>
              <w:rPr>
                <w:spacing w:val="8"/>
                <w:sz w:val="20"/>
                <w:szCs w:val="20"/>
              </w:rPr>
              <w:t xml:space="preserve"> </w:t>
            </w:r>
            <w:r>
              <w:rPr>
                <w:spacing w:val="6"/>
                <w:sz w:val="20"/>
                <w:szCs w:val="20"/>
              </w:rPr>
              <w:t>染物排放应满足</w:t>
            </w: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14554</w:t>
            </w:r>
            <w:r>
              <w:rPr>
                <w:spacing w:val="6"/>
                <w:sz w:val="20"/>
                <w:szCs w:val="20"/>
              </w:rPr>
              <w:t>中的相关要求。</w:t>
            </w:r>
          </w:p>
          <w:p w14:paraId="2654EDFC">
            <w:pPr>
              <w:pStyle w:val="6"/>
              <w:spacing w:before="70" w:line="286" w:lineRule="auto"/>
              <w:ind w:left="208" w:right="106"/>
              <w:rPr>
                <w:sz w:val="20"/>
                <w:szCs w:val="20"/>
              </w:rPr>
            </w:pPr>
            <w:r>
              <w:rPr>
                <w:rFonts w:ascii="Times New Roman" w:hAnsi="Times New Roman" w:eastAsia="Times New Roman" w:cs="Times New Roman"/>
                <w:spacing w:val="3"/>
                <w:sz w:val="20"/>
                <w:szCs w:val="20"/>
              </w:rPr>
              <w:t>7.2.4</w:t>
            </w:r>
            <w:r>
              <w:rPr>
                <w:spacing w:val="3"/>
                <w:sz w:val="20"/>
                <w:szCs w:val="20"/>
              </w:rPr>
              <w:t>报废机动车回收拆解企业应依照《消</w:t>
            </w:r>
            <w:r>
              <w:rPr>
                <w:spacing w:val="5"/>
                <w:sz w:val="20"/>
                <w:szCs w:val="20"/>
              </w:rPr>
              <w:t xml:space="preserve"> </w:t>
            </w:r>
            <w:r>
              <w:rPr>
                <w:spacing w:val="3"/>
                <w:sz w:val="20"/>
                <w:szCs w:val="20"/>
              </w:rPr>
              <w:t>耗臭氧层物质管理条例》，对消耗臭氧层</w:t>
            </w:r>
            <w:r>
              <w:rPr>
                <w:spacing w:val="14"/>
                <w:sz w:val="20"/>
                <w:szCs w:val="20"/>
              </w:rPr>
              <w:t xml:space="preserve"> </w:t>
            </w:r>
            <w:r>
              <w:rPr>
                <w:spacing w:val="3"/>
                <w:sz w:val="20"/>
                <w:szCs w:val="20"/>
              </w:rPr>
              <w:t>物质和氢氟碳化物进行分类回收，并交由</w:t>
            </w:r>
            <w:r>
              <w:rPr>
                <w:spacing w:val="14"/>
                <w:sz w:val="20"/>
                <w:szCs w:val="20"/>
              </w:rPr>
              <w:t xml:space="preserve"> </w:t>
            </w:r>
            <w:r>
              <w:rPr>
                <w:spacing w:val="3"/>
                <w:sz w:val="20"/>
                <w:szCs w:val="20"/>
              </w:rPr>
              <w:t>专业单位进行利用或无害化处置，不应直</w:t>
            </w:r>
            <w:r>
              <w:rPr>
                <w:spacing w:val="14"/>
                <w:sz w:val="20"/>
                <w:szCs w:val="20"/>
              </w:rPr>
              <w:t xml:space="preserve"> </w:t>
            </w:r>
            <w:r>
              <w:rPr>
                <w:spacing w:val="3"/>
                <w:sz w:val="20"/>
                <w:szCs w:val="20"/>
              </w:rPr>
              <w:t>接排放。涉及《中国受控消耗臭氧层物质</w:t>
            </w:r>
            <w:r>
              <w:rPr>
                <w:spacing w:val="14"/>
                <w:sz w:val="20"/>
                <w:szCs w:val="20"/>
              </w:rPr>
              <w:t xml:space="preserve"> </w:t>
            </w:r>
            <w:r>
              <w:rPr>
                <w:spacing w:val="3"/>
                <w:sz w:val="20"/>
                <w:szCs w:val="20"/>
              </w:rPr>
              <w:t>清单》所列的废制冷剂应按照国家相关规</w:t>
            </w:r>
            <w:r>
              <w:rPr>
                <w:spacing w:val="14"/>
                <w:sz w:val="20"/>
                <w:szCs w:val="20"/>
              </w:rPr>
              <w:t xml:space="preserve"> </w:t>
            </w:r>
            <w:r>
              <w:rPr>
                <w:spacing w:val="6"/>
                <w:sz w:val="20"/>
                <w:szCs w:val="20"/>
              </w:rPr>
              <w:t>定进行管理。</w:t>
            </w:r>
          </w:p>
          <w:p w14:paraId="01D98829">
            <w:pPr>
              <w:pStyle w:val="6"/>
              <w:spacing w:before="73" w:line="228" w:lineRule="auto"/>
              <w:ind w:left="208"/>
              <w:rPr>
                <w:sz w:val="20"/>
                <w:szCs w:val="20"/>
              </w:rPr>
            </w:pPr>
            <w:r>
              <w:rPr>
                <w:rFonts w:ascii="Times New Roman" w:hAnsi="Times New Roman" w:eastAsia="Times New Roman" w:cs="Times New Roman"/>
                <w:spacing w:val="7"/>
                <w:sz w:val="20"/>
                <w:szCs w:val="20"/>
              </w:rPr>
              <w:t>7.3</w:t>
            </w:r>
            <w:r>
              <w:rPr>
                <w:spacing w:val="7"/>
                <w:sz w:val="20"/>
                <w:szCs w:val="20"/>
              </w:rPr>
              <w:t>噪声排放控制要求</w:t>
            </w:r>
          </w:p>
          <w:p w14:paraId="35632F84">
            <w:pPr>
              <w:pStyle w:val="6"/>
              <w:spacing w:before="72" w:line="273" w:lineRule="auto"/>
              <w:ind w:left="208" w:right="106"/>
              <w:rPr>
                <w:sz w:val="20"/>
                <w:szCs w:val="20"/>
              </w:rPr>
            </w:pPr>
            <w:r>
              <w:rPr>
                <w:rFonts w:ascii="Times New Roman" w:hAnsi="Times New Roman" w:eastAsia="Times New Roman" w:cs="Times New Roman"/>
                <w:spacing w:val="12"/>
                <w:sz w:val="20"/>
                <w:szCs w:val="20"/>
              </w:rPr>
              <w:t>7.3.</w:t>
            </w:r>
            <w:r>
              <w:rPr>
                <w:rFonts w:ascii="Times New Roman" w:hAnsi="Times New Roman" w:eastAsia="Times New Roman" w:cs="Times New Roman"/>
                <w:spacing w:val="-22"/>
                <w:sz w:val="20"/>
                <w:szCs w:val="20"/>
              </w:rPr>
              <w:t xml:space="preserve"> </w:t>
            </w:r>
            <w:r>
              <w:rPr>
                <w:rFonts w:ascii="Times New Roman" w:hAnsi="Times New Roman" w:eastAsia="Times New Roman" w:cs="Times New Roman"/>
                <w:spacing w:val="12"/>
                <w:sz w:val="20"/>
                <w:szCs w:val="20"/>
              </w:rPr>
              <w:t>1</w:t>
            </w:r>
            <w:r>
              <w:rPr>
                <w:spacing w:val="12"/>
                <w:sz w:val="20"/>
                <w:szCs w:val="20"/>
              </w:rPr>
              <w:t>报废机动车回收拆解企业应采取隔</w:t>
            </w:r>
            <w:r>
              <w:rPr>
                <w:sz w:val="20"/>
                <w:szCs w:val="20"/>
              </w:rPr>
              <w:t xml:space="preserve"> </w:t>
            </w:r>
            <w:r>
              <w:rPr>
                <w:spacing w:val="29"/>
                <w:sz w:val="20"/>
                <w:szCs w:val="20"/>
              </w:rPr>
              <w:t>音降噪措施</w:t>
            </w:r>
            <w:r>
              <w:rPr>
                <w:spacing w:val="-36"/>
                <w:sz w:val="20"/>
                <w:szCs w:val="20"/>
              </w:rPr>
              <w:t xml:space="preserve"> </w:t>
            </w:r>
            <w:r>
              <w:rPr>
                <w:spacing w:val="29"/>
                <w:sz w:val="20"/>
                <w:szCs w:val="20"/>
              </w:rPr>
              <w:t>，</w:t>
            </w:r>
            <w:r>
              <w:rPr>
                <w:spacing w:val="-47"/>
                <w:sz w:val="20"/>
                <w:szCs w:val="20"/>
              </w:rPr>
              <w:t xml:space="preserve"> </w:t>
            </w:r>
            <w:r>
              <w:rPr>
                <w:spacing w:val="29"/>
                <w:sz w:val="20"/>
                <w:szCs w:val="20"/>
              </w:rPr>
              <w:t>减小厂界噪声</w:t>
            </w:r>
            <w:r>
              <w:rPr>
                <w:spacing w:val="-37"/>
                <w:sz w:val="20"/>
                <w:szCs w:val="20"/>
              </w:rPr>
              <w:t xml:space="preserve"> </w:t>
            </w:r>
            <w:r>
              <w:rPr>
                <w:spacing w:val="29"/>
                <w:sz w:val="20"/>
                <w:szCs w:val="20"/>
              </w:rPr>
              <w:t>，</w:t>
            </w:r>
            <w:r>
              <w:rPr>
                <w:spacing w:val="-47"/>
                <w:sz w:val="20"/>
                <w:szCs w:val="20"/>
              </w:rPr>
              <w:t xml:space="preserve"> </w:t>
            </w:r>
            <w:r>
              <w:rPr>
                <w:spacing w:val="29"/>
                <w:sz w:val="20"/>
                <w:szCs w:val="20"/>
              </w:rPr>
              <w:t>满足</w:t>
            </w:r>
            <w:r>
              <w:rPr>
                <w:sz w:val="20"/>
                <w:szCs w:val="20"/>
              </w:rPr>
              <w:t xml:space="preserve"> </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12348</w:t>
            </w:r>
            <w:r>
              <w:rPr>
                <w:spacing w:val="7"/>
                <w:sz w:val="20"/>
                <w:szCs w:val="20"/>
              </w:rPr>
              <w:t>中的相关要求。</w:t>
            </w:r>
          </w:p>
          <w:p w14:paraId="5CA9AD79">
            <w:pPr>
              <w:pStyle w:val="6"/>
              <w:spacing w:before="76" w:line="278" w:lineRule="auto"/>
              <w:ind w:left="210" w:right="36" w:hanging="2"/>
              <w:rPr>
                <w:sz w:val="20"/>
                <w:szCs w:val="20"/>
              </w:rPr>
            </w:pPr>
            <w:r>
              <w:rPr>
                <w:rFonts w:ascii="Times New Roman" w:hAnsi="Times New Roman" w:eastAsia="Times New Roman" w:cs="Times New Roman"/>
                <w:spacing w:val="3"/>
                <w:sz w:val="20"/>
                <w:szCs w:val="20"/>
              </w:rPr>
              <w:t>7.3.2</w:t>
            </w:r>
            <w:r>
              <w:rPr>
                <w:spacing w:val="3"/>
                <w:sz w:val="20"/>
                <w:szCs w:val="20"/>
              </w:rPr>
              <w:t>对于破碎机、分选机、风机等机械设</w:t>
            </w:r>
            <w:r>
              <w:rPr>
                <w:spacing w:val="5"/>
                <w:sz w:val="20"/>
                <w:szCs w:val="20"/>
              </w:rPr>
              <w:t xml:space="preserve"> </w:t>
            </w:r>
            <w:r>
              <w:rPr>
                <w:spacing w:val="3"/>
                <w:sz w:val="20"/>
                <w:szCs w:val="20"/>
              </w:rPr>
              <w:t>备，应采用合理的降噪、减噪措施。如选</w:t>
            </w:r>
            <w:r>
              <w:rPr>
                <w:spacing w:val="12"/>
                <w:sz w:val="20"/>
                <w:szCs w:val="20"/>
              </w:rPr>
              <w:t xml:space="preserve"> </w:t>
            </w:r>
            <w:r>
              <w:rPr>
                <w:spacing w:val="-4"/>
                <w:sz w:val="20"/>
                <w:szCs w:val="20"/>
              </w:rPr>
              <w:t>用低噪声设备，安装隔振元件、柔性接头、</w:t>
            </w:r>
            <w:r>
              <w:rPr>
                <w:spacing w:val="12"/>
                <w:sz w:val="20"/>
                <w:szCs w:val="20"/>
              </w:rPr>
              <w:t xml:space="preserve"> </w:t>
            </w:r>
            <w:r>
              <w:rPr>
                <w:spacing w:val="5"/>
                <w:sz w:val="20"/>
                <w:szCs w:val="20"/>
              </w:rPr>
              <w:t>隔振垫等。</w:t>
            </w:r>
          </w:p>
          <w:p w14:paraId="45F0341F">
            <w:pPr>
              <w:pStyle w:val="6"/>
              <w:spacing w:before="73" w:line="273" w:lineRule="auto"/>
              <w:ind w:left="209" w:right="106" w:hanging="1"/>
              <w:rPr>
                <w:sz w:val="20"/>
                <w:szCs w:val="20"/>
              </w:rPr>
            </w:pPr>
            <w:r>
              <w:rPr>
                <w:rFonts w:ascii="Times New Roman" w:hAnsi="Times New Roman" w:eastAsia="Times New Roman" w:cs="Times New Roman"/>
                <w:spacing w:val="3"/>
                <w:sz w:val="20"/>
                <w:szCs w:val="20"/>
              </w:rPr>
              <w:t>7.3.3</w:t>
            </w:r>
            <w:r>
              <w:rPr>
                <w:spacing w:val="3"/>
                <w:sz w:val="20"/>
                <w:szCs w:val="20"/>
              </w:rPr>
              <w:t>在空压机、风机等的输气管道或在进</w:t>
            </w:r>
            <w:r>
              <w:rPr>
                <w:spacing w:val="5"/>
                <w:sz w:val="20"/>
                <w:szCs w:val="20"/>
              </w:rPr>
              <w:t xml:space="preserve"> </w:t>
            </w:r>
            <w:r>
              <w:rPr>
                <w:spacing w:val="3"/>
                <w:sz w:val="20"/>
                <w:szCs w:val="20"/>
              </w:rPr>
              <w:t>气口、排气口上安装消声元件，采取屏蔽</w:t>
            </w:r>
            <w:r>
              <w:rPr>
                <w:spacing w:val="12"/>
                <w:sz w:val="20"/>
                <w:szCs w:val="20"/>
              </w:rPr>
              <w:t xml:space="preserve"> </w:t>
            </w:r>
            <w:r>
              <w:rPr>
                <w:spacing w:val="6"/>
                <w:sz w:val="20"/>
                <w:szCs w:val="20"/>
              </w:rPr>
              <w:t>隔声措施等。</w:t>
            </w:r>
          </w:p>
          <w:p w14:paraId="3DF2B063">
            <w:pPr>
              <w:pStyle w:val="6"/>
              <w:spacing w:before="71" w:line="286" w:lineRule="auto"/>
              <w:ind w:left="208" w:right="106"/>
              <w:rPr>
                <w:sz w:val="20"/>
                <w:szCs w:val="20"/>
              </w:rPr>
            </w:pPr>
            <w:r>
              <w:rPr>
                <w:rFonts w:ascii="Times New Roman" w:hAnsi="Times New Roman" w:eastAsia="Times New Roman" w:cs="Times New Roman"/>
                <w:spacing w:val="3"/>
                <w:sz w:val="20"/>
                <w:szCs w:val="20"/>
              </w:rPr>
              <w:t>7.3.4</w:t>
            </w:r>
            <w:r>
              <w:rPr>
                <w:spacing w:val="3"/>
                <w:sz w:val="20"/>
                <w:szCs w:val="20"/>
              </w:rPr>
              <w:t>对于搬运、手工拆解、车辆运输等非</w:t>
            </w:r>
            <w:r>
              <w:rPr>
                <w:spacing w:val="5"/>
                <w:sz w:val="20"/>
                <w:szCs w:val="20"/>
              </w:rPr>
              <w:t xml:space="preserve"> </w:t>
            </w:r>
            <w:r>
              <w:rPr>
                <w:spacing w:val="3"/>
                <w:sz w:val="20"/>
                <w:szCs w:val="20"/>
              </w:rPr>
              <w:t>机械噪声产生环节，宜采取可减少固体振</w:t>
            </w:r>
            <w:r>
              <w:rPr>
                <w:spacing w:val="14"/>
                <w:sz w:val="20"/>
                <w:szCs w:val="20"/>
              </w:rPr>
              <w:t xml:space="preserve"> </w:t>
            </w:r>
            <w:r>
              <w:rPr>
                <w:spacing w:val="3"/>
                <w:sz w:val="20"/>
                <w:szCs w:val="20"/>
              </w:rPr>
              <w:t>动和碰撞过程噪声产生的管理措施，如使</w:t>
            </w:r>
            <w:r>
              <w:rPr>
                <w:spacing w:val="14"/>
                <w:sz w:val="20"/>
                <w:szCs w:val="20"/>
              </w:rPr>
              <w:t xml:space="preserve"> </w:t>
            </w:r>
            <w:r>
              <w:rPr>
                <w:spacing w:val="15"/>
                <w:sz w:val="20"/>
                <w:szCs w:val="20"/>
              </w:rPr>
              <w:t>用手动运输车辆、车间地面涂刷防护地</w:t>
            </w:r>
            <w:r>
              <w:rPr>
                <w:spacing w:val="13"/>
                <w:sz w:val="20"/>
                <w:szCs w:val="20"/>
              </w:rPr>
              <w:t xml:space="preserve"> </w:t>
            </w:r>
            <w:r>
              <w:rPr>
                <w:spacing w:val="9"/>
                <w:sz w:val="20"/>
                <w:szCs w:val="20"/>
              </w:rPr>
              <w:t>坪、使用软性传输装置等措施；加强工</w:t>
            </w:r>
            <w:r>
              <w:rPr>
                <w:spacing w:val="3"/>
                <w:sz w:val="20"/>
                <w:szCs w:val="20"/>
              </w:rPr>
              <w:t xml:space="preserve">  </w:t>
            </w:r>
            <w:r>
              <w:rPr>
                <w:spacing w:val="15"/>
                <w:sz w:val="20"/>
                <w:szCs w:val="20"/>
              </w:rPr>
              <w:t>人的防噪声劳动保护措施，如使用耳塞</w:t>
            </w:r>
            <w:r>
              <w:rPr>
                <w:spacing w:val="13"/>
                <w:sz w:val="20"/>
                <w:szCs w:val="20"/>
              </w:rPr>
              <w:t xml:space="preserve"> </w:t>
            </w:r>
            <w:r>
              <w:rPr>
                <w:sz w:val="20"/>
                <w:szCs w:val="20"/>
              </w:rPr>
              <w:t>等。</w:t>
            </w:r>
          </w:p>
          <w:p w14:paraId="4B6A00C2">
            <w:pPr>
              <w:pStyle w:val="6"/>
              <w:spacing w:before="73" w:line="228" w:lineRule="auto"/>
              <w:ind w:left="208"/>
              <w:rPr>
                <w:sz w:val="20"/>
                <w:szCs w:val="20"/>
              </w:rPr>
            </w:pPr>
            <w:r>
              <w:rPr>
                <w:rFonts w:ascii="Times New Roman" w:hAnsi="Times New Roman" w:eastAsia="Times New Roman" w:cs="Times New Roman"/>
                <w:spacing w:val="8"/>
                <w:sz w:val="20"/>
                <w:szCs w:val="20"/>
              </w:rPr>
              <w:t>7.4</w:t>
            </w:r>
            <w:r>
              <w:rPr>
                <w:spacing w:val="8"/>
                <w:sz w:val="20"/>
                <w:szCs w:val="20"/>
              </w:rPr>
              <w:t>固体废物污染控制要求</w:t>
            </w:r>
          </w:p>
          <w:p w14:paraId="2393B16F">
            <w:pPr>
              <w:pStyle w:val="6"/>
              <w:spacing w:before="74" w:line="288" w:lineRule="auto"/>
              <w:ind w:left="209" w:right="106"/>
              <w:rPr>
                <w:sz w:val="20"/>
                <w:szCs w:val="20"/>
              </w:rPr>
            </w:pPr>
            <w:r>
              <w:rPr>
                <w:rFonts w:ascii="Times New Roman" w:hAnsi="Times New Roman" w:eastAsia="Times New Roman" w:cs="Times New Roman"/>
                <w:spacing w:val="7"/>
                <w:sz w:val="20"/>
                <w:szCs w:val="20"/>
              </w:rPr>
              <w:t>--</w:t>
            </w:r>
            <w:r>
              <w:rPr>
                <w:spacing w:val="7"/>
                <w:sz w:val="20"/>
                <w:szCs w:val="20"/>
              </w:rPr>
              <w:t>般工业固体废物中不应混入危险废物。</w:t>
            </w:r>
            <w:r>
              <w:rPr>
                <w:spacing w:val="1"/>
                <w:sz w:val="20"/>
                <w:szCs w:val="20"/>
              </w:rPr>
              <w:t xml:space="preserve"> </w:t>
            </w:r>
            <w:r>
              <w:rPr>
                <w:spacing w:val="15"/>
                <w:sz w:val="20"/>
                <w:szCs w:val="20"/>
              </w:rPr>
              <w:t>拆解过程中产生的一般工业固体废物应</w:t>
            </w:r>
            <w:r>
              <w:rPr>
                <w:spacing w:val="12"/>
                <w:sz w:val="20"/>
                <w:szCs w:val="20"/>
              </w:rPr>
              <w:t xml:space="preserve"> </w:t>
            </w:r>
            <w:r>
              <w:rPr>
                <w:spacing w:val="8"/>
                <w:sz w:val="20"/>
                <w:szCs w:val="20"/>
              </w:rPr>
              <w:t>满足</w:t>
            </w:r>
            <w:r>
              <w:rPr>
                <w:rFonts w:ascii="Times New Roman" w:hAnsi="Times New Roman" w:eastAsia="Times New Roman" w:cs="Times New Roman"/>
                <w:sz w:val="20"/>
                <w:szCs w:val="20"/>
              </w:rPr>
              <w:t>GB</w:t>
            </w:r>
            <w:r>
              <w:rPr>
                <w:rFonts w:ascii="Times New Roman" w:hAnsi="Times New Roman" w:eastAsia="Times New Roman" w:cs="Times New Roman"/>
                <w:spacing w:val="30"/>
                <w:sz w:val="20"/>
                <w:szCs w:val="20"/>
              </w:rPr>
              <w:t xml:space="preserve"> </w:t>
            </w:r>
            <w:r>
              <w:rPr>
                <w:rFonts w:ascii="Times New Roman" w:hAnsi="Times New Roman" w:eastAsia="Times New Roman" w:cs="Times New Roman"/>
                <w:spacing w:val="8"/>
                <w:sz w:val="20"/>
                <w:szCs w:val="20"/>
              </w:rPr>
              <w:t>18599</w:t>
            </w:r>
            <w:r>
              <w:rPr>
                <w:spacing w:val="8"/>
                <w:sz w:val="20"/>
                <w:szCs w:val="20"/>
              </w:rPr>
              <w:t>的其他相关要求</w:t>
            </w:r>
            <w:r>
              <w:rPr>
                <w:rFonts w:ascii="Times New Roman" w:hAnsi="Times New Roman" w:eastAsia="Times New Roman" w:cs="Times New Roman"/>
                <w:spacing w:val="8"/>
                <w:sz w:val="20"/>
                <w:szCs w:val="20"/>
              </w:rPr>
              <w:t>:</w:t>
            </w:r>
            <w:r>
              <w:rPr>
                <w:spacing w:val="8"/>
                <w:sz w:val="20"/>
                <w:szCs w:val="20"/>
              </w:rPr>
              <w:t>危险废物</w:t>
            </w:r>
            <w:r>
              <w:rPr>
                <w:sz w:val="20"/>
                <w:szCs w:val="20"/>
              </w:rPr>
              <w:t xml:space="preserve"> </w:t>
            </w:r>
            <w:r>
              <w:rPr>
                <w:spacing w:val="6"/>
                <w:sz w:val="20"/>
                <w:szCs w:val="20"/>
              </w:rPr>
              <w:t>应满足</w:t>
            </w:r>
            <w:r>
              <w:rPr>
                <w:rFonts w:ascii="Times New Roman" w:hAnsi="Times New Roman" w:eastAsia="Times New Roman" w:cs="Times New Roman"/>
                <w:sz w:val="20"/>
                <w:szCs w:val="20"/>
              </w:rPr>
              <w:t>GB</w:t>
            </w:r>
            <w:r>
              <w:rPr>
                <w:rFonts w:ascii="Times New Roman" w:hAnsi="Times New Roman" w:eastAsia="Times New Roman" w:cs="Times New Roman"/>
                <w:spacing w:val="38"/>
                <w:w w:val="101"/>
                <w:sz w:val="20"/>
                <w:szCs w:val="20"/>
              </w:rPr>
              <w:t xml:space="preserve"> </w:t>
            </w:r>
            <w:r>
              <w:rPr>
                <w:rFonts w:ascii="Times New Roman" w:hAnsi="Times New Roman" w:eastAsia="Times New Roman" w:cs="Times New Roman"/>
                <w:spacing w:val="6"/>
                <w:sz w:val="20"/>
                <w:szCs w:val="20"/>
              </w:rPr>
              <w:t>18597</w:t>
            </w:r>
            <w:r>
              <w:rPr>
                <w:spacing w:val="6"/>
                <w:sz w:val="20"/>
                <w:szCs w:val="20"/>
              </w:rPr>
              <w:t>中的其他相关要求。</w:t>
            </w:r>
          </w:p>
          <w:p w14:paraId="1A58AFC9">
            <w:pPr>
              <w:pStyle w:val="6"/>
              <w:spacing w:before="40" w:line="228" w:lineRule="auto"/>
              <w:ind w:left="213"/>
              <w:rPr>
                <w:sz w:val="20"/>
                <w:szCs w:val="20"/>
              </w:rPr>
            </w:pPr>
            <w:r>
              <w:rPr>
                <w:rFonts w:ascii="Times New Roman" w:hAnsi="Times New Roman" w:eastAsia="Times New Roman" w:cs="Times New Roman"/>
                <w:spacing w:val="7"/>
                <w:sz w:val="20"/>
                <w:szCs w:val="20"/>
              </w:rPr>
              <w:t>8</w:t>
            </w:r>
            <w:r>
              <w:rPr>
                <w:spacing w:val="7"/>
                <w:sz w:val="20"/>
                <w:szCs w:val="20"/>
              </w:rPr>
              <w:t>企业环境管理要求</w:t>
            </w:r>
          </w:p>
          <w:p w14:paraId="5CF6C665">
            <w:pPr>
              <w:pStyle w:val="6"/>
              <w:spacing w:before="75" w:line="228" w:lineRule="auto"/>
              <w:ind w:left="213"/>
              <w:rPr>
                <w:sz w:val="20"/>
                <w:szCs w:val="20"/>
              </w:rPr>
            </w:pPr>
            <w:r>
              <w:rPr>
                <w:rFonts w:ascii="Times New Roman" w:hAnsi="Times New Roman" w:eastAsia="Times New Roman" w:cs="Times New Roman"/>
                <w:spacing w:val="4"/>
                <w:sz w:val="20"/>
                <w:szCs w:val="20"/>
              </w:rPr>
              <w:t>8.</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4"/>
                <w:sz w:val="20"/>
                <w:szCs w:val="20"/>
              </w:rPr>
              <w:t>1</w:t>
            </w:r>
            <w:r>
              <w:rPr>
                <w:spacing w:val="4"/>
                <w:sz w:val="20"/>
                <w:szCs w:val="20"/>
              </w:rPr>
              <w:t>固体废物管理要求。</w:t>
            </w:r>
          </w:p>
          <w:p w14:paraId="42769601">
            <w:pPr>
              <w:pStyle w:val="6"/>
              <w:spacing w:before="71" w:line="280" w:lineRule="auto"/>
              <w:ind w:left="211" w:right="106" w:firstLine="2"/>
              <w:rPr>
                <w:sz w:val="20"/>
                <w:szCs w:val="20"/>
              </w:rPr>
            </w:pPr>
            <w:r>
              <w:rPr>
                <w:rFonts w:ascii="Times New Roman" w:hAnsi="Times New Roman" w:eastAsia="Times New Roman" w:cs="Times New Roman"/>
                <w:sz w:val="20"/>
                <w:szCs w:val="20"/>
              </w:rPr>
              <w:t>8.</w:t>
            </w:r>
            <w:r>
              <w:rPr>
                <w:rFonts w:ascii="Times New Roman" w:hAnsi="Times New Roman" w:eastAsia="Times New Roman" w:cs="Times New Roman"/>
                <w:spacing w:val="-12"/>
                <w:sz w:val="20"/>
                <w:szCs w:val="20"/>
              </w:rPr>
              <w:t xml:space="preserve"> </w:t>
            </w:r>
            <w:r>
              <w:rPr>
                <w:rFonts w:ascii="Times New Roman" w:hAnsi="Times New Roman" w:eastAsia="Times New Roman" w:cs="Times New Roman"/>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z w:val="20"/>
                <w:szCs w:val="20"/>
              </w:rPr>
              <w:t>1</w:t>
            </w:r>
            <w:r>
              <w:rPr>
                <w:sz w:val="20"/>
                <w:szCs w:val="20"/>
              </w:rPr>
              <w:t xml:space="preserve">企业应建立、健全一般工业固体废物 </w:t>
            </w:r>
            <w:r>
              <w:rPr>
                <w:spacing w:val="3"/>
                <w:sz w:val="20"/>
                <w:szCs w:val="20"/>
              </w:rPr>
              <w:t>污染环境防治责任制度，采取以下措施防</w:t>
            </w:r>
          </w:p>
        </w:tc>
        <w:tc>
          <w:tcPr>
            <w:tcW w:w="3456" w:type="dxa"/>
            <w:tcBorders>
              <w:left w:val="single" w:color="000000" w:sz="2" w:space="0"/>
              <w:bottom w:val="single" w:color="000000" w:sz="2" w:space="0"/>
              <w:right w:val="single" w:color="000000" w:sz="2" w:space="0"/>
            </w:tcBorders>
            <w:vAlign w:val="top"/>
          </w:tcPr>
          <w:p w14:paraId="06C54337">
            <w:pPr>
              <w:pStyle w:val="6"/>
              <w:spacing w:before="72" w:line="280" w:lineRule="auto"/>
              <w:ind w:left="115" w:right="26"/>
              <w:rPr>
                <w:sz w:val="20"/>
                <w:szCs w:val="20"/>
              </w:rPr>
            </w:pPr>
            <w:r>
              <w:rPr>
                <w:spacing w:val="6"/>
                <w:sz w:val="20"/>
                <w:szCs w:val="20"/>
              </w:rPr>
              <w:t>有资质单位处理，不设污水收集池。</w:t>
            </w:r>
            <w:r>
              <w:rPr>
                <w:spacing w:val="12"/>
                <w:sz w:val="20"/>
                <w:szCs w:val="20"/>
              </w:rPr>
              <w:t xml:space="preserve"> </w:t>
            </w:r>
            <w:r>
              <w:rPr>
                <w:spacing w:val="7"/>
                <w:sz w:val="20"/>
                <w:szCs w:val="20"/>
              </w:rPr>
              <w:t>无生产废水产生。</w:t>
            </w:r>
          </w:p>
          <w:p w14:paraId="4C924774">
            <w:pPr>
              <w:pStyle w:val="6"/>
              <w:spacing w:before="31" w:line="282" w:lineRule="auto"/>
              <w:ind w:left="131" w:right="195" w:hanging="17"/>
              <w:rPr>
                <w:sz w:val="20"/>
                <w:szCs w:val="20"/>
              </w:rPr>
            </w:pPr>
            <w:r>
              <w:rPr>
                <w:spacing w:val="9"/>
                <w:sz w:val="20"/>
                <w:szCs w:val="20"/>
              </w:rPr>
              <w:t>拆解区切割工段设置集气罩，收集</w:t>
            </w:r>
            <w:r>
              <w:rPr>
                <w:spacing w:val="4"/>
                <w:sz w:val="20"/>
                <w:szCs w:val="20"/>
              </w:rPr>
              <w:t xml:space="preserve"> </w:t>
            </w:r>
            <w:r>
              <w:rPr>
                <w:spacing w:val="7"/>
                <w:sz w:val="20"/>
                <w:szCs w:val="20"/>
              </w:rPr>
              <w:t>的废气经</w:t>
            </w:r>
            <w:r>
              <w:rPr>
                <w:rFonts w:ascii="Times New Roman" w:hAnsi="Times New Roman" w:eastAsia="Times New Roman" w:cs="Times New Roman"/>
                <w:spacing w:val="7"/>
                <w:sz w:val="20"/>
                <w:szCs w:val="20"/>
              </w:rPr>
              <w:t>1</w:t>
            </w:r>
            <w:r>
              <w:rPr>
                <w:spacing w:val="7"/>
                <w:sz w:val="20"/>
                <w:szCs w:val="20"/>
              </w:rPr>
              <w:t>套布袋除尘器处理后由</w:t>
            </w:r>
          </w:p>
          <w:p w14:paraId="589F8C4A">
            <w:pPr>
              <w:pStyle w:val="6"/>
              <w:spacing w:before="30" w:line="280" w:lineRule="auto"/>
              <w:ind w:left="116" w:right="97" w:firstLine="14"/>
              <w:rPr>
                <w:sz w:val="20"/>
                <w:szCs w:val="20"/>
              </w:rPr>
            </w:pPr>
            <w:r>
              <w:rPr>
                <w:rFonts w:ascii="Times New Roman" w:hAnsi="Times New Roman" w:eastAsia="Times New Roman" w:cs="Times New Roman"/>
                <w:spacing w:val="5"/>
                <w:sz w:val="20"/>
                <w:szCs w:val="20"/>
              </w:rPr>
              <w:t>15m</w:t>
            </w:r>
            <w:r>
              <w:rPr>
                <w:spacing w:val="5"/>
                <w:sz w:val="20"/>
                <w:szCs w:val="20"/>
              </w:rPr>
              <w:t>高排气筒排放（</w:t>
            </w:r>
            <w:r>
              <w:rPr>
                <w:rFonts w:ascii="Times New Roman" w:hAnsi="Times New Roman" w:eastAsia="Times New Roman" w:cs="Times New Roman"/>
                <w:sz w:val="20"/>
                <w:szCs w:val="20"/>
              </w:rPr>
              <w:t>DA</w:t>
            </w:r>
            <w:r>
              <w:rPr>
                <w:rFonts w:ascii="Times New Roman" w:hAnsi="Times New Roman" w:eastAsia="Times New Roman" w:cs="Times New Roman"/>
                <w:spacing w:val="5"/>
                <w:sz w:val="20"/>
                <w:szCs w:val="20"/>
              </w:rPr>
              <w:t>001</w:t>
            </w:r>
            <w:r>
              <w:rPr>
                <w:spacing w:val="1"/>
                <w:sz w:val="20"/>
                <w:szCs w:val="20"/>
              </w:rPr>
              <w:t>）；</w:t>
            </w:r>
            <w:r>
              <w:rPr>
                <w:spacing w:val="5"/>
                <w:sz w:val="20"/>
                <w:szCs w:val="20"/>
              </w:rPr>
              <w:t>抽油</w:t>
            </w:r>
            <w:r>
              <w:rPr>
                <w:sz w:val="20"/>
                <w:szCs w:val="20"/>
              </w:rPr>
              <w:t xml:space="preserve"> </w:t>
            </w:r>
            <w:r>
              <w:rPr>
                <w:spacing w:val="8"/>
                <w:sz w:val="20"/>
                <w:szCs w:val="20"/>
              </w:rPr>
              <w:t>液工段与危险废物贮存库共用</w:t>
            </w:r>
            <w:r>
              <w:rPr>
                <w:rFonts w:ascii="Times New Roman" w:hAnsi="Times New Roman" w:eastAsia="Times New Roman" w:cs="Times New Roman"/>
                <w:spacing w:val="8"/>
                <w:sz w:val="20"/>
                <w:szCs w:val="20"/>
              </w:rPr>
              <w:t>1</w:t>
            </w:r>
            <w:r>
              <w:rPr>
                <w:spacing w:val="8"/>
                <w:sz w:val="20"/>
                <w:szCs w:val="20"/>
              </w:rPr>
              <w:t>套</w:t>
            </w:r>
          </w:p>
          <w:p w14:paraId="43C5B014">
            <w:pPr>
              <w:pStyle w:val="6"/>
              <w:spacing w:before="35" w:line="290" w:lineRule="auto"/>
              <w:ind w:left="113" w:right="93" w:firstLine="4"/>
              <w:rPr>
                <w:sz w:val="20"/>
                <w:szCs w:val="20"/>
              </w:rPr>
            </w:pPr>
            <w:r>
              <w:rPr>
                <w:spacing w:val="8"/>
                <w:sz w:val="20"/>
                <w:szCs w:val="20"/>
              </w:rPr>
              <w:t>设置集气装置，收集的废气经</w:t>
            </w:r>
            <w:r>
              <w:rPr>
                <w:rFonts w:ascii="Times New Roman" w:hAnsi="Times New Roman" w:eastAsia="Times New Roman" w:cs="Times New Roman"/>
                <w:spacing w:val="8"/>
                <w:sz w:val="20"/>
                <w:szCs w:val="20"/>
              </w:rPr>
              <w:t>1</w:t>
            </w:r>
            <w:r>
              <w:rPr>
                <w:spacing w:val="8"/>
                <w:sz w:val="20"/>
                <w:szCs w:val="20"/>
              </w:rPr>
              <w:t>套活</w:t>
            </w:r>
            <w:r>
              <w:rPr>
                <w:spacing w:val="6"/>
                <w:sz w:val="20"/>
                <w:szCs w:val="20"/>
              </w:rPr>
              <w:t xml:space="preserve"> </w:t>
            </w:r>
            <w:r>
              <w:rPr>
                <w:spacing w:val="8"/>
                <w:sz w:val="20"/>
                <w:szCs w:val="20"/>
              </w:rPr>
              <w:t>性碳吸附装置处理后由</w:t>
            </w:r>
            <w:r>
              <w:rPr>
                <w:rFonts w:ascii="Times New Roman" w:hAnsi="Times New Roman" w:eastAsia="Times New Roman" w:cs="Times New Roman"/>
                <w:spacing w:val="8"/>
                <w:sz w:val="20"/>
                <w:szCs w:val="20"/>
              </w:rPr>
              <w:t>15m</w:t>
            </w:r>
            <w:r>
              <w:rPr>
                <w:spacing w:val="8"/>
                <w:sz w:val="20"/>
                <w:szCs w:val="20"/>
              </w:rPr>
              <w:t>高排气</w:t>
            </w:r>
            <w:r>
              <w:rPr>
                <w:spacing w:val="4"/>
                <w:sz w:val="20"/>
                <w:szCs w:val="20"/>
              </w:rPr>
              <w:t xml:space="preserve">  </w:t>
            </w:r>
            <w:r>
              <w:rPr>
                <w:spacing w:val="3"/>
                <w:sz w:val="20"/>
                <w:szCs w:val="20"/>
              </w:rPr>
              <w:t>筒排放（</w:t>
            </w:r>
            <w:r>
              <w:rPr>
                <w:rFonts w:ascii="Times New Roman" w:hAnsi="Times New Roman" w:eastAsia="Times New Roman" w:cs="Times New Roman"/>
                <w:sz w:val="20"/>
                <w:szCs w:val="20"/>
              </w:rPr>
              <w:t>DA</w:t>
            </w:r>
            <w:r>
              <w:rPr>
                <w:rFonts w:ascii="Times New Roman" w:hAnsi="Times New Roman" w:eastAsia="Times New Roman" w:cs="Times New Roman"/>
                <w:spacing w:val="3"/>
                <w:sz w:val="20"/>
                <w:szCs w:val="20"/>
              </w:rPr>
              <w:t>002</w:t>
            </w:r>
            <w:r>
              <w:rPr>
                <w:spacing w:val="3"/>
                <w:sz w:val="20"/>
                <w:szCs w:val="20"/>
              </w:rPr>
              <w:t>）。集气罩收集效率</w:t>
            </w:r>
            <w:r>
              <w:rPr>
                <w:spacing w:val="2"/>
                <w:sz w:val="20"/>
                <w:szCs w:val="20"/>
              </w:rPr>
              <w:t xml:space="preserve"> </w:t>
            </w:r>
            <w:r>
              <w:rPr>
                <w:rFonts w:ascii="Times New Roman" w:hAnsi="Times New Roman" w:eastAsia="Times New Roman" w:cs="Times New Roman"/>
                <w:spacing w:val="4"/>
                <w:sz w:val="20"/>
                <w:szCs w:val="20"/>
              </w:rPr>
              <w:t>85%</w:t>
            </w:r>
            <w:r>
              <w:rPr>
                <w:rFonts w:ascii="Times New Roman" w:hAnsi="Times New Roman" w:eastAsia="Times New Roman" w:cs="Times New Roman"/>
                <w:spacing w:val="-13"/>
                <w:sz w:val="20"/>
                <w:szCs w:val="20"/>
              </w:rPr>
              <w:t xml:space="preserve"> </w:t>
            </w:r>
            <w:r>
              <w:rPr>
                <w:spacing w:val="4"/>
                <w:sz w:val="20"/>
                <w:szCs w:val="20"/>
              </w:rPr>
              <w:t>，非甲烷总烃去除效率为</w:t>
            </w:r>
            <w:r>
              <w:rPr>
                <w:rFonts w:ascii="Times New Roman" w:hAnsi="Times New Roman" w:eastAsia="Times New Roman" w:cs="Times New Roman"/>
                <w:spacing w:val="4"/>
                <w:sz w:val="20"/>
                <w:szCs w:val="20"/>
              </w:rPr>
              <w:t>80%</w:t>
            </w:r>
            <w:r>
              <w:rPr>
                <w:spacing w:val="4"/>
                <w:sz w:val="20"/>
                <w:szCs w:val="20"/>
              </w:rPr>
              <w:t>、</w:t>
            </w:r>
            <w:r>
              <w:rPr>
                <w:sz w:val="20"/>
                <w:szCs w:val="20"/>
              </w:rPr>
              <w:t xml:space="preserve"> </w:t>
            </w:r>
            <w:r>
              <w:rPr>
                <w:spacing w:val="6"/>
                <w:sz w:val="20"/>
                <w:szCs w:val="20"/>
              </w:rPr>
              <w:t>颗粒物去除效率为</w:t>
            </w:r>
            <w:r>
              <w:rPr>
                <w:rFonts w:ascii="Times New Roman" w:hAnsi="Times New Roman" w:eastAsia="Times New Roman" w:cs="Times New Roman"/>
                <w:spacing w:val="6"/>
                <w:sz w:val="20"/>
                <w:szCs w:val="20"/>
              </w:rPr>
              <w:t>99%</w:t>
            </w:r>
            <w:r>
              <w:rPr>
                <w:rFonts w:ascii="Times New Roman" w:hAnsi="Times New Roman" w:eastAsia="Times New Roman" w:cs="Times New Roman"/>
                <w:spacing w:val="-11"/>
                <w:sz w:val="20"/>
                <w:szCs w:val="20"/>
              </w:rPr>
              <w:t xml:space="preserve"> </w:t>
            </w:r>
            <w:r>
              <w:rPr>
                <w:spacing w:val="6"/>
                <w:sz w:val="20"/>
                <w:szCs w:val="20"/>
              </w:rPr>
              <w:t>。每</w:t>
            </w:r>
            <w:r>
              <w:rPr>
                <w:rFonts w:ascii="Times New Roman" w:hAnsi="Times New Roman" w:eastAsia="Times New Roman" w:cs="Times New Roman"/>
                <w:spacing w:val="6"/>
                <w:sz w:val="20"/>
                <w:szCs w:val="20"/>
              </w:rPr>
              <w:t>5</w:t>
            </w:r>
            <w:r>
              <w:rPr>
                <w:spacing w:val="6"/>
                <w:sz w:val="20"/>
                <w:szCs w:val="20"/>
              </w:rPr>
              <w:t>个月更</w:t>
            </w:r>
            <w:r>
              <w:rPr>
                <w:sz w:val="20"/>
                <w:szCs w:val="20"/>
              </w:rPr>
              <w:t xml:space="preserve"> </w:t>
            </w:r>
            <w:r>
              <w:rPr>
                <w:spacing w:val="7"/>
                <w:sz w:val="20"/>
                <w:szCs w:val="20"/>
              </w:rPr>
              <w:t>换一次活性炭。</w:t>
            </w:r>
          </w:p>
          <w:p w14:paraId="19C9D250">
            <w:pPr>
              <w:pStyle w:val="6"/>
              <w:spacing w:before="34" w:line="285" w:lineRule="auto"/>
              <w:ind w:left="113" w:right="195"/>
              <w:rPr>
                <w:sz w:val="20"/>
                <w:szCs w:val="20"/>
              </w:rPr>
            </w:pPr>
            <w:r>
              <w:rPr>
                <w:spacing w:val="9"/>
                <w:sz w:val="20"/>
                <w:szCs w:val="20"/>
              </w:rPr>
              <w:t>采用低噪声设备、减振、消声、距</w:t>
            </w:r>
            <w:r>
              <w:rPr>
                <w:spacing w:val="5"/>
                <w:sz w:val="20"/>
                <w:szCs w:val="20"/>
              </w:rPr>
              <w:t xml:space="preserve"> </w:t>
            </w:r>
            <w:r>
              <w:rPr>
                <w:spacing w:val="9"/>
                <w:sz w:val="20"/>
                <w:szCs w:val="20"/>
              </w:rPr>
              <w:t>离衰减等措施，厂界噪声满足《工</w:t>
            </w:r>
            <w:r>
              <w:rPr>
                <w:spacing w:val="5"/>
                <w:sz w:val="20"/>
                <w:szCs w:val="20"/>
              </w:rPr>
              <w:t xml:space="preserve"> </w:t>
            </w:r>
            <w:r>
              <w:rPr>
                <w:spacing w:val="8"/>
                <w:sz w:val="20"/>
                <w:szCs w:val="20"/>
              </w:rPr>
              <w:t>业企业厂界环境噪声排放标准》</w:t>
            </w:r>
          </w:p>
          <w:p w14:paraId="1E08FE9C">
            <w:pPr>
              <w:pStyle w:val="6"/>
              <w:spacing w:before="29" w:line="293" w:lineRule="auto"/>
              <w:ind w:left="113" w:right="81" w:firstLine="10"/>
              <w:rPr>
                <w:sz w:val="20"/>
                <w:szCs w:val="20"/>
              </w:rPr>
            </w:pPr>
            <w:r>
              <w:rPr>
                <w:spacing w:val="5"/>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5"/>
                <w:sz w:val="20"/>
                <w:szCs w:val="20"/>
              </w:rPr>
              <w:t>12348-2008</w:t>
            </w:r>
            <w:r>
              <w:rPr>
                <w:spacing w:val="5"/>
                <w:sz w:val="20"/>
                <w:szCs w:val="20"/>
              </w:rPr>
              <w:t>）中</w:t>
            </w:r>
            <w:r>
              <w:rPr>
                <w:rFonts w:ascii="Times New Roman" w:hAnsi="Times New Roman" w:eastAsia="Times New Roman" w:cs="Times New Roman"/>
                <w:spacing w:val="5"/>
                <w:sz w:val="20"/>
                <w:szCs w:val="20"/>
              </w:rPr>
              <w:t>2</w:t>
            </w:r>
            <w:r>
              <w:rPr>
                <w:spacing w:val="5"/>
                <w:sz w:val="20"/>
                <w:szCs w:val="20"/>
              </w:rPr>
              <w:t>类标准要求。</w:t>
            </w:r>
            <w:r>
              <w:rPr>
                <w:sz w:val="20"/>
                <w:szCs w:val="20"/>
              </w:rPr>
              <w:t xml:space="preserve"> </w:t>
            </w:r>
            <w:r>
              <w:rPr>
                <w:spacing w:val="9"/>
                <w:sz w:val="20"/>
                <w:szCs w:val="20"/>
              </w:rPr>
              <w:t>生活垃圾统一收集后，运送至当地</w:t>
            </w:r>
            <w:r>
              <w:rPr>
                <w:spacing w:val="2"/>
                <w:sz w:val="20"/>
                <w:szCs w:val="20"/>
              </w:rPr>
              <w:t xml:space="preserve">  </w:t>
            </w:r>
            <w:r>
              <w:rPr>
                <w:spacing w:val="9"/>
                <w:sz w:val="20"/>
                <w:szCs w:val="20"/>
              </w:rPr>
              <w:t>指定的垃圾存放处由环卫部门统一</w:t>
            </w:r>
            <w:r>
              <w:rPr>
                <w:spacing w:val="2"/>
                <w:sz w:val="20"/>
                <w:szCs w:val="20"/>
              </w:rPr>
              <w:t xml:space="preserve">  </w:t>
            </w:r>
            <w:r>
              <w:rPr>
                <w:spacing w:val="9"/>
                <w:sz w:val="20"/>
                <w:szCs w:val="20"/>
              </w:rPr>
              <w:t>处理；玻璃、废旧轮胎、塑料、密</w:t>
            </w:r>
            <w:r>
              <w:rPr>
                <w:spacing w:val="2"/>
                <w:sz w:val="20"/>
                <w:szCs w:val="20"/>
              </w:rPr>
              <w:t xml:space="preserve">  </w:t>
            </w:r>
            <w:r>
              <w:rPr>
                <w:spacing w:val="9"/>
                <w:sz w:val="20"/>
                <w:szCs w:val="20"/>
              </w:rPr>
              <w:t>封胶条、金属类等收集在拆解后物</w:t>
            </w:r>
            <w:r>
              <w:rPr>
                <w:spacing w:val="1"/>
                <w:sz w:val="20"/>
                <w:szCs w:val="20"/>
              </w:rPr>
              <w:t xml:space="preserve">  </w:t>
            </w:r>
            <w:r>
              <w:rPr>
                <w:spacing w:val="9"/>
                <w:sz w:val="20"/>
                <w:szCs w:val="20"/>
              </w:rPr>
              <w:t>料存储区，定期外售废旧资源回收</w:t>
            </w:r>
            <w:r>
              <w:rPr>
                <w:spacing w:val="2"/>
                <w:sz w:val="20"/>
                <w:szCs w:val="20"/>
              </w:rPr>
              <w:t xml:space="preserve">  </w:t>
            </w:r>
            <w:r>
              <w:rPr>
                <w:spacing w:val="6"/>
                <w:sz w:val="20"/>
                <w:szCs w:val="20"/>
              </w:rPr>
              <w:t>公司；</w:t>
            </w:r>
            <w:r>
              <w:rPr>
                <w:spacing w:val="-54"/>
                <w:sz w:val="20"/>
                <w:szCs w:val="20"/>
              </w:rPr>
              <w:t xml:space="preserve"> </w:t>
            </w:r>
            <w:r>
              <w:rPr>
                <w:spacing w:val="6"/>
                <w:sz w:val="20"/>
                <w:szCs w:val="20"/>
              </w:rPr>
              <w:t>电子电器产品</w:t>
            </w:r>
            <w:r>
              <w:rPr>
                <w:rFonts w:ascii="Times New Roman" w:hAnsi="Times New Roman" w:eastAsia="Times New Roman" w:cs="Times New Roman"/>
                <w:spacing w:val="6"/>
                <w:sz w:val="20"/>
                <w:szCs w:val="20"/>
              </w:rPr>
              <w:t>/</w:t>
            </w:r>
            <w:r>
              <w:rPr>
                <w:spacing w:val="6"/>
                <w:sz w:val="20"/>
                <w:szCs w:val="20"/>
              </w:rPr>
              <w:t>元器件收集在</w:t>
            </w:r>
            <w:r>
              <w:rPr>
                <w:sz w:val="20"/>
                <w:szCs w:val="20"/>
              </w:rPr>
              <w:t xml:space="preserve"> </w:t>
            </w:r>
            <w:r>
              <w:rPr>
                <w:spacing w:val="9"/>
                <w:sz w:val="20"/>
                <w:szCs w:val="20"/>
              </w:rPr>
              <w:t>拆解后物料存储区，交由有废电器</w:t>
            </w:r>
            <w:r>
              <w:rPr>
                <w:spacing w:val="1"/>
                <w:sz w:val="20"/>
                <w:szCs w:val="20"/>
              </w:rPr>
              <w:t xml:space="preserve">  </w:t>
            </w:r>
            <w:r>
              <w:rPr>
                <w:spacing w:val="9"/>
                <w:sz w:val="20"/>
                <w:szCs w:val="20"/>
              </w:rPr>
              <w:t>资质企业拆解，不自行拆解；废油</w:t>
            </w:r>
            <w:r>
              <w:rPr>
                <w:spacing w:val="1"/>
                <w:sz w:val="20"/>
                <w:szCs w:val="20"/>
              </w:rPr>
              <w:t xml:space="preserve">  </w:t>
            </w:r>
            <w:r>
              <w:rPr>
                <w:spacing w:val="9"/>
                <w:sz w:val="20"/>
                <w:szCs w:val="20"/>
              </w:rPr>
              <w:t>类、制冷剂采用废液的专用密闭容</w:t>
            </w:r>
            <w:r>
              <w:rPr>
                <w:spacing w:val="1"/>
                <w:sz w:val="20"/>
                <w:szCs w:val="20"/>
              </w:rPr>
              <w:t xml:space="preserve">  </w:t>
            </w:r>
            <w:r>
              <w:rPr>
                <w:spacing w:val="8"/>
                <w:sz w:val="20"/>
                <w:szCs w:val="20"/>
              </w:rPr>
              <w:t>器分类暂存于</w:t>
            </w:r>
            <w:r>
              <w:rPr>
                <w:rFonts w:ascii="Times New Roman" w:hAnsi="Times New Roman" w:eastAsia="Times New Roman" w:cs="Times New Roman"/>
                <w:spacing w:val="8"/>
                <w:sz w:val="20"/>
                <w:szCs w:val="20"/>
              </w:rPr>
              <w:t>3#</w:t>
            </w:r>
            <w:r>
              <w:rPr>
                <w:spacing w:val="8"/>
                <w:sz w:val="20"/>
                <w:szCs w:val="20"/>
              </w:rPr>
              <w:t>废矿物油暂存区，</w:t>
            </w:r>
          </w:p>
          <w:p w14:paraId="22FDE3FE">
            <w:pPr>
              <w:pStyle w:val="6"/>
              <w:spacing w:before="30" w:line="290" w:lineRule="auto"/>
              <w:ind w:left="110" w:right="26" w:firstLine="29"/>
              <w:rPr>
                <w:sz w:val="20"/>
                <w:szCs w:val="20"/>
              </w:rPr>
            </w:pPr>
            <w:r>
              <w:rPr>
                <w:spacing w:val="7"/>
                <w:sz w:val="20"/>
                <w:szCs w:val="20"/>
              </w:rPr>
              <w:t>由有资质单位处理；废电池暂存于</w:t>
            </w:r>
            <w:r>
              <w:rPr>
                <w:spacing w:val="4"/>
                <w:sz w:val="20"/>
                <w:szCs w:val="20"/>
              </w:rPr>
              <w:t xml:space="preserve">  </w:t>
            </w:r>
            <w:r>
              <w:rPr>
                <w:rFonts w:ascii="Times New Roman" w:hAnsi="Times New Roman" w:eastAsia="Times New Roman" w:cs="Times New Roman"/>
                <w:spacing w:val="9"/>
                <w:sz w:val="20"/>
                <w:szCs w:val="20"/>
              </w:rPr>
              <w:t>2#</w:t>
            </w:r>
            <w:r>
              <w:rPr>
                <w:spacing w:val="9"/>
                <w:sz w:val="20"/>
                <w:szCs w:val="20"/>
              </w:rPr>
              <w:t>废蓄电池暂存区，由有资质单位</w:t>
            </w:r>
            <w:r>
              <w:rPr>
                <w:sz w:val="20"/>
                <w:szCs w:val="20"/>
              </w:rPr>
              <w:t xml:space="preserve">  </w:t>
            </w:r>
            <w:r>
              <w:rPr>
                <w:spacing w:val="7"/>
                <w:sz w:val="20"/>
                <w:szCs w:val="20"/>
              </w:rPr>
              <w:t>处理；燃料罐、液压油管、催化器、</w:t>
            </w:r>
            <w:r>
              <w:rPr>
                <w:sz w:val="20"/>
                <w:szCs w:val="20"/>
              </w:rPr>
              <w:t xml:space="preserve"> </w:t>
            </w:r>
            <w:r>
              <w:rPr>
                <w:spacing w:val="9"/>
                <w:sz w:val="20"/>
                <w:szCs w:val="20"/>
              </w:rPr>
              <w:t>废活性炭、含油抹布、拖布和手套</w:t>
            </w:r>
            <w:r>
              <w:rPr>
                <w:spacing w:val="3"/>
                <w:sz w:val="20"/>
                <w:szCs w:val="20"/>
              </w:rPr>
              <w:t xml:space="preserve">  </w:t>
            </w:r>
            <w:r>
              <w:rPr>
                <w:spacing w:val="8"/>
                <w:sz w:val="20"/>
                <w:szCs w:val="20"/>
              </w:rPr>
              <w:t>分类暂存于</w:t>
            </w:r>
            <w:r>
              <w:rPr>
                <w:rFonts w:ascii="Times New Roman" w:hAnsi="Times New Roman" w:eastAsia="Times New Roman" w:cs="Times New Roman"/>
                <w:spacing w:val="8"/>
                <w:sz w:val="20"/>
                <w:szCs w:val="20"/>
              </w:rPr>
              <w:t>1#</w:t>
            </w:r>
            <w:r>
              <w:rPr>
                <w:spacing w:val="8"/>
                <w:sz w:val="20"/>
                <w:szCs w:val="20"/>
              </w:rPr>
              <w:t>其他危险废物暂存</w:t>
            </w:r>
          </w:p>
          <w:p w14:paraId="3E420DE8">
            <w:pPr>
              <w:pStyle w:val="6"/>
              <w:spacing w:before="30" w:line="228" w:lineRule="auto"/>
              <w:ind w:left="130"/>
              <w:rPr>
                <w:sz w:val="20"/>
                <w:szCs w:val="20"/>
              </w:rPr>
            </w:pPr>
            <w:r>
              <w:rPr>
                <w:spacing w:val="2"/>
                <w:sz w:val="20"/>
                <w:szCs w:val="20"/>
              </w:rPr>
              <w:t>区，</w:t>
            </w:r>
            <w:r>
              <w:rPr>
                <w:spacing w:val="-49"/>
                <w:sz w:val="20"/>
                <w:szCs w:val="20"/>
              </w:rPr>
              <w:t xml:space="preserve"> </w:t>
            </w:r>
            <w:r>
              <w:rPr>
                <w:spacing w:val="2"/>
                <w:sz w:val="20"/>
                <w:szCs w:val="20"/>
              </w:rPr>
              <w:t>由有资质单位处理。</w:t>
            </w:r>
          </w:p>
        </w:tc>
        <w:tc>
          <w:tcPr>
            <w:tcW w:w="982" w:type="dxa"/>
            <w:vMerge w:val="restart"/>
            <w:tcBorders>
              <w:left w:val="single" w:color="000000" w:sz="2" w:space="0"/>
              <w:bottom w:val="nil"/>
            </w:tcBorders>
            <w:vAlign w:val="top"/>
          </w:tcPr>
          <w:p w14:paraId="2412256C">
            <w:pPr>
              <w:rPr>
                <w:rFonts w:ascii="Arial"/>
                <w:sz w:val="21"/>
              </w:rPr>
            </w:pPr>
          </w:p>
          <w:p w14:paraId="0A4EF18A">
            <w:pPr>
              <w:rPr>
                <w:rFonts w:ascii="Arial"/>
                <w:sz w:val="21"/>
              </w:rPr>
            </w:pPr>
          </w:p>
          <w:p w14:paraId="7F49324F">
            <w:pPr>
              <w:rPr>
                <w:rFonts w:ascii="Arial"/>
                <w:sz w:val="21"/>
              </w:rPr>
            </w:pPr>
          </w:p>
          <w:p w14:paraId="6F91EEC1">
            <w:pPr>
              <w:rPr>
                <w:rFonts w:ascii="Arial"/>
                <w:sz w:val="21"/>
              </w:rPr>
            </w:pPr>
          </w:p>
          <w:p w14:paraId="68A36204">
            <w:pPr>
              <w:rPr>
                <w:rFonts w:ascii="Arial"/>
                <w:sz w:val="21"/>
              </w:rPr>
            </w:pPr>
          </w:p>
          <w:p w14:paraId="3685E5F7">
            <w:pPr>
              <w:rPr>
                <w:rFonts w:ascii="Arial"/>
                <w:sz w:val="21"/>
              </w:rPr>
            </w:pPr>
          </w:p>
          <w:p w14:paraId="7F41F46E">
            <w:pPr>
              <w:rPr>
                <w:rFonts w:ascii="Arial"/>
                <w:sz w:val="21"/>
              </w:rPr>
            </w:pPr>
          </w:p>
          <w:p w14:paraId="68AB0744">
            <w:pPr>
              <w:rPr>
                <w:rFonts w:ascii="Arial"/>
                <w:sz w:val="21"/>
              </w:rPr>
            </w:pPr>
          </w:p>
          <w:p w14:paraId="255C7E07">
            <w:pPr>
              <w:rPr>
                <w:rFonts w:ascii="Arial"/>
                <w:sz w:val="21"/>
              </w:rPr>
            </w:pPr>
          </w:p>
          <w:p w14:paraId="127871AF">
            <w:pPr>
              <w:rPr>
                <w:rFonts w:ascii="Arial"/>
                <w:sz w:val="21"/>
              </w:rPr>
            </w:pPr>
          </w:p>
          <w:p w14:paraId="441A5367">
            <w:pPr>
              <w:rPr>
                <w:rFonts w:ascii="Arial"/>
                <w:sz w:val="21"/>
              </w:rPr>
            </w:pPr>
          </w:p>
          <w:p w14:paraId="31A67A47">
            <w:pPr>
              <w:rPr>
                <w:rFonts w:ascii="Arial"/>
                <w:sz w:val="21"/>
              </w:rPr>
            </w:pPr>
          </w:p>
          <w:p w14:paraId="36DA19CD">
            <w:pPr>
              <w:rPr>
                <w:rFonts w:ascii="Arial"/>
                <w:sz w:val="21"/>
              </w:rPr>
            </w:pPr>
          </w:p>
          <w:p w14:paraId="7F3FF778">
            <w:pPr>
              <w:rPr>
                <w:rFonts w:ascii="Arial"/>
                <w:sz w:val="21"/>
              </w:rPr>
            </w:pPr>
          </w:p>
          <w:p w14:paraId="65626250">
            <w:pPr>
              <w:rPr>
                <w:rFonts w:ascii="Arial"/>
                <w:sz w:val="21"/>
              </w:rPr>
            </w:pPr>
          </w:p>
          <w:p w14:paraId="53D9285A">
            <w:pPr>
              <w:rPr>
                <w:rFonts w:ascii="Arial"/>
                <w:sz w:val="21"/>
              </w:rPr>
            </w:pPr>
          </w:p>
          <w:p w14:paraId="12D63647">
            <w:pPr>
              <w:rPr>
                <w:rFonts w:ascii="Arial"/>
                <w:sz w:val="21"/>
              </w:rPr>
            </w:pPr>
          </w:p>
          <w:p w14:paraId="3330EAFD">
            <w:pPr>
              <w:rPr>
                <w:rFonts w:ascii="Arial"/>
                <w:sz w:val="21"/>
              </w:rPr>
            </w:pPr>
          </w:p>
          <w:p w14:paraId="308148A5">
            <w:pPr>
              <w:rPr>
                <w:rFonts w:ascii="Arial"/>
                <w:sz w:val="21"/>
              </w:rPr>
            </w:pPr>
          </w:p>
          <w:p w14:paraId="10763315">
            <w:pPr>
              <w:rPr>
                <w:rFonts w:ascii="Arial"/>
                <w:sz w:val="21"/>
              </w:rPr>
            </w:pPr>
          </w:p>
          <w:p w14:paraId="76375F03">
            <w:pPr>
              <w:rPr>
                <w:rFonts w:ascii="Arial"/>
                <w:sz w:val="21"/>
              </w:rPr>
            </w:pPr>
          </w:p>
          <w:p w14:paraId="2CC802DE">
            <w:pPr>
              <w:rPr>
                <w:rFonts w:ascii="Arial"/>
                <w:sz w:val="21"/>
              </w:rPr>
            </w:pPr>
          </w:p>
          <w:p w14:paraId="27D39037">
            <w:pPr>
              <w:rPr>
                <w:rFonts w:ascii="Arial"/>
                <w:sz w:val="21"/>
              </w:rPr>
            </w:pPr>
          </w:p>
          <w:p w14:paraId="082D6BDF">
            <w:pPr>
              <w:rPr>
                <w:rFonts w:ascii="Arial"/>
                <w:sz w:val="21"/>
              </w:rPr>
            </w:pPr>
          </w:p>
          <w:p w14:paraId="18A7371D">
            <w:pPr>
              <w:rPr>
                <w:rFonts w:ascii="Arial"/>
                <w:sz w:val="21"/>
              </w:rPr>
            </w:pPr>
          </w:p>
          <w:p w14:paraId="2FF39C3A">
            <w:pPr>
              <w:rPr>
                <w:rFonts w:ascii="Arial"/>
                <w:sz w:val="21"/>
              </w:rPr>
            </w:pPr>
          </w:p>
          <w:p w14:paraId="49617C84">
            <w:pPr>
              <w:rPr>
                <w:rFonts w:ascii="Arial"/>
                <w:sz w:val="21"/>
              </w:rPr>
            </w:pPr>
          </w:p>
          <w:p w14:paraId="25CD02DF">
            <w:pPr>
              <w:rPr>
                <w:rFonts w:ascii="Arial"/>
                <w:sz w:val="21"/>
              </w:rPr>
            </w:pPr>
          </w:p>
          <w:p w14:paraId="19A68475">
            <w:pPr>
              <w:rPr>
                <w:rFonts w:ascii="Arial"/>
                <w:sz w:val="21"/>
              </w:rPr>
            </w:pPr>
          </w:p>
          <w:p w14:paraId="03962892">
            <w:pPr>
              <w:rPr>
                <w:rFonts w:ascii="Arial"/>
                <w:sz w:val="21"/>
              </w:rPr>
            </w:pPr>
          </w:p>
          <w:p w14:paraId="635F0435">
            <w:pPr>
              <w:rPr>
                <w:rFonts w:ascii="Arial"/>
                <w:sz w:val="21"/>
              </w:rPr>
            </w:pPr>
          </w:p>
          <w:p w14:paraId="752C28B8">
            <w:pPr>
              <w:rPr>
                <w:rFonts w:ascii="Arial"/>
                <w:sz w:val="21"/>
              </w:rPr>
            </w:pPr>
          </w:p>
          <w:p w14:paraId="65DADB00">
            <w:pPr>
              <w:rPr>
                <w:rFonts w:ascii="Arial"/>
                <w:sz w:val="21"/>
              </w:rPr>
            </w:pPr>
          </w:p>
          <w:p w14:paraId="3EDBD968">
            <w:pPr>
              <w:rPr>
                <w:rFonts w:ascii="Arial"/>
                <w:sz w:val="21"/>
              </w:rPr>
            </w:pPr>
          </w:p>
          <w:p w14:paraId="50737FB2">
            <w:pPr>
              <w:rPr>
                <w:rFonts w:ascii="Arial"/>
                <w:sz w:val="21"/>
              </w:rPr>
            </w:pPr>
          </w:p>
          <w:p w14:paraId="0938766B">
            <w:pPr>
              <w:rPr>
                <w:rFonts w:ascii="Arial"/>
                <w:sz w:val="21"/>
              </w:rPr>
            </w:pPr>
          </w:p>
          <w:p w14:paraId="480BF715">
            <w:pPr>
              <w:rPr>
                <w:rFonts w:ascii="Arial"/>
                <w:sz w:val="21"/>
              </w:rPr>
            </w:pPr>
          </w:p>
          <w:p w14:paraId="2DBA8A63">
            <w:pPr>
              <w:rPr>
                <w:rFonts w:ascii="Arial"/>
                <w:sz w:val="21"/>
              </w:rPr>
            </w:pPr>
          </w:p>
          <w:p w14:paraId="6EB754B7">
            <w:pPr>
              <w:rPr>
                <w:rFonts w:ascii="Arial"/>
                <w:sz w:val="21"/>
              </w:rPr>
            </w:pPr>
          </w:p>
          <w:p w14:paraId="77CE2A1A">
            <w:pPr>
              <w:rPr>
                <w:rFonts w:ascii="Arial"/>
                <w:sz w:val="21"/>
              </w:rPr>
            </w:pPr>
          </w:p>
          <w:p w14:paraId="233F395D">
            <w:pPr>
              <w:rPr>
                <w:rFonts w:ascii="Arial"/>
                <w:sz w:val="21"/>
              </w:rPr>
            </w:pPr>
          </w:p>
          <w:p w14:paraId="34D77671">
            <w:pPr>
              <w:rPr>
                <w:rFonts w:ascii="Arial"/>
                <w:sz w:val="21"/>
              </w:rPr>
            </w:pPr>
          </w:p>
          <w:p w14:paraId="3E75AD61">
            <w:pPr>
              <w:spacing w:line="241" w:lineRule="auto"/>
              <w:rPr>
                <w:rFonts w:ascii="Arial"/>
                <w:sz w:val="21"/>
              </w:rPr>
            </w:pPr>
          </w:p>
          <w:p w14:paraId="556DD904">
            <w:pPr>
              <w:spacing w:line="241" w:lineRule="auto"/>
              <w:rPr>
                <w:rFonts w:ascii="Arial"/>
                <w:sz w:val="21"/>
              </w:rPr>
            </w:pPr>
          </w:p>
          <w:p w14:paraId="041FA67A">
            <w:pPr>
              <w:spacing w:line="241" w:lineRule="auto"/>
              <w:rPr>
                <w:rFonts w:ascii="Arial"/>
                <w:sz w:val="21"/>
              </w:rPr>
            </w:pPr>
          </w:p>
          <w:p w14:paraId="6E0E1E61">
            <w:pPr>
              <w:spacing w:line="241" w:lineRule="auto"/>
              <w:rPr>
                <w:rFonts w:ascii="Arial"/>
                <w:sz w:val="21"/>
              </w:rPr>
            </w:pPr>
          </w:p>
          <w:p w14:paraId="012BE866">
            <w:pPr>
              <w:spacing w:line="241" w:lineRule="auto"/>
              <w:rPr>
                <w:rFonts w:ascii="Arial"/>
                <w:sz w:val="21"/>
              </w:rPr>
            </w:pPr>
          </w:p>
          <w:p w14:paraId="2F70CE82">
            <w:pPr>
              <w:spacing w:line="241" w:lineRule="auto"/>
              <w:rPr>
                <w:rFonts w:ascii="Arial"/>
                <w:sz w:val="21"/>
              </w:rPr>
            </w:pPr>
          </w:p>
          <w:p w14:paraId="14BF8157">
            <w:pPr>
              <w:spacing w:line="241" w:lineRule="auto"/>
              <w:rPr>
                <w:rFonts w:ascii="Arial"/>
                <w:sz w:val="21"/>
              </w:rPr>
            </w:pPr>
          </w:p>
          <w:p w14:paraId="697A0E8A">
            <w:pPr>
              <w:spacing w:line="241" w:lineRule="auto"/>
              <w:rPr>
                <w:rFonts w:ascii="Arial"/>
                <w:sz w:val="21"/>
              </w:rPr>
            </w:pPr>
          </w:p>
          <w:p w14:paraId="076251A2">
            <w:pPr>
              <w:spacing w:line="241" w:lineRule="auto"/>
              <w:rPr>
                <w:rFonts w:ascii="Arial"/>
                <w:sz w:val="21"/>
              </w:rPr>
            </w:pPr>
          </w:p>
          <w:p w14:paraId="3E289E31">
            <w:pPr>
              <w:spacing w:line="241" w:lineRule="auto"/>
              <w:rPr>
                <w:rFonts w:ascii="Arial"/>
                <w:sz w:val="21"/>
              </w:rPr>
            </w:pPr>
          </w:p>
          <w:p w14:paraId="514E4C0E">
            <w:pPr>
              <w:spacing w:line="241" w:lineRule="auto"/>
              <w:rPr>
                <w:rFonts w:ascii="Arial"/>
                <w:sz w:val="21"/>
              </w:rPr>
            </w:pPr>
          </w:p>
          <w:p w14:paraId="545959AD">
            <w:pPr>
              <w:spacing w:line="241" w:lineRule="auto"/>
              <w:rPr>
                <w:rFonts w:ascii="Arial"/>
                <w:sz w:val="21"/>
              </w:rPr>
            </w:pPr>
          </w:p>
          <w:p w14:paraId="658A7686">
            <w:pPr>
              <w:spacing w:line="241" w:lineRule="auto"/>
              <w:rPr>
                <w:rFonts w:ascii="Arial"/>
                <w:sz w:val="21"/>
              </w:rPr>
            </w:pPr>
          </w:p>
          <w:p w14:paraId="68D34A0B">
            <w:pPr>
              <w:pStyle w:val="6"/>
              <w:spacing w:before="65" w:line="228" w:lineRule="auto"/>
              <w:ind w:left="238"/>
              <w:rPr>
                <w:sz w:val="20"/>
                <w:szCs w:val="20"/>
              </w:rPr>
            </w:pPr>
            <w:r>
              <w:rPr>
                <w:spacing w:val="3"/>
                <w:sz w:val="20"/>
                <w:szCs w:val="20"/>
              </w:rPr>
              <w:t>符合</w:t>
            </w:r>
          </w:p>
        </w:tc>
      </w:tr>
      <w:tr w14:paraId="2B2E02A3">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64" w:hRule="atLeast"/>
        </w:trPr>
        <w:tc>
          <w:tcPr>
            <w:tcW w:w="494" w:type="dxa"/>
            <w:vMerge w:val="continue"/>
            <w:tcBorders>
              <w:top w:val="nil"/>
              <w:right w:val="single" w:color="000000" w:sz="2" w:space="0"/>
            </w:tcBorders>
            <w:vAlign w:val="top"/>
          </w:tcPr>
          <w:p w14:paraId="1EE312E9">
            <w:pPr>
              <w:rPr>
                <w:rFonts w:ascii="Arial"/>
                <w:sz w:val="21"/>
              </w:rPr>
            </w:pPr>
          </w:p>
        </w:tc>
        <w:tc>
          <w:tcPr>
            <w:tcW w:w="3990" w:type="dxa"/>
            <w:vMerge w:val="continue"/>
            <w:tcBorders>
              <w:top w:val="nil"/>
              <w:left w:val="single" w:color="000000" w:sz="2" w:space="0"/>
              <w:right w:val="single" w:color="000000" w:sz="2" w:space="0"/>
            </w:tcBorders>
            <w:vAlign w:val="top"/>
          </w:tcPr>
          <w:p w14:paraId="0D833EE5">
            <w:pPr>
              <w:rPr>
                <w:rFonts w:ascii="Arial"/>
                <w:sz w:val="21"/>
              </w:rPr>
            </w:pPr>
          </w:p>
        </w:tc>
        <w:tc>
          <w:tcPr>
            <w:tcW w:w="3456" w:type="dxa"/>
            <w:tcBorders>
              <w:top w:val="single" w:color="000000" w:sz="2" w:space="0"/>
              <w:left w:val="single" w:color="000000" w:sz="2" w:space="0"/>
              <w:right w:val="single" w:color="000000" w:sz="2" w:space="0"/>
            </w:tcBorders>
            <w:vAlign w:val="top"/>
          </w:tcPr>
          <w:p w14:paraId="376F6D4B">
            <w:pPr>
              <w:pStyle w:val="6"/>
              <w:spacing w:before="99" w:line="288" w:lineRule="auto"/>
              <w:ind w:left="113" w:right="94" w:firstLine="4"/>
              <w:jc w:val="both"/>
              <w:rPr>
                <w:sz w:val="20"/>
                <w:szCs w:val="20"/>
              </w:rPr>
            </w:pPr>
            <w:r>
              <w:rPr>
                <w:spacing w:val="15"/>
                <w:sz w:val="20"/>
                <w:szCs w:val="20"/>
              </w:rPr>
              <w:t>项目建立、健全一般工业固体废物</w:t>
            </w:r>
            <w:r>
              <w:rPr>
                <w:spacing w:val="12"/>
                <w:sz w:val="20"/>
                <w:szCs w:val="20"/>
              </w:rPr>
              <w:t xml:space="preserve"> </w:t>
            </w:r>
            <w:r>
              <w:rPr>
                <w:spacing w:val="16"/>
                <w:sz w:val="20"/>
                <w:szCs w:val="20"/>
              </w:rPr>
              <w:t>污染环境防治责任制度：建立一般</w:t>
            </w:r>
            <w:r>
              <w:rPr>
                <w:spacing w:val="1"/>
                <w:sz w:val="20"/>
                <w:szCs w:val="20"/>
              </w:rPr>
              <w:t xml:space="preserve"> </w:t>
            </w:r>
            <w:r>
              <w:rPr>
                <w:spacing w:val="16"/>
                <w:sz w:val="20"/>
                <w:szCs w:val="20"/>
              </w:rPr>
              <w:t>工业固体废物台账记录，满足般工</w:t>
            </w:r>
            <w:r>
              <w:rPr>
                <w:spacing w:val="1"/>
                <w:sz w:val="20"/>
                <w:szCs w:val="20"/>
              </w:rPr>
              <w:t xml:space="preserve"> </w:t>
            </w:r>
            <w:r>
              <w:rPr>
                <w:spacing w:val="16"/>
                <w:sz w:val="20"/>
                <w:szCs w:val="20"/>
              </w:rPr>
              <w:t>业固体废物管理台账制定指南相关</w:t>
            </w:r>
          </w:p>
        </w:tc>
        <w:tc>
          <w:tcPr>
            <w:tcW w:w="982" w:type="dxa"/>
            <w:vMerge w:val="continue"/>
            <w:tcBorders>
              <w:top w:val="nil"/>
              <w:left w:val="single" w:color="000000" w:sz="2" w:space="0"/>
            </w:tcBorders>
            <w:vAlign w:val="top"/>
          </w:tcPr>
          <w:p w14:paraId="68A03ED9">
            <w:pPr>
              <w:rPr>
                <w:rFonts w:ascii="Arial"/>
                <w:sz w:val="21"/>
              </w:rPr>
            </w:pPr>
          </w:p>
        </w:tc>
      </w:tr>
    </w:tbl>
    <w:p w14:paraId="481A5169">
      <w:pPr>
        <w:pStyle w:val="2"/>
        <w:spacing w:line="98" w:lineRule="exact"/>
        <w:rPr>
          <w:sz w:val="8"/>
        </w:rPr>
      </w:pPr>
    </w:p>
    <w:p w14:paraId="326F3204">
      <w:pPr>
        <w:spacing w:line="98" w:lineRule="exact"/>
        <w:rPr>
          <w:sz w:val="8"/>
          <w:szCs w:val="8"/>
        </w:rPr>
        <w:sectPr>
          <w:footerReference r:id="rId36"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3990"/>
        <w:gridCol w:w="3456"/>
        <w:gridCol w:w="982"/>
      </w:tblGrid>
      <w:tr w14:paraId="413F5FC7">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136" w:hRule="atLeast"/>
        </w:trPr>
        <w:tc>
          <w:tcPr>
            <w:tcW w:w="494" w:type="dxa"/>
            <w:tcBorders>
              <w:right w:val="single" w:color="000000" w:sz="2" w:space="0"/>
            </w:tcBorders>
            <w:vAlign w:val="top"/>
          </w:tcPr>
          <w:p w14:paraId="414A2143">
            <w:pPr>
              <w:rPr>
                <w:rFonts w:ascii="Arial"/>
                <w:sz w:val="21"/>
              </w:rPr>
            </w:pPr>
          </w:p>
        </w:tc>
        <w:tc>
          <w:tcPr>
            <w:tcW w:w="3990" w:type="dxa"/>
            <w:tcBorders>
              <w:left w:val="single" w:color="000000" w:sz="2" w:space="0"/>
              <w:right w:val="single" w:color="000000" w:sz="2" w:space="0"/>
            </w:tcBorders>
            <w:vAlign w:val="top"/>
          </w:tcPr>
          <w:p w14:paraId="7CBDF054">
            <w:pPr>
              <w:pStyle w:val="6"/>
              <w:spacing w:before="72" w:line="228" w:lineRule="auto"/>
              <w:ind w:left="210"/>
              <w:rPr>
                <w:sz w:val="20"/>
                <w:szCs w:val="20"/>
              </w:rPr>
            </w:pPr>
            <w:r>
              <w:rPr>
                <w:spacing w:val="7"/>
                <w:sz w:val="20"/>
                <w:szCs w:val="20"/>
              </w:rPr>
              <w:t>止造成环境污染：</w:t>
            </w:r>
          </w:p>
          <w:p w14:paraId="7E7DDA4B">
            <w:pPr>
              <w:pStyle w:val="6"/>
              <w:spacing w:before="72" w:line="283" w:lineRule="auto"/>
              <w:ind w:left="211" w:right="106" w:hanging="3"/>
              <w:jc w:val="both"/>
              <w:rPr>
                <w:sz w:val="20"/>
                <w:szCs w:val="20"/>
              </w:rPr>
            </w:pPr>
            <w:r>
              <w:rPr>
                <w:rFonts w:ascii="Times New Roman" w:hAnsi="Times New Roman" w:eastAsia="Times New Roman" w:cs="Times New Roman"/>
                <w:spacing w:val="6"/>
                <w:sz w:val="20"/>
                <w:szCs w:val="20"/>
              </w:rPr>
              <w:t>a)</w:t>
            </w:r>
            <w:r>
              <w:rPr>
                <w:spacing w:val="6"/>
                <w:sz w:val="20"/>
                <w:szCs w:val="20"/>
              </w:rPr>
              <w:t>建立一般工业固体废物台账记录，应满</w:t>
            </w:r>
            <w:r>
              <w:rPr>
                <w:sz w:val="20"/>
                <w:szCs w:val="20"/>
              </w:rPr>
              <w:t xml:space="preserve"> </w:t>
            </w:r>
            <w:r>
              <w:rPr>
                <w:spacing w:val="15"/>
                <w:sz w:val="20"/>
                <w:szCs w:val="20"/>
              </w:rPr>
              <w:t>足般工业固体废物管理台账制定指南相</w:t>
            </w:r>
            <w:r>
              <w:rPr>
                <w:spacing w:val="9"/>
                <w:sz w:val="20"/>
                <w:szCs w:val="20"/>
              </w:rPr>
              <w:t xml:space="preserve"> </w:t>
            </w:r>
            <w:r>
              <w:rPr>
                <w:spacing w:val="4"/>
                <w:sz w:val="20"/>
                <w:szCs w:val="20"/>
              </w:rPr>
              <w:t>关要求；</w:t>
            </w:r>
          </w:p>
          <w:p w14:paraId="0B6F0449">
            <w:pPr>
              <w:pStyle w:val="6"/>
              <w:spacing w:before="39" w:line="287" w:lineRule="auto"/>
              <w:ind w:left="208" w:right="54" w:hanging="8"/>
              <w:jc w:val="both"/>
              <w:rPr>
                <w:sz w:val="20"/>
                <w:szCs w:val="20"/>
              </w:rPr>
            </w:pPr>
            <w:r>
              <w:rPr>
                <w:rFonts w:ascii="Times New Roman" w:hAnsi="Times New Roman" w:eastAsia="Times New Roman" w:cs="Times New Roman"/>
                <w:spacing w:val="5"/>
                <w:sz w:val="20"/>
                <w:szCs w:val="20"/>
              </w:rPr>
              <w:t>b)</w:t>
            </w:r>
            <w:r>
              <w:rPr>
                <w:spacing w:val="5"/>
                <w:sz w:val="20"/>
                <w:szCs w:val="20"/>
              </w:rPr>
              <w:t>分类收集后贮存应设置标识标签，注明</w:t>
            </w:r>
            <w:r>
              <w:rPr>
                <w:spacing w:val="14"/>
                <w:sz w:val="20"/>
                <w:szCs w:val="20"/>
              </w:rPr>
              <w:t xml:space="preserve"> </w:t>
            </w:r>
            <w:r>
              <w:rPr>
                <w:spacing w:val="-5"/>
                <w:sz w:val="20"/>
                <w:szCs w:val="20"/>
              </w:rPr>
              <w:t>拆解产物的名称、贮存时间、数量等信息；</w:t>
            </w:r>
            <w:r>
              <w:rPr>
                <w:spacing w:val="15"/>
                <w:sz w:val="20"/>
                <w:szCs w:val="20"/>
              </w:rPr>
              <w:t xml:space="preserve"> 贮存过程应采取防止货物和包装损坏或</w:t>
            </w:r>
            <w:r>
              <w:rPr>
                <w:spacing w:val="12"/>
                <w:sz w:val="20"/>
                <w:szCs w:val="20"/>
              </w:rPr>
              <w:t xml:space="preserve"> </w:t>
            </w:r>
            <w:r>
              <w:rPr>
                <w:spacing w:val="3"/>
                <w:sz w:val="20"/>
                <w:szCs w:val="20"/>
              </w:rPr>
              <w:t>泄漏。</w:t>
            </w:r>
          </w:p>
          <w:p w14:paraId="54C11070">
            <w:pPr>
              <w:pStyle w:val="6"/>
              <w:spacing w:before="36" w:line="286" w:lineRule="auto"/>
              <w:ind w:left="210" w:right="106" w:firstLine="3"/>
              <w:jc w:val="both"/>
              <w:rPr>
                <w:sz w:val="20"/>
                <w:szCs w:val="20"/>
              </w:rPr>
            </w:pPr>
            <w:r>
              <w:rPr>
                <w:rFonts w:ascii="Times New Roman" w:hAnsi="Times New Roman" w:eastAsia="Times New Roman" w:cs="Times New Roman"/>
                <w:spacing w:val="1"/>
                <w:sz w:val="20"/>
                <w:szCs w:val="20"/>
              </w:rPr>
              <w:t>8.</w:t>
            </w:r>
            <w:r>
              <w:rPr>
                <w:rFonts w:ascii="Times New Roman" w:hAnsi="Times New Roman" w:eastAsia="Times New Roman" w:cs="Times New Roman"/>
                <w:spacing w:val="-8"/>
                <w:sz w:val="20"/>
                <w:szCs w:val="20"/>
              </w:rPr>
              <w:t xml:space="preserve"> </w:t>
            </w:r>
            <w:r>
              <w:rPr>
                <w:rFonts w:ascii="Times New Roman" w:hAnsi="Times New Roman" w:eastAsia="Times New Roman" w:cs="Times New Roman"/>
                <w:spacing w:val="1"/>
                <w:sz w:val="20"/>
                <w:szCs w:val="20"/>
              </w:rPr>
              <w:t>1.2</w:t>
            </w:r>
            <w:r>
              <w:rPr>
                <w:spacing w:val="1"/>
                <w:sz w:val="20"/>
                <w:szCs w:val="20"/>
              </w:rPr>
              <w:t>企业应建立、健全污染环境防治责任</w:t>
            </w:r>
            <w:r>
              <w:rPr>
                <w:sz w:val="20"/>
                <w:szCs w:val="20"/>
              </w:rPr>
              <w:t xml:space="preserve"> </w:t>
            </w:r>
            <w:r>
              <w:rPr>
                <w:spacing w:val="3"/>
                <w:sz w:val="20"/>
                <w:szCs w:val="20"/>
              </w:rPr>
              <w:t>制度，采取以下措施严格控制危险废物造</w:t>
            </w:r>
            <w:r>
              <w:rPr>
                <w:spacing w:val="12"/>
                <w:sz w:val="20"/>
                <w:szCs w:val="20"/>
              </w:rPr>
              <w:t xml:space="preserve"> </w:t>
            </w:r>
            <w:r>
              <w:rPr>
                <w:spacing w:val="6"/>
                <w:sz w:val="20"/>
                <w:szCs w:val="20"/>
              </w:rPr>
              <w:t>成环境污染：</w:t>
            </w:r>
          </w:p>
          <w:p w14:paraId="3FA87164">
            <w:pPr>
              <w:pStyle w:val="6"/>
              <w:spacing w:before="32" w:line="288" w:lineRule="auto"/>
              <w:ind w:left="200" w:right="106" w:firstLine="7"/>
              <w:rPr>
                <w:sz w:val="20"/>
                <w:szCs w:val="20"/>
              </w:rPr>
            </w:pPr>
            <w:r>
              <w:rPr>
                <w:rFonts w:ascii="Times New Roman" w:hAnsi="Times New Roman" w:eastAsia="Times New Roman" w:cs="Times New Roman"/>
                <w:spacing w:val="17"/>
                <w:sz w:val="20"/>
                <w:szCs w:val="20"/>
              </w:rPr>
              <w:t>a)</w:t>
            </w:r>
            <w:r>
              <w:rPr>
                <w:spacing w:val="17"/>
                <w:sz w:val="20"/>
                <w:szCs w:val="20"/>
              </w:rPr>
              <w:t>制定危险废物管理计划和建立危险废</w:t>
            </w:r>
            <w:r>
              <w:rPr>
                <w:spacing w:val="7"/>
                <w:sz w:val="20"/>
                <w:szCs w:val="20"/>
              </w:rPr>
              <w:t xml:space="preserve"> 物台账记录，应满足</w:t>
            </w:r>
            <w:r>
              <w:rPr>
                <w:rFonts w:ascii="Times New Roman" w:hAnsi="Times New Roman" w:eastAsia="Times New Roman" w:cs="Times New Roman"/>
                <w:sz w:val="20"/>
                <w:szCs w:val="20"/>
              </w:rPr>
              <w:t>HJ</w:t>
            </w:r>
            <w:r>
              <w:rPr>
                <w:rFonts w:ascii="Times New Roman" w:hAnsi="Times New Roman" w:eastAsia="Times New Roman" w:cs="Times New Roman"/>
                <w:spacing w:val="35"/>
                <w:w w:val="101"/>
                <w:sz w:val="20"/>
                <w:szCs w:val="20"/>
              </w:rPr>
              <w:t xml:space="preserve"> </w:t>
            </w:r>
            <w:r>
              <w:rPr>
                <w:rFonts w:ascii="Times New Roman" w:hAnsi="Times New Roman" w:eastAsia="Times New Roman" w:cs="Times New Roman"/>
                <w:spacing w:val="7"/>
                <w:sz w:val="20"/>
                <w:szCs w:val="20"/>
              </w:rPr>
              <w:t>1259</w:t>
            </w:r>
            <w:r>
              <w:rPr>
                <w:spacing w:val="7"/>
                <w:sz w:val="20"/>
                <w:szCs w:val="20"/>
              </w:rPr>
              <w:t>相关要求：</w:t>
            </w:r>
            <w:r>
              <w:rPr>
                <w:sz w:val="20"/>
                <w:szCs w:val="20"/>
              </w:rPr>
              <w:t xml:space="preserve"> </w:t>
            </w:r>
            <w:r>
              <w:rPr>
                <w:rFonts w:ascii="Times New Roman" w:hAnsi="Times New Roman" w:eastAsia="Times New Roman" w:cs="Times New Roman"/>
                <w:spacing w:val="17"/>
                <w:sz w:val="20"/>
                <w:szCs w:val="20"/>
              </w:rPr>
              <w:t>b)</w:t>
            </w:r>
            <w:r>
              <w:rPr>
                <w:spacing w:val="17"/>
                <w:sz w:val="20"/>
                <w:szCs w:val="20"/>
              </w:rPr>
              <w:t>交由持有危险废物经营许可证并具有</w:t>
            </w:r>
            <w:r>
              <w:rPr>
                <w:spacing w:val="3"/>
                <w:sz w:val="20"/>
                <w:szCs w:val="20"/>
              </w:rPr>
              <w:t xml:space="preserve"> </w:t>
            </w:r>
            <w:r>
              <w:rPr>
                <w:spacing w:val="4"/>
                <w:sz w:val="20"/>
                <w:szCs w:val="20"/>
              </w:rPr>
              <w:t xml:space="preserve">相关经营范围的企业进行处理，并签订委 </w:t>
            </w:r>
            <w:r>
              <w:rPr>
                <w:spacing w:val="8"/>
                <w:sz w:val="20"/>
                <w:szCs w:val="20"/>
              </w:rPr>
              <w:t>托处理合同；</w:t>
            </w:r>
          </w:p>
          <w:p w14:paraId="66582C4F">
            <w:pPr>
              <w:pStyle w:val="6"/>
              <w:spacing w:before="39" w:line="283" w:lineRule="auto"/>
              <w:ind w:left="209" w:right="106" w:hanging="1"/>
              <w:jc w:val="both"/>
              <w:rPr>
                <w:sz w:val="20"/>
                <w:szCs w:val="20"/>
              </w:rPr>
            </w:pPr>
            <w:r>
              <w:rPr>
                <w:rFonts w:ascii="Times New Roman" w:hAnsi="Times New Roman" w:eastAsia="Times New Roman" w:cs="Times New Roman"/>
                <w:spacing w:val="17"/>
                <w:sz w:val="20"/>
                <w:szCs w:val="20"/>
              </w:rPr>
              <w:t>c)</w:t>
            </w:r>
            <w:r>
              <w:rPr>
                <w:spacing w:val="17"/>
                <w:sz w:val="20"/>
                <w:szCs w:val="20"/>
              </w:rPr>
              <w:t>拆解过程产生的固体废物危险特性不</w:t>
            </w:r>
            <w:r>
              <w:rPr>
                <w:spacing w:val="7"/>
                <w:sz w:val="20"/>
                <w:szCs w:val="20"/>
              </w:rPr>
              <w:t xml:space="preserve"> </w:t>
            </w:r>
            <w:r>
              <w:rPr>
                <w:spacing w:val="3"/>
                <w:sz w:val="20"/>
                <w:szCs w:val="20"/>
              </w:rPr>
              <w:t>明时，按照相关要求开展危险废物鉴别工</w:t>
            </w:r>
            <w:r>
              <w:rPr>
                <w:spacing w:val="12"/>
                <w:sz w:val="20"/>
                <w:szCs w:val="20"/>
              </w:rPr>
              <w:t xml:space="preserve"> </w:t>
            </w:r>
            <w:r>
              <w:rPr>
                <w:sz w:val="20"/>
                <w:szCs w:val="20"/>
              </w:rPr>
              <w:t>作；</w:t>
            </w:r>
          </w:p>
          <w:p w14:paraId="5321C830">
            <w:pPr>
              <w:pStyle w:val="6"/>
              <w:spacing w:before="39" w:line="271" w:lineRule="auto"/>
              <w:ind w:left="209" w:right="106" w:hanging="1"/>
              <w:rPr>
                <w:sz w:val="20"/>
                <w:szCs w:val="20"/>
              </w:rPr>
            </w:pPr>
            <w:r>
              <w:rPr>
                <w:rFonts w:ascii="Times New Roman" w:hAnsi="Times New Roman" w:eastAsia="Times New Roman" w:cs="Times New Roman"/>
                <w:spacing w:val="5"/>
                <w:sz w:val="20"/>
                <w:szCs w:val="20"/>
              </w:rPr>
              <w:t>d)</w:t>
            </w:r>
            <w:r>
              <w:rPr>
                <w:spacing w:val="5"/>
                <w:sz w:val="20"/>
                <w:szCs w:val="20"/>
              </w:rPr>
              <w:t>转移危险废物时，应严格执行《危险废</w:t>
            </w:r>
            <w:r>
              <w:rPr>
                <w:spacing w:val="7"/>
                <w:sz w:val="20"/>
                <w:szCs w:val="20"/>
              </w:rPr>
              <w:t xml:space="preserve"> </w:t>
            </w:r>
            <w:r>
              <w:rPr>
                <w:spacing w:val="8"/>
                <w:sz w:val="20"/>
                <w:szCs w:val="20"/>
              </w:rPr>
              <w:t>物转移管理办法》有关要求。</w:t>
            </w:r>
          </w:p>
          <w:p w14:paraId="0CF2BA22">
            <w:pPr>
              <w:pStyle w:val="6"/>
              <w:spacing w:before="54" w:line="228" w:lineRule="auto"/>
              <w:ind w:left="213"/>
              <w:rPr>
                <w:sz w:val="20"/>
                <w:szCs w:val="20"/>
              </w:rPr>
            </w:pPr>
            <w:r>
              <w:rPr>
                <w:rFonts w:ascii="Times New Roman" w:hAnsi="Times New Roman" w:eastAsia="Times New Roman" w:cs="Times New Roman"/>
                <w:spacing w:val="6"/>
                <w:sz w:val="20"/>
                <w:szCs w:val="20"/>
              </w:rPr>
              <w:t>8.2</w:t>
            </w:r>
            <w:r>
              <w:rPr>
                <w:spacing w:val="6"/>
                <w:sz w:val="20"/>
                <w:szCs w:val="20"/>
              </w:rPr>
              <w:t>环境监测要求</w:t>
            </w:r>
          </w:p>
          <w:p w14:paraId="37C4AC4E">
            <w:pPr>
              <w:pStyle w:val="6"/>
              <w:spacing w:before="73" w:line="284" w:lineRule="auto"/>
              <w:ind w:left="209" w:right="106" w:firstLine="4"/>
              <w:rPr>
                <w:sz w:val="20"/>
                <w:szCs w:val="20"/>
              </w:rPr>
            </w:pPr>
            <w:r>
              <w:rPr>
                <w:rFonts w:ascii="Times New Roman" w:hAnsi="Times New Roman" w:eastAsia="Times New Roman" w:cs="Times New Roman"/>
                <w:spacing w:val="11"/>
                <w:sz w:val="20"/>
                <w:szCs w:val="20"/>
              </w:rPr>
              <w:t>8.2.</w:t>
            </w:r>
            <w:r>
              <w:rPr>
                <w:rFonts w:ascii="Times New Roman" w:hAnsi="Times New Roman" w:eastAsia="Times New Roman" w:cs="Times New Roman"/>
                <w:spacing w:val="-19"/>
                <w:sz w:val="20"/>
                <w:szCs w:val="20"/>
              </w:rPr>
              <w:t xml:space="preserve"> </w:t>
            </w:r>
            <w:r>
              <w:rPr>
                <w:rFonts w:ascii="Times New Roman" w:hAnsi="Times New Roman" w:eastAsia="Times New Roman" w:cs="Times New Roman"/>
                <w:spacing w:val="11"/>
                <w:sz w:val="20"/>
                <w:szCs w:val="20"/>
              </w:rPr>
              <w:t>1</w:t>
            </w:r>
            <w:r>
              <w:rPr>
                <w:spacing w:val="11"/>
                <w:sz w:val="20"/>
                <w:szCs w:val="20"/>
              </w:rPr>
              <w:t>报废机动车回收拆解企业应按照</w:t>
            </w:r>
            <w:r>
              <w:rPr>
                <w:rFonts w:ascii="Times New Roman" w:hAnsi="Times New Roman" w:eastAsia="Times New Roman" w:cs="Times New Roman"/>
                <w:sz w:val="20"/>
                <w:szCs w:val="20"/>
              </w:rPr>
              <w:t xml:space="preserve">HJ </w:t>
            </w:r>
            <w:r>
              <w:rPr>
                <w:rFonts w:ascii="Times New Roman" w:hAnsi="Times New Roman" w:eastAsia="Times New Roman" w:cs="Times New Roman"/>
                <w:spacing w:val="8"/>
                <w:sz w:val="20"/>
                <w:szCs w:val="20"/>
              </w:rPr>
              <w:t>819</w:t>
            </w:r>
            <w:r>
              <w:rPr>
                <w:spacing w:val="8"/>
                <w:sz w:val="20"/>
                <w:szCs w:val="20"/>
              </w:rPr>
              <w:t>等规定，建立企业监测制度，制定自</w:t>
            </w:r>
            <w:r>
              <w:rPr>
                <w:spacing w:val="15"/>
                <w:sz w:val="20"/>
                <w:szCs w:val="20"/>
              </w:rPr>
              <w:t xml:space="preserve"> </w:t>
            </w:r>
            <w:r>
              <w:rPr>
                <w:spacing w:val="3"/>
                <w:sz w:val="20"/>
                <w:szCs w:val="20"/>
              </w:rPr>
              <w:t>行监测方案，对污染物排放状况及其周边</w:t>
            </w:r>
            <w:r>
              <w:rPr>
                <w:spacing w:val="13"/>
                <w:sz w:val="20"/>
                <w:szCs w:val="20"/>
              </w:rPr>
              <w:t xml:space="preserve"> </w:t>
            </w:r>
            <w:r>
              <w:rPr>
                <w:spacing w:val="3"/>
                <w:sz w:val="20"/>
                <w:szCs w:val="20"/>
              </w:rPr>
              <w:t>环境质量的影响开展自行监测，保存原始</w:t>
            </w:r>
            <w:r>
              <w:rPr>
                <w:spacing w:val="13"/>
                <w:sz w:val="20"/>
                <w:szCs w:val="20"/>
              </w:rPr>
              <w:t xml:space="preserve"> </w:t>
            </w:r>
            <w:r>
              <w:rPr>
                <w:spacing w:val="3"/>
                <w:sz w:val="20"/>
                <w:szCs w:val="20"/>
              </w:rPr>
              <w:t>监测记录，并公布监测结果，监测报告记</w:t>
            </w:r>
            <w:r>
              <w:rPr>
                <w:spacing w:val="13"/>
                <w:sz w:val="20"/>
                <w:szCs w:val="20"/>
              </w:rPr>
              <w:t xml:space="preserve"> </w:t>
            </w:r>
            <w:r>
              <w:rPr>
                <w:spacing w:val="7"/>
                <w:sz w:val="20"/>
                <w:szCs w:val="20"/>
              </w:rPr>
              <w:t>录应至少保存</w:t>
            </w:r>
            <w:r>
              <w:rPr>
                <w:rFonts w:ascii="Times New Roman" w:hAnsi="Times New Roman" w:eastAsia="Times New Roman" w:cs="Times New Roman"/>
                <w:spacing w:val="7"/>
                <w:sz w:val="20"/>
                <w:szCs w:val="20"/>
              </w:rPr>
              <w:t>3</w:t>
            </w:r>
            <w:r>
              <w:rPr>
                <w:spacing w:val="7"/>
                <w:sz w:val="20"/>
                <w:szCs w:val="20"/>
              </w:rPr>
              <w:t>年。</w:t>
            </w:r>
          </w:p>
          <w:p w14:paraId="4E335C4F">
            <w:pPr>
              <w:pStyle w:val="6"/>
              <w:spacing w:before="74" w:line="284" w:lineRule="auto"/>
              <w:ind w:left="210" w:right="38" w:firstLine="3"/>
              <w:rPr>
                <w:sz w:val="20"/>
                <w:szCs w:val="20"/>
              </w:rPr>
            </w:pPr>
            <w:r>
              <w:rPr>
                <w:rFonts w:ascii="Times New Roman" w:hAnsi="Times New Roman" w:eastAsia="Times New Roman" w:cs="Times New Roman"/>
                <w:spacing w:val="6"/>
                <w:sz w:val="20"/>
                <w:szCs w:val="20"/>
              </w:rPr>
              <w:t>8.2.2</w:t>
            </w:r>
            <w:r>
              <w:rPr>
                <w:spacing w:val="6"/>
                <w:sz w:val="20"/>
                <w:szCs w:val="20"/>
              </w:rPr>
              <w:t>自行监测方案应包括企业基本情况、</w:t>
            </w:r>
            <w:r>
              <w:rPr>
                <w:spacing w:val="5"/>
                <w:sz w:val="20"/>
                <w:szCs w:val="20"/>
              </w:rPr>
              <w:t xml:space="preserve"> </w:t>
            </w:r>
            <w:r>
              <w:rPr>
                <w:spacing w:val="11"/>
                <w:sz w:val="20"/>
                <w:szCs w:val="20"/>
              </w:rPr>
              <w:t>监测点位、监测频次、监测指标</w:t>
            </w:r>
            <w:r>
              <w:rPr>
                <w:rFonts w:ascii="Times New Roman" w:hAnsi="Times New Roman" w:eastAsia="Times New Roman" w:cs="Times New Roman"/>
                <w:spacing w:val="11"/>
                <w:sz w:val="20"/>
                <w:szCs w:val="20"/>
              </w:rPr>
              <w:t>(</w:t>
            </w:r>
            <w:r>
              <w:rPr>
                <w:spacing w:val="11"/>
                <w:sz w:val="20"/>
                <w:szCs w:val="20"/>
              </w:rPr>
              <w:t>含特征</w:t>
            </w:r>
            <w:r>
              <w:rPr>
                <w:spacing w:val="2"/>
                <w:sz w:val="20"/>
                <w:szCs w:val="20"/>
              </w:rPr>
              <w:t xml:space="preserve"> </w:t>
            </w:r>
            <w:r>
              <w:rPr>
                <w:spacing w:val="9"/>
                <w:sz w:val="20"/>
                <w:szCs w:val="20"/>
              </w:rPr>
              <w:t>污染物</w:t>
            </w:r>
            <w:r>
              <w:rPr>
                <w:rFonts w:ascii="Times New Roman" w:hAnsi="Times New Roman" w:eastAsia="Times New Roman" w:cs="Times New Roman"/>
                <w:spacing w:val="9"/>
                <w:sz w:val="20"/>
                <w:szCs w:val="20"/>
              </w:rPr>
              <w:t>)</w:t>
            </w:r>
            <w:r>
              <w:rPr>
                <w:rFonts w:ascii="Times New Roman" w:hAnsi="Times New Roman" w:eastAsia="Times New Roman" w:cs="Times New Roman"/>
                <w:spacing w:val="-15"/>
                <w:sz w:val="20"/>
                <w:szCs w:val="20"/>
              </w:rPr>
              <w:t xml:space="preserve"> </w:t>
            </w:r>
            <w:r>
              <w:rPr>
                <w:spacing w:val="9"/>
                <w:sz w:val="20"/>
                <w:szCs w:val="20"/>
              </w:rPr>
              <w:t>、执行排放标准及其限值、监测</w:t>
            </w:r>
            <w:r>
              <w:rPr>
                <w:sz w:val="20"/>
                <w:szCs w:val="20"/>
              </w:rPr>
              <w:t xml:space="preserve"> </w:t>
            </w:r>
            <w:r>
              <w:rPr>
                <w:spacing w:val="3"/>
                <w:sz w:val="20"/>
                <w:szCs w:val="20"/>
              </w:rPr>
              <w:t>方法和仪器、监测质量控制、监测点位示</w:t>
            </w:r>
            <w:r>
              <w:rPr>
                <w:spacing w:val="12"/>
                <w:sz w:val="20"/>
                <w:szCs w:val="20"/>
              </w:rPr>
              <w:t xml:space="preserve"> </w:t>
            </w:r>
            <w:r>
              <w:rPr>
                <w:spacing w:val="3"/>
                <w:sz w:val="20"/>
                <w:szCs w:val="20"/>
              </w:rPr>
              <w:t>意图、监测结果信息公开时限、应急监测</w:t>
            </w:r>
            <w:r>
              <w:rPr>
                <w:spacing w:val="12"/>
                <w:sz w:val="20"/>
                <w:szCs w:val="20"/>
              </w:rPr>
              <w:t xml:space="preserve"> </w:t>
            </w:r>
            <w:r>
              <w:rPr>
                <w:spacing w:val="4"/>
                <w:sz w:val="20"/>
                <w:szCs w:val="20"/>
              </w:rPr>
              <w:t>方案等。</w:t>
            </w:r>
          </w:p>
          <w:p w14:paraId="6E37C507">
            <w:pPr>
              <w:pStyle w:val="6"/>
              <w:spacing w:before="74" w:line="273" w:lineRule="auto"/>
              <w:ind w:left="212" w:right="106" w:firstLine="1"/>
              <w:rPr>
                <w:sz w:val="20"/>
                <w:szCs w:val="20"/>
              </w:rPr>
            </w:pPr>
            <w:r>
              <w:rPr>
                <w:rFonts w:ascii="Times New Roman" w:hAnsi="Times New Roman" w:eastAsia="Times New Roman" w:cs="Times New Roman"/>
                <w:spacing w:val="13"/>
                <w:sz w:val="20"/>
                <w:szCs w:val="20"/>
              </w:rPr>
              <w:t>8.2.3</w:t>
            </w:r>
            <w:r>
              <w:rPr>
                <w:spacing w:val="13"/>
                <w:sz w:val="20"/>
                <w:szCs w:val="20"/>
              </w:rPr>
              <w:t>报废机动车回收拆解企业不具备自</w:t>
            </w:r>
            <w:r>
              <w:rPr>
                <w:spacing w:val="3"/>
                <w:sz w:val="20"/>
                <w:szCs w:val="20"/>
              </w:rPr>
              <w:t xml:space="preserve"> 行监测能力的，应委托具有监测服务资质</w:t>
            </w:r>
            <w:r>
              <w:rPr>
                <w:spacing w:val="10"/>
                <w:sz w:val="20"/>
                <w:szCs w:val="20"/>
              </w:rPr>
              <w:t xml:space="preserve"> </w:t>
            </w:r>
            <w:r>
              <w:rPr>
                <w:spacing w:val="6"/>
                <w:sz w:val="20"/>
                <w:szCs w:val="20"/>
              </w:rPr>
              <w:t>的单位监测。</w:t>
            </w:r>
          </w:p>
          <w:p w14:paraId="6ECA4004">
            <w:pPr>
              <w:pStyle w:val="6"/>
              <w:spacing w:before="71" w:line="228" w:lineRule="auto"/>
              <w:ind w:left="213"/>
              <w:rPr>
                <w:sz w:val="20"/>
                <w:szCs w:val="20"/>
              </w:rPr>
            </w:pPr>
            <w:r>
              <w:rPr>
                <w:rFonts w:ascii="Times New Roman" w:hAnsi="Times New Roman" w:eastAsia="Times New Roman" w:cs="Times New Roman"/>
                <w:spacing w:val="7"/>
                <w:sz w:val="20"/>
                <w:szCs w:val="20"/>
              </w:rPr>
              <w:t>8.3</w:t>
            </w:r>
            <w:r>
              <w:rPr>
                <w:spacing w:val="7"/>
                <w:sz w:val="20"/>
                <w:szCs w:val="20"/>
              </w:rPr>
              <w:t>技术人员管理要求</w:t>
            </w:r>
          </w:p>
          <w:p w14:paraId="40F78AEE">
            <w:pPr>
              <w:pStyle w:val="6"/>
              <w:spacing w:before="73" w:line="288" w:lineRule="auto"/>
              <w:ind w:left="207" w:right="38"/>
              <w:rPr>
                <w:sz w:val="20"/>
                <w:szCs w:val="20"/>
              </w:rPr>
            </w:pPr>
            <w:r>
              <w:rPr>
                <w:spacing w:val="7"/>
                <w:sz w:val="20"/>
                <w:szCs w:val="20"/>
              </w:rPr>
              <w:t>报废机动车回收拆解企业应对操作人员、</w:t>
            </w:r>
            <w:r>
              <w:rPr>
                <w:spacing w:val="11"/>
                <w:sz w:val="20"/>
                <w:szCs w:val="20"/>
              </w:rPr>
              <w:t xml:space="preserve"> </w:t>
            </w:r>
            <w:r>
              <w:rPr>
                <w:spacing w:val="15"/>
                <w:sz w:val="20"/>
                <w:szCs w:val="20"/>
              </w:rPr>
              <w:t>技术人员及管理人员进行环境保护相关</w:t>
            </w:r>
            <w:r>
              <w:rPr>
                <w:spacing w:val="13"/>
                <w:sz w:val="20"/>
                <w:szCs w:val="20"/>
              </w:rPr>
              <w:t xml:space="preserve"> </w:t>
            </w:r>
            <w:r>
              <w:rPr>
                <w:spacing w:val="3"/>
                <w:sz w:val="20"/>
                <w:szCs w:val="20"/>
              </w:rPr>
              <w:t>的法律法规、环境应急处理等理论知识和</w:t>
            </w:r>
            <w:r>
              <w:rPr>
                <w:spacing w:val="14"/>
                <w:sz w:val="20"/>
                <w:szCs w:val="20"/>
              </w:rPr>
              <w:t xml:space="preserve"> </w:t>
            </w:r>
            <w:r>
              <w:rPr>
                <w:spacing w:val="8"/>
                <w:sz w:val="20"/>
                <w:szCs w:val="20"/>
              </w:rPr>
              <w:t>操作技能培训。培训应包含以下内容：</w:t>
            </w:r>
          </w:p>
          <w:p w14:paraId="154F5BCE">
            <w:pPr>
              <w:pStyle w:val="6"/>
              <w:spacing w:before="33" w:line="221" w:lineRule="auto"/>
              <w:ind w:left="208"/>
              <w:rPr>
                <w:sz w:val="20"/>
                <w:szCs w:val="20"/>
              </w:rPr>
            </w:pPr>
            <w:r>
              <w:rPr>
                <w:rFonts w:ascii="Times New Roman" w:hAnsi="Times New Roman" w:eastAsia="Times New Roman" w:cs="Times New Roman"/>
                <w:spacing w:val="7"/>
                <w:sz w:val="20"/>
                <w:szCs w:val="20"/>
              </w:rPr>
              <w:t>a)</w:t>
            </w:r>
            <w:r>
              <w:rPr>
                <w:spacing w:val="7"/>
                <w:sz w:val="20"/>
                <w:szCs w:val="20"/>
              </w:rPr>
              <w:t>有关环境保护法律法规要求：</w:t>
            </w:r>
          </w:p>
          <w:p w14:paraId="602CF47E">
            <w:pPr>
              <w:pStyle w:val="6"/>
              <w:spacing w:before="80" w:line="221" w:lineRule="auto"/>
              <w:ind w:left="200"/>
              <w:rPr>
                <w:sz w:val="20"/>
                <w:szCs w:val="20"/>
              </w:rPr>
            </w:pPr>
            <w:r>
              <w:rPr>
                <w:rFonts w:ascii="Times New Roman" w:hAnsi="Times New Roman" w:eastAsia="Times New Roman" w:cs="Times New Roman"/>
                <w:spacing w:val="5"/>
                <w:sz w:val="20"/>
                <w:szCs w:val="20"/>
              </w:rPr>
              <w:t>b)</w:t>
            </w:r>
            <w:r>
              <w:rPr>
                <w:spacing w:val="5"/>
                <w:sz w:val="20"/>
                <w:szCs w:val="20"/>
              </w:rPr>
              <w:t>企业生产的工艺流程、污染物的产生环</w:t>
            </w:r>
          </w:p>
        </w:tc>
        <w:tc>
          <w:tcPr>
            <w:tcW w:w="3456" w:type="dxa"/>
            <w:tcBorders>
              <w:left w:val="single" w:color="000000" w:sz="2" w:space="0"/>
              <w:right w:val="single" w:color="000000" w:sz="2" w:space="0"/>
            </w:tcBorders>
            <w:vAlign w:val="top"/>
          </w:tcPr>
          <w:p w14:paraId="1F745357">
            <w:pPr>
              <w:pStyle w:val="6"/>
              <w:spacing w:before="71" w:line="288" w:lineRule="auto"/>
              <w:ind w:left="114" w:right="94"/>
              <w:jc w:val="both"/>
              <w:rPr>
                <w:sz w:val="20"/>
                <w:szCs w:val="20"/>
              </w:rPr>
            </w:pPr>
            <w:r>
              <w:rPr>
                <w:spacing w:val="16"/>
                <w:sz w:val="20"/>
                <w:szCs w:val="20"/>
              </w:rPr>
              <w:t>要求；分类收集后贮存设置标识标</w:t>
            </w:r>
            <w:r>
              <w:rPr>
                <w:sz w:val="20"/>
                <w:szCs w:val="20"/>
              </w:rPr>
              <w:t xml:space="preserve"> </w:t>
            </w:r>
            <w:r>
              <w:rPr>
                <w:spacing w:val="16"/>
                <w:sz w:val="20"/>
                <w:szCs w:val="20"/>
              </w:rPr>
              <w:t>签，注明拆解产物的名称、贮存时</w:t>
            </w:r>
            <w:r>
              <w:rPr>
                <w:sz w:val="20"/>
                <w:szCs w:val="20"/>
              </w:rPr>
              <w:t xml:space="preserve"> </w:t>
            </w:r>
            <w:r>
              <w:rPr>
                <w:spacing w:val="16"/>
                <w:sz w:val="20"/>
                <w:szCs w:val="20"/>
              </w:rPr>
              <w:t>间、数量等信息；贮存过程应采取</w:t>
            </w:r>
            <w:r>
              <w:rPr>
                <w:sz w:val="20"/>
                <w:szCs w:val="20"/>
              </w:rPr>
              <w:t xml:space="preserve"> </w:t>
            </w:r>
            <w:r>
              <w:rPr>
                <w:spacing w:val="8"/>
                <w:sz w:val="20"/>
                <w:szCs w:val="20"/>
              </w:rPr>
              <w:t>防止货物和包装损坏或泄漏。</w:t>
            </w:r>
          </w:p>
          <w:p w14:paraId="043978B2">
            <w:pPr>
              <w:pStyle w:val="6"/>
              <w:spacing w:before="28" w:line="293" w:lineRule="auto"/>
              <w:ind w:left="112" w:right="94" w:firstLine="5"/>
              <w:rPr>
                <w:sz w:val="20"/>
                <w:szCs w:val="20"/>
              </w:rPr>
            </w:pPr>
            <w:r>
              <w:rPr>
                <w:spacing w:val="15"/>
                <w:sz w:val="20"/>
                <w:szCs w:val="20"/>
              </w:rPr>
              <w:t>企业建立、健全污染环境防治责任</w:t>
            </w:r>
            <w:r>
              <w:rPr>
                <w:spacing w:val="12"/>
                <w:sz w:val="20"/>
                <w:szCs w:val="20"/>
              </w:rPr>
              <w:t xml:space="preserve"> </w:t>
            </w:r>
            <w:r>
              <w:rPr>
                <w:spacing w:val="8"/>
                <w:sz w:val="20"/>
                <w:szCs w:val="20"/>
              </w:rPr>
              <w:t>制度染：制定满足</w:t>
            </w:r>
            <w:r>
              <w:rPr>
                <w:rFonts w:ascii="Times New Roman" w:hAnsi="Times New Roman" w:eastAsia="Times New Roman" w:cs="Times New Roman"/>
                <w:sz w:val="20"/>
                <w:szCs w:val="20"/>
              </w:rPr>
              <w:t>HJ</w:t>
            </w:r>
            <w:r>
              <w:rPr>
                <w:rFonts w:ascii="Times New Roman" w:hAnsi="Times New Roman" w:eastAsia="Times New Roman" w:cs="Times New Roman"/>
                <w:spacing w:val="39"/>
                <w:w w:val="101"/>
                <w:sz w:val="20"/>
                <w:szCs w:val="20"/>
              </w:rPr>
              <w:t xml:space="preserve"> </w:t>
            </w:r>
            <w:r>
              <w:rPr>
                <w:rFonts w:ascii="Times New Roman" w:hAnsi="Times New Roman" w:eastAsia="Times New Roman" w:cs="Times New Roman"/>
                <w:spacing w:val="8"/>
                <w:sz w:val="20"/>
                <w:szCs w:val="20"/>
              </w:rPr>
              <w:t>1259</w:t>
            </w:r>
            <w:r>
              <w:rPr>
                <w:spacing w:val="8"/>
                <w:sz w:val="20"/>
                <w:szCs w:val="20"/>
              </w:rPr>
              <w:t>相关要求</w:t>
            </w:r>
            <w:r>
              <w:rPr>
                <w:sz w:val="20"/>
                <w:szCs w:val="20"/>
              </w:rPr>
              <w:t xml:space="preserve"> </w:t>
            </w:r>
            <w:r>
              <w:rPr>
                <w:spacing w:val="16"/>
                <w:sz w:val="20"/>
                <w:szCs w:val="20"/>
              </w:rPr>
              <w:t>危险废物管理计划和建立危险废物</w:t>
            </w:r>
            <w:r>
              <w:rPr>
                <w:spacing w:val="2"/>
                <w:sz w:val="20"/>
                <w:szCs w:val="20"/>
              </w:rPr>
              <w:t xml:space="preserve"> </w:t>
            </w:r>
            <w:r>
              <w:rPr>
                <w:spacing w:val="16"/>
                <w:sz w:val="20"/>
                <w:szCs w:val="20"/>
              </w:rPr>
              <w:t>台账记录；交由持有危险废物经营</w:t>
            </w:r>
            <w:r>
              <w:rPr>
                <w:spacing w:val="2"/>
                <w:sz w:val="20"/>
                <w:szCs w:val="20"/>
              </w:rPr>
              <w:t xml:space="preserve"> </w:t>
            </w:r>
            <w:r>
              <w:rPr>
                <w:spacing w:val="16"/>
                <w:sz w:val="20"/>
                <w:szCs w:val="20"/>
              </w:rPr>
              <w:t>许可证并具有相关经营范围的企业</w:t>
            </w:r>
            <w:r>
              <w:rPr>
                <w:spacing w:val="2"/>
                <w:sz w:val="20"/>
                <w:szCs w:val="20"/>
              </w:rPr>
              <w:t xml:space="preserve"> </w:t>
            </w:r>
            <w:r>
              <w:rPr>
                <w:spacing w:val="14"/>
                <w:sz w:val="20"/>
                <w:szCs w:val="20"/>
              </w:rPr>
              <w:t>进行处理，并签订委托处理合同；</w:t>
            </w:r>
            <w:r>
              <w:rPr>
                <w:spacing w:val="13"/>
                <w:sz w:val="20"/>
                <w:szCs w:val="20"/>
              </w:rPr>
              <w:t xml:space="preserve"> </w:t>
            </w:r>
            <w:r>
              <w:rPr>
                <w:spacing w:val="16"/>
                <w:sz w:val="20"/>
                <w:szCs w:val="20"/>
              </w:rPr>
              <w:t>拆解过程产生的固体废物危险特性</w:t>
            </w:r>
            <w:r>
              <w:rPr>
                <w:spacing w:val="2"/>
                <w:sz w:val="20"/>
                <w:szCs w:val="20"/>
              </w:rPr>
              <w:t xml:space="preserve"> </w:t>
            </w:r>
            <w:r>
              <w:rPr>
                <w:spacing w:val="16"/>
                <w:sz w:val="20"/>
                <w:szCs w:val="20"/>
              </w:rPr>
              <w:t>不明时，按照相关要求开展危险废</w:t>
            </w:r>
            <w:r>
              <w:rPr>
                <w:spacing w:val="2"/>
                <w:sz w:val="20"/>
                <w:szCs w:val="20"/>
              </w:rPr>
              <w:t xml:space="preserve"> </w:t>
            </w:r>
            <w:r>
              <w:rPr>
                <w:spacing w:val="16"/>
                <w:sz w:val="20"/>
                <w:szCs w:val="20"/>
              </w:rPr>
              <w:t>物鉴别工作：转移危险废物时，严</w:t>
            </w:r>
            <w:r>
              <w:rPr>
                <w:spacing w:val="2"/>
                <w:sz w:val="20"/>
                <w:szCs w:val="20"/>
              </w:rPr>
              <w:t xml:space="preserve"> </w:t>
            </w:r>
            <w:r>
              <w:rPr>
                <w:spacing w:val="15"/>
                <w:sz w:val="20"/>
                <w:szCs w:val="20"/>
              </w:rPr>
              <w:t>格执行《危险废物转移管理办法》</w:t>
            </w:r>
            <w:r>
              <w:rPr>
                <w:spacing w:val="4"/>
                <w:sz w:val="20"/>
                <w:szCs w:val="20"/>
              </w:rPr>
              <w:t xml:space="preserve"> </w:t>
            </w:r>
            <w:r>
              <w:rPr>
                <w:spacing w:val="6"/>
                <w:sz w:val="20"/>
                <w:szCs w:val="20"/>
              </w:rPr>
              <w:t>有关要求。</w:t>
            </w:r>
          </w:p>
          <w:p w14:paraId="6B242FFA">
            <w:pPr>
              <w:pStyle w:val="6"/>
              <w:spacing w:before="33" w:line="290" w:lineRule="auto"/>
              <w:ind w:left="113" w:right="94" w:firstLine="4"/>
              <w:jc w:val="both"/>
              <w:rPr>
                <w:sz w:val="20"/>
                <w:szCs w:val="20"/>
              </w:rPr>
            </w:pPr>
            <w:r>
              <w:rPr>
                <w:spacing w:val="3"/>
                <w:sz w:val="20"/>
                <w:szCs w:val="20"/>
              </w:rPr>
              <w:t>企业按照</w:t>
            </w:r>
            <w:r>
              <w:rPr>
                <w:rFonts w:ascii="Times New Roman" w:hAnsi="Times New Roman" w:eastAsia="Times New Roman" w:cs="Times New Roman"/>
                <w:sz w:val="20"/>
                <w:szCs w:val="20"/>
              </w:rPr>
              <w:t>HJ</w:t>
            </w:r>
            <w:r>
              <w:rPr>
                <w:rFonts w:ascii="Times New Roman" w:hAnsi="Times New Roman" w:eastAsia="Times New Roman" w:cs="Times New Roman"/>
                <w:spacing w:val="3"/>
                <w:sz w:val="20"/>
                <w:szCs w:val="20"/>
              </w:rPr>
              <w:t xml:space="preserve"> 819</w:t>
            </w:r>
            <w:r>
              <w:rPr>
                <w:spacing w:val="3"/>
                <w:sz w:val="20"/>
                <w:szCs w:val="20"/>
              </w:rPr>
              <w:t>等规定，建立企业监</w:t>
            </w:r>
            <w:r>
              <w:rPr>
                <w:spacing w:val="11"/>
                <w:sz w:val="20"/>
                <w:szCs w:val="20"/>
              </w:rPr>
              <w:t xml:space="preserve"> </w:t>
            </w:r>
            <w:r>
              <w:rPr>
                <w:spacing w:val="16"/>
                <w:sz w:val="20"/>
                <w:szCs w:val="20"/>
              </w:rPr>
              <w:t>测制度，制定自行监测方案，对污</w:t>
            </w:r>
            <w:r>
              <w:rPr>
                <w:spacing w:val="1"/>
                <w:sz w:val="20"/>
                <w:szCs w:val="20"/>
              </w:rPr>
              <w:t xml:space="preserve"> </w:t>
            </w:r>
            <w:r>
              <w:rPr>
                <w:spacing w:val="16"/>
                <w:sz w:val="20"/>
                <w:szCs w:val="20"/>
              </w:rPr>
              <w:t>染物排放状况及其周边环境质量的</w:t>
            </w:r>
            <w:r>
              <w:rPr>
                <w:spacing w:val="1"/>
                <w:sz w:val="20"/>
                <w:szCs w:val="20"/>
              </w:rPr>
              <w:t xml:space="preserve"> </w:t>
            </w:r>
            <w:r>
              <w:rPr>
                <w:spacing w:val="16"/>
                <w:sz w:val="20"/>
                <w:szCs w:val="20"/>
              </w:rPr>
              <w:t>影响开展自行监测，保存原始监测</w:t>
            </w:r>
            <w:r>
              <w:rPr>
                <w:spacing w:val="1"/>
                <w:sz w:val="20"/>
                <w:szCs w:val="20"/>
              </w:rPr>
              <w:t xml:space="preserve"> </w:t>
            </w:r>
            <w:r>
              <w:rPr>
                <w:spacing w:val="16"/>
                <w:sz w:val="20"/>
                <w:szCs w:val="20"/>
              </w:rPr>
              <w:t>记录，并公布监测结果，监测报告</w:t>
            </w:r>
            <w:r>
              <w:rPr>
                <w:spacing w:val="1"/>
                <w:sz w:val="20"/>
                <w:szCs w:val="20"/>
              </w:rPr>
              <w:t xml:space="preserve"> </w:t>
            </w:r>
            <w:r>
              <w:rPr>
                <w:spacing w:val="7"/>
                <w:sz w:val="20"/>
                <w:szCs w:val="20"/>
              </w:rPr>
              <w:t>记录至少保存</w:t>
            </w:r>
            <w:r>
              <w:rPr>
                <w:rFonts w:ascii="Times New Roman" w:hAnsi="Times New Roman" w:eastAsia="Times New Roman" w:cs="Times New Roman"/>
                <w:spacing w:val="7"/>
                <w:sz w:val="20"/>
                <w:szCs w:val="20"/>
              </w:rPr>
              <w:t>3</w:t>
            </w:r>
            <w:r>
              <w:rPr>
                <w:spacing w:val="7"/>
                <w:sz w:val="20"/>
                <w:szCs w:val="20"/>
              </w:rPr>
              <w:t>年。</w:t>
            </w:r>
          </w:p>
          <w:p w14:paraId="1C036F86">
            <w:pPr>
              <w:pStyle w:val="6"/>
              <w:spacing w:before="32" w:line="289" w:lineRule="auto"/>
              <w:ind w:left="114" w:right="94" w:firstLine="34"/>
              <w:rPr>
                <w:sz w:val="20"/>
                <w:szCs w:val="20"/>
              </w:rPr>
            </w:pPr>
            <w:r>
              <w:rPr>
                <w:spacing w:val="13"/>
                <w:sz w:val="20"/>
                <w:szCs w:val="20"/>
              </w:rPr>
              <w:t>自行监测方案包括企业基本情况、</w:t>
            </w:r>
            <w:r>
              <w:rPr>
                <w:spacing w:val="11"/>
                <w:sz w:val="20"/>
                <w:szCs w:val="20"/>
              </w:rPr>
              <w:t xml:space="preserve"> </w:t>
            </w:r>
            <w:r>
              <w:rPr>
                <w:spacing w:val="10"/>
                <w:sz w:val="20"/>
                <w:szCs w:val="20"/>
              </w:rPr>
              <w:t>监测点位、监测频次、监测指标</w:t>
            </w:r>
            <w:r>
              <w:rPr>
                <w:rFonts w:ascii="Times New Roman" w:hAnsi="Times New Roman" w:eastAsia="Times New Roman" w:cs="Times New Roman"/>
                <w:spacing w:val="10"/>
                <w:sz w:val="20"/>
                <w:szCs w:val="20"/>
              </w:rPr>
              <w:t>(</w:t>
            </w:r>
            <w:r>
              <w:rPr>
                <w:spacing w:val="10"/>
                <w:sz w:val="20"/>
                <w:szCs w:val="20"/>
              </w:rPr>
              <w:t>含</w:t>
            </w:r>
            <w:r>
              <w:rPr>
                <w:spacing w:val="11"/>
                <w:sz w:val="20"/>
                <w:szCs w:val="20"/>
              </w:rPr>
              <w:t xml:space="preserve"> </w:t>
            </w:r>
            <w:r>
              <w:rPr>
                <w:spacing w:val="9"/>
                <w:sz w:val="20"/>
                <w:szCs w:val="20"/>
              </w:rPr>
              <w:t>特征污染物</w:t>
            </w:r>
            <w:r>
              <w:rPr>
                <w:rFonts w:ascii="Times New Roman" w:hAnsi="Times New Roman" w:eastAsia="Times New Roman" w:cs="Times New Roman"/>
                <w:spacing w:val="9"/>
                <w:sz w:val="20"/>
                <w:szCs w:val="20"/>
              </w:rPr>
              <w:t>)</w:t>
            </w:r>
            <w:r>
              <w:rPr>
                <w:rFonts w:ascii="Times New Roman" w:hAnsi="Times New Roman" w:eastAsia="Times New Roman" w:cs="Times New Roman"/>
                <w:spacing w:val="-23"/>
                <w:sz w:val="20"/>
                <w:szCs w:val="20"/>
              </w:rPr>
              <w:t xml:space="preserve"> </w:t>
            </w:r>
            <w:r>
              <w:rPr>
                <w:spacing w:val="9"/>
                <w:sz w:val="20"/>
                <w:szCs w:val="20"/>
              </w:rPr>
              <w:t>、执行排放标准及其限</w:t>
            </w:r>
            <w:r>
              <w:rPr>
                <w:sz w:val="20"/>
                <w:szCs w:val="20"/>
              </w:rPr>
              <w:t xml:space="preserve"> </w:t>
            </w:r>
            <w:r>
              <w:rPr>
                <w:spacing w:val="16"/>
                <w:sz w:val="20"/>
                <w:szCs w:val="20"/>
              </w:rPr>
              <w:t>值、监测方法和仪器、监测质量控</w:t>
            </w:r>
            <w:r>
              <w:rPr>
                <w:sz w:val="20"/>
                <w:szCs w:val="20"/>
              </w:rPr>
              <w:t xml:space="preserve"> </w:t>
            </w:r>
            <w:r>
              <w:rPr>
                <w:spacing w:val="16"/>
                <w:sz w:val="20"/>
                <w:szCs w:val="20"/>
              </w:rPr>
              <w:t>制、监测点位示意图、监测结果信</w:t>
            </w:r>
            <w:r>
              <w:rPr>
                <w:sz w:val="20"/>
                <w:szCs w:val="20"/>
              </w:rPr>
              <w:t xml:space="preserve"> </w:t>
            </w:r>
            <w:r>
              <w:rPr>
                <w:spacing w:val="8"/>
                <w:sz w:val="20"/>
                <w:szCs w:val="20"/>
              </w:rPr>
              <w:t>息公开时限、应急监测方案等。</w:t>
            </w:r>
          </w:p>
          <w:p w14:paraId="51F0CD39">
            <w:pPr>
              <w:pStyle w:val="6"/>
              <w:spacing w:before="42" w:line="281" w:lineRule="auto"/>
              <w:ind w:left="114" w:right="94" w:hanging="1"/>
              <w:rPr>
                <w:sz w:val="20"/>
                <w:szCs w:val="20"/>
              </w:rPr>
            </w:pPr>
            <w:r>
              <w:rPr>
                <w:spacing w:val="31"/>
                <w:sz w:val="20"/>
                <w:szCs w:val="20"/>
              </w:rPr>
              <w:t>委托具有监测服务资质的单位监</w:t>
            </w:r>
            <w:r>
              <w:rPr>
                <w:spacing w:val="7"/>
                <w:sz w:val="20"/>
                <w:szCs w:val="20"/>
              </w:rPr>
              <w:t xml:space="preserve"> </w:t>
            </w:r>
            <w:r>
              <w:rPr>
                <w:sz w:val="20"/>
                <w:szCs w:val="20"/>
              </w:rPr>
              <w:t>测。</w:t>
            </w:r>
          </w:p>
          <w:p w14:paraId="2C927BC7">
            <w:pPr>
              <w:pStyle w:val="6"/>
              <w:spacing w:before="31" w:line="288" w:lineRule="auto"/>
              <w:ind w:left="115" w:right="94" w:firstLine="2"/>
              <w:jc w:val="both"/>
              <w:rPr>
                <w:sz w:val="20"/>
                <w:szCs w:val="20"/>
              </w:rPr>
            </w:pPr>
            <w:r>
              <w:rPr>
                <w:spacing w:val="15"/>
                <w:sz w:val="20"/>
                <w:szCs w:val="20"/>
              </w:rPr>
              <w:t>企业对操作人员、技术人员及管理</w:t>
            </w:r>
            <w:r>
              <w:rPr>
                <w:spacing w:val="12"/>
                <w:sz w:val="20"/>
                <w:szCs w:val="20"/>
              </w:rPr>
              <w:t xml:space="preserve"> </w:t>
            </w:r>
            <w:r>
              <w:rPr>
                <w:spacing w:val="31"/>
                <w:sz w:val="20"/>
                <w:szCs w:val="20"/>
              </w:rPr>
              <w:t>人员进行环境保护相关的法律法</w:t>
            </w:r>
            <w:r>
              <w:rPr>
                <w:spacing w:val="5"/>
                <w:sz w:val="20"/>
                <w:szCs w:val="20"/>
              </w:rPr>
              <w:t xml:space="preserve"> </w:t>
            </w:r>
            <w:r>
              <w:rPr>
                <w:spacing w:val="16"/>
                <w:sz w:val="20"/>
                <w:szCs w:val="20"/>
              </w:rPr>
              <w:t>规、环境应急处理等理论知识和操</w:t>
            </w:r>
            <w:r>
              <w:rPr>
                <w:sz w:val="20"/>
                <w:szCs w:val="20"/>
              </w:rPr>
              <w:t xml:space="preserve"> </w:t>
            </w:r>
            <w:r>
              <w:rPr>
                <w:spacing w:val="6"/>
                <w:sz w:val="20"/>
                <w:szCs w:val="20"/>
              </w:rPr>
              <w:t>作技能培训。</w:t>
            </w:r>
          </w:p>
          <w:p w14:paraId="561A1FAF">
            <w:pPr>
              <w:pStyle w:val="6"/>
              <w:spacing w:before="36" w:line="291" w:lineRule="auto"/>
              <w:ind w:left="114" w:right="195" w:firstLine="3"/>
              <w:jc w:val="both"/>
              <w:rPr>
                <w:sz w:val="20"/>
                <w:szCs w:val="20"/>
              </w:rPr>
            </w:pPr>
            <w:r>
              <w:rPr>
                <w:spacing w:val="9"/>
                <w:sz w:val="20"/>
                <w:szCs w:val="20"/>
              </w:rPr>
              <w:t>企业健全企业突发环境事件应对工</w:t>
            </w:r>
            <w:r>
              <w:rPr>
                <w:spacing w:val="1"/>
                <w:sz w:val="20"/>
                <w:szCs w:val="20"/>
              </w:rPr>
              <w:t xml:space="preserve"> </w:t>
            </w:r>
            <w:r>
              <w:rPr>
                <w:spacing w:val="9"/>
                <w:sz w:val="20"/>
                <w:szCs w:val="20"/>
              </w:rPr>
              <w:t>作机制，包括编制突发环境事件应</w:t>
            </w:r>
            <w:r>
              <w:rPr>
                <w:spacing w:val="4"/>
                <w:sz w:val="20"/>
                <w:szCs w:val="20"/>
              </w:rPr>
              <w:t xml:space="preserve"> </w:t>
            </w:r>
            <w:r>
              <w:rPr>
                <w:spacing w:val="9"/>
                <w:sz w:val="20"/>
                <w:szCs w:val="20"/>
              </w:rPr>
              <w:t>急预案、制定突发环境事件应急预</w:t>
            </w:r>
            <w:r>
              <w:rPr>
                <w:spacing w:val="4"/>
                <w:sz w:val="20"/>
                <w:szCs w:val="20"/>
              </w:rPr>
              <w:t xml:space="preserve"> </w:t>
            </w:r>
            <w:r>
              <w:rPr>
                <w:spacing w:val="9"/>
                <w:sz w:val="20"/>
                <w:szCs w:val="20"/>
              </w:rPr>
              <w:t>案培训演练制度、定期开展培训演</w:t>
            </w:r>
            <w:r>
              <w:rPr>
                <w:spacing w:val="4"/>
                <w:sz w:val="20"/>
                <w:szCs w:val="20"/>
              </w:rPr>
              <w:t xml:space="preserve"> </w:t>
            </w:r>
            <w:r>
              <w:rPr>
                <w:spacing w:val="9"/>
                <w:sz w:val="20"/>
                <w:szCs w:val="20"/>
              </w:rPr>
              <w:t>练等。发生突发环境事件时，企业</w:t>
            </w:r>
            <w:r>
              <w:rPr>
                <w:spacing w:val="4"/>
                <w:sz w:val="20"/>
                <w:szCs w:val="20"/>
              </w:rPr>
              <w:t xml:space="preserve"> </w:t>
            </w:r>
            <w:r>
              <w:rPr>
                <w:spacing w:val="9"/>
                <w:sz w:val="20"/>
                <w:szCs w:val="20"/>
              </w:rPr>
              <w:t>立即启动相应突发环境事件应急预</w:t>
            </w:r>
            <w:r>
              <w:rPr>
                <w:spacing w:val="4"/>
                <w:sz w:val="20"/>
                <w:szCs w:val="20"/>
              </w:rPr>
              <w:t xml:space="preserve"> </w:t>
            </w:r>
            <w:r>
              <w:rPr>
                <w:spacing w:val="9"/>
                <w:sz w:val="20"/>
                <w:szCs w:val="20"/>
              </w:rPr>
              <w:t>案，并按突发环境事件应急预案要</w:t>
            </w:r>
            <w:r>
              <w:rPr>
                <w:spacing w:val="4"/>
                <w:sz w:val="20"/>
                <w:szCs w:val="20"/>
              </w:rPr>
              <w:t xml:space="preserve"> </w:t>
            </w:r>
            <w:r>
              <w:rPr>
                <w:spacing w:val="8"/>
                <w:sz w:val="20"/>
                <w:szCs w:val="20"/>
              </w:rPr>
              <w:t>求向生态环境等部门报告。</w:t>
            </w:r>
          </w:p>
        </w:tc>
        <w:tc>
          <w:tcPr>
            <w:tcW w:w="982" w:type="dxa"/>
            <w:tcBorders>
              <w:left w:val="single" w:color="000000" w:sz="2" w:space="0"/>
            </w:tcBorders>
            <w:vAlign w:val="top"/>
          </w:tcPr>
          <w:p w14:paraId="143C5EC8">
            <w:pPr>
              <w:rPr>
                <w:rFonts w:ascii="Arial"/>
                <w:sz w:val="21"/>
              </w:rPr>
            </w:pPr>
          </w:p>
        </w:tc>
      </w:tr>
    </w:tbl>
    <w:p w14:paraId="647043BB">
      <w:pPr>
        <w:pStyle w:val="2"/>
        <w:spacing w:line="108" w:lineRule="exact"/>
        <w:rPr>
          <w:sz w:val="9"/>
        </w:rPr>
      </w:pPr>
    </w:p>
    <w:p w14:paraId="223EBB2F">
      <w:pPr>
        <w:spacing w:line="108" w:lineRule="exact"/>
        <w:rPr>
          <w:sz w:val="9"/>
          <w:szCs w:val="9"/>
        </w:rPr>
        <w:sectPr>
          <w:footerReference r:id="rId37"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637F025D">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792" w:hRule="atLeast"/>
        </w:trPr>
        <w:tc>
          <w:tcPr>
            <w:tcW w:w="494" w:type="dxa"/>
            <w:tcBorders>
              <w:right w:val="single" w:color="000000" w:sz="2" w:space="0"/>
            </w:tcBorders>
            <w:vAlign w:val="top"/>
          </w:tcPr>
          <w:p w14:paraId="7FC5153A">
            <w:pPr>
              <w:rPr>
                <w:rFonts w:ascii="Arial"/>
                <w:sz w:val="21"/>
              </w:rPr>
            </w:pPr>
          </w:p>
        </w:tc>
        <w:tc>
          <w:tcPr>
            <w:tcW w:w="8428" w:type="dxa"/>
            <w:tcBorders>
              <w:left w:val="single" w:color="000000" w:sz="2" w:space="0"/>
            </w:tcBorders>
            <w:vAlign w:val="top"/>
          </w:tcPr>
          <w:p w14:paraId="657455EC">
            <w:pPr>
              <w:spacing w:line="144" w:lineRule="auto"/>
              <w:rPr>
                <w:rFonts w:ascii="Arial"/>
                <w:sz w:val="2"/>
              </w:rPr>
            </w:pPr>
          </w:p>
          <w:tbl>
            <w:tblPr>
              <w:tblStyle w:val="5"/>
              <w:tblW w:w="8222" w:type="dxa"/>
              <w:tblInd w:w="9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3893"/>
              <w:gridCol w:w="3466"/>
              <w:gridCol w:w="863"/>
            </w:tblGrid>
            <w:tr w14:paraId="7287821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4145" w:hRule="atLeast"/>
              </w:trPr>
              <w:tc>
                <w:tcPr>
                  <w:tcW w:w="3893" w:type="dxa"/>
                  <w:tcBorders>
                    <w:bottom w:val="single" w:color="000000" w:sz="10" w:space="0"/>
                    <w:right w:val="single" w:color="000000" w:sz="2" w:space="0"/>
                  </w:tcBorders>
                  <w:vAlign w:val="top"/>
                </w:tcPr>
                <w:p w14:paraId="6753B02F">
                  <w:pPr>
                    <w:pStyle w:val="6"/>
                    <w:spacing w:before="58" w:line="228" w:lineRule="auto"/>
                    <w:ind w:left="114"/>
                    <w:rPr>
                      <w:sz w:val="20"/>
                      <w:szCs w:val="20"/>
                    </w:rPr>
                  </w:pPr>
                  <w:r>
                    <w:rPr>
                      <w:spacing w:val="7"/>
                      <w:sz w:val="20"/>
                      <w:szCs w:val="20"/>
                    </w:rPr>
                    <w:t>节和污染防治措施；</w:t>
                  </w:r>
                </w:p>
                <w:p w14:paraId="4838663A">
                  <w:pPr>
                    <w:pStyle w:val="6"/>
                    <w:spacing w:before="71" w:line="221" w:lineRule="auto"/>
                    <w:ind w:left="113"/>
                    <w:rPr>
                      <w:sz w:val="20"/>
                      <w:szCs w:val="20"/>
                    </w:rPr>
                  </w:pPr>
                  <w:r>
                    <w:rPr>
                      <w:rFonts w:ascii="Times New Roman" w:hAnsi="Times New Roman" w:eastAsia="Times New Roman" w:cs="Times New Roman"/>
                      <w:spacing w:val="7"/>
                      <w:sz w:val="20"/>
                      <w:szCs w:val="20"/>
                    </w:rPr>
                    <w:t>c)</w:t>
                  </w:r>
                  <w:r>
                    <w:rPr>
                      <w:spacing w:val="7"/>
                      <w:sz w:val="20"/>
                      <w:szCs w:val="20"/>
                    </w:rPr>
                    <w:t>环境污染物的排放限值：</w:t>
                  </w:r>
                </w:p>
                <w:p w14:paraId="255FB0A0">
                  <w:pPr>
                    <w:pStyle w:val="6"/>
                    <w:spacing w:before="80" w:line="269" w:lineRule="auto"/>
                    <w:ind w:left="113" w:right="304"/>
                    <w:rPr>
                      <w:sz w:val="20"/>
                      <w:szCs w:val="20"/>
                    </w:rPr>
                  </w:pPr>
                  <w:r>
                    <w:rPr>
                      <w:rFonts w:ascii="Times New Roman" w:hAnsi="Times New Roman" w:eastAsia="Times New Roman" w:cs="Times New Roman"/>
                      <w:spacing w:val="5"/>
                      <w:sz w:val="20"/>
                      <w:szCs w:val="20"/>
                    </w:rPr>
                    <w:t>d)</w:t>
                  </w:r>
                  <w:r>
                    <w:rPr>
                      <w:spacing w:val="5"/>
                      <w:sz w:val="20"/>
                      <w:szCs w:val="20"/>
                    </w:rPr>
                    <w:t>污染防治设备设施的运行维护要求；</w:t>
                  </w:r>
                  <w:r>
                    <w:rPr>
                      <w:spacing w:val="14"/>
                      <w:sz w:val="20"/>
                      <w:szCs w:val="20"/>
                    </w:rPr>
                    <w:t xml:space="preserve"> </w:t>
                  </w:r>
                  <w:r>
                    <w:rPr>
                      <w:rFonts w:ascii="Times New Roman" w:hAnsi="Times New Roman" w:eastAsia="Times New Roman" w:cs="Times New Roman"/>
                      <w:spacing w:val="8"/>
                      <w:sz w:val="20"/>
                      <w:szCs w:val="20"/>
                    </w:rPr>
                    <w:t>e)</w:t>
                  </w:r>
                  <w:r>
                    <w:rPr>
                      <w:spacing w:val="8"/>
                      <w:sz w:val="20"/>
                      <w:szCs w:val="20"/>
                    </w:rPr>
                    <w:t>发生突发环境事件的处理措施等。</w:t>
                  </w:r>
                </w:p>
                <w:p w14:paraId="714E09CA">
                  <w:pPr>
                    <w:pStyle w:val="6"/>
                    <w:spacing w:before="56" w:line="228" w:lineRule="auto"/>
                    <w:ind w:left="119"/>
                    <w:rPr>
                      <w:sz w:val="20"/>
                      <w:szCs w:val="20"/>
                    </w:rPr>
                  </w:pPr>
                  <w:r>
                    <w:rPr>
                      <w:rFonts w:ascii="Times New Roman" w:hAnsi="Times New Roman" w:eastAsia="Times New Roman" w:cs="Times New Roman"/>
                      <w:spacing w:val="7"/>
                      <w:sz w:val="20"/>
                      <w:szCs w:val="20"/>
                    </w:rPr>
                    <w:t>8.4</w:t>
                  </w:r>
                  <w:r>
                    <w:rPr>
                      <w:spacing w:val="7"/>
                      <w:sz w:val="20"/>
                      <w:szCs w:val="20"/>
                    </w:rPr>
                    <w:t>突发环境事件应急预案</w:t>
                  </w:r>
                </w:p>
                <w:p w14:paraId="435E7A15">
                  <w:pPr>
                    <w:pStyle w:val="6"/>
                    <w:spacing w:before="73" w:line="286" w:lineRule="auto"/>
                    <w:ind w:left="113" w:right="106"/>
                    <w:jc w:val="both"/>
                    <w:rPr>
                      <w:sz w:val="20"/>
                      <w:szCs w:val="20"/>
                    </w:rPr>
                  </w:pPr>
                  <w:r>
                    <w:rPr>
                      <w:spacing w:val="15"/>
                      <w:sz w:val="20"/>
                      <w:szCs w:val="20"/>
                    </w:rPr>
                    <w:t>报废机动车回收拆解企业应健全企业突</w:t>
                  </w:r>
                  <w:r>
                    <w:rPr>
                      <w:spacing w:val="14"/>
                      <w:sz w:val="20"/>
                      <w:szCs w:val="20"/>
                    </w:rPr>
                    <w:t xml:space="preserve"> </w:t>
                  </w:r>
                  <w:r>
                    <w:rPr>
                      <w:spacing w:val="3"/>
                      <w:sz w:val="20"/>
                      <w:szCs w:val="20"/>
                    </w:rPr>
                    <w:t>发环境事件应对工作机制，包括编制突发</w:t>
                  </w:r>
                  <w:r>
                    <w:rPr>
                      <w:spacing w:val="15"/>
                      <w:sz w:val="20"/>
                      <w:szCs w:val="20"/>
                    </w:rPr>
                    <w:t xml:space="preserve"> </w:t>
                  </w:r>
                  <w:r>
                    <w:rPr>
                      <w:spacing w:val="3"/>
                      <w:sz w:val="20"/>
                      <w:szCs w:val="20"/>
                    </w:rPr>
                    <w:t>环境事件应急预案、制定突发环境事件应</w:t>
                  </w:r>
                  <w:r>
                    <w:rPr>
                      <w:spacing w:val="15"/>
                      <w:sz w:val="20"/>
                      <w:szCs w:val="20"/>
                    </w:rPr>
                    <w:t xml:space="preserve"> </w:t>
                  </w:r>
                  <w:r>
                    <w:rPr>
                      <w:spacing w:val="3"/>
                      <w:sz w:val="20"/>
                      <w:szCs w:val="20"/>
                    </w:rPr>
                    <w:t>急预案培训演练制度、定期开展培训演练</w:t>
                  </w:r>
                  <w:r>
                    <w:rPr>
                      <w:spacing w:val="15"/>
                      <w:sz w:val="20"/>
                      <w:szCs w:val="20"/>
                    </w:rPr>
                    <w:t xml:space="preserve"> </w:t>
                  </w:r>
                  <w:r>
                    <w:rPr>
                      <w:spacing w:val="3"/>
                      <w:sz w:val="20"/>
                      <w:szCs w:val="20"/>
                    </w:rPr>
                    <w:t>等。发生突发环境事件时，企业立即启动</w:t>
                  </w:r>
                  <w:r>
                    <w:rPr>
                      <w:spacing w:val="15"/>
                      <w:sz w:val="20"/>
                      <w:szCs w:val="20"/>
                    </w:rPr>
                    <w:t xml:space="preserve"> </w:t>
                  </w:r>
                  <w:r>
                    <w:rPr>
                      <w:spacing w:val="3"/>
                      <w:sz w:val="20"/>
                      <w:szCs w:val="20"/>
                    </w:rPr>
                    <w:t>相应突发环境事件应急预案，并按突发环</w:t>
                  </w:r>
                  <w:r>
                    <w:rPr>
                      <w:spacing w:val="15"/>
                      <w:sz w:val="20"/>
                      <w:szCs w:val="20"/>
                    </w:rPr>
                    <w:t xml:space="preserve"> 境事件应急预案要求向生态环境等部门</w:t>
                  </w:r>
                  <w:r>
                    <w:rPr>
                      <w:spacing w:val="14"/>
                      <w:sz w:val="20"/>
                      <w:szCs w:val="20"/>
                    </w:rPr>
                    <w:t xml:space="preserve"> </w:t>
                  </w:r>
                  <w:r>
                    <w:rPr>
                      <w:spacing w:val="3"/>
                      <w:sz w:val="20"/>
                      <w:szCs w:val="20"/>
                    </w:rPr>
                    <w:t>报告。</w:t>
                  </w:r>
                </w:p>
              </w:tc>
              <w:tc>
                <w:tcPr>
                  <w:tcW w:w="3466" w:type="dxa"/>
                  <w:tcBorders>
                    <w:left w:val="single" w:color="000000" w:sz="2" w:space="0"/>
                    <w:bottom w:val="single" w:color="000000" w:sz="10" w:space="0"/>
                    <w:right w:val="single" w:color="000000" w:sz="2" w:space="0"/>
                  </w:tcBorders>
                  <w:vAlign w:val="top"/>
                </w:tcPr>
                <w:p w14:paraId="055B23B7">
                  <w:pPr>
                    <w:rPr>
                      <w:rFonts w:ascii="Arial"/>
                      <w:sz w:val="21"/>
                    </w:rPr>
                  </w:pPr>
                </w:p>
              </w:tc>
              <w:tc>
                <w:tcPr>
                  <w:tcW w:w="863" w:type="dxa"/>
                  <w:tcBorders>
                    <w:left w:val="single" w:color="000000" w:sz="2" w:space="0"/>
                    <w:bottom w:val="single" w:color="000000" w:sz="10" w:space="0"/>
                  </w:tcBorders>
                  <w:vAlign w:val="top"/>
                </w:tcPr>
                <w:p w14:paraId="48D15D73">
                  <w:pPr>
                    <w:rPr>
                      <w:rFonts w:ascii="Arial"/>
                      <w:sz w:val="21"/>
                    </w:rPr>
                  </w:pPr>
                </w:p>
              </w:tc>
            </w:tr>
          </w:tbl>
          <w:p w14:paraId="047BDB96">
            <w:pPr>
              <w:pStyle w:val="6"/>
              <w:spacing w:before="117" w:line="347" w:lineRule="auto"/>
              <w:ind w:left="125" w:firstLine="460"/>
            </w:pPr>
            <w:r>
              <w:rPr>
                <w:spacing w:val="-8"/>
              </w:rPr>
              <w:t>综上，本项目符合《报废机动车拆解企业污染控制技术规范》（</w:t>
            </w:r>
            <w:r>
              <w:rPr>
                <w:rFonts w:ascii="Times New Roman" w:hAnsi="Times New Roman" w:eastAsia="Times New Roman" w:cs="Times New Roman"/>
                <w:spacing w:val="-8"/>
              </w:rPr>
              <w:t>HJ3</w:t>
            </w:r>
            <w:r>
              <w:rPr>
                <w:rFonts w:ascii="Times New Roman" w:hAnsi="Times New Roman" w:eastAsia="Times New Roman" w:cs="Times New Roman"/>
                <w:spacing w:val="-9"/>
              </w:rPr>
              <w:t>48-2022</w:t>
            </w:r>
            <w:r>
              <w:rPr>
                <w:spacing w:val="-9"/>
              </w:rPr>
              <w:t>）</w:t>
            </w:r>
            <w:r>
              <w:t xml:space="preserve"> </w:t>
            </w:r>
            <w:r>
              <w:rPr>
                <w:spacing w:val="-6"/>
              </w:rPr>
              <w:t>中相关要求。</w:t>
            </w:r>
          </w:p>
          <w:p w14:paraId="72EAD28C">
            <w:pPr>
              <w:pStyle w:val="6"/>
              <w:spacing w:before="113" w:line="219" w:lineRule="auto"/>
              <w:ind w:left="589"/>
            </w:pPr>
            <w:r>
              <w:rPr>
                <w:rFonts w:ascii="Times New Roman" w:hAnsi="Times New Roman" w:eastAsia="Times New Roman" w:cs="Times New Roman"/>
                <w:b/>
                <w:bCs/>
                <w:spacing w:val="-4"/>
              </w:rPr>
              <w:t>12</w:t>
            </w:r>
            <w:r>
              <w:rPr>
                <w:rFonts w:ascii="Times New Roman" w:hAnsi="Times New Roman" w:eastAsia="Times New Roman" w:cs="Times New Roman"/>
                <w:b/>
                <w:bCs/>
                <w:spacing w:val="-34"/>
              </w:rPr>
              <w:t xml:space="preserve"> </w:t>
            </w:r>
            <w:r>
              <w:rPr>
                <w:b/>
                <w:bCs/>
                <w:spacing w:val="-4"/>
              </w:rPr>
              <w:t>、与《黑龙江省“十四五</w:t>
            </w:r>
            <w:r>
              <w:rPr>
                <w:spacing w:val="-86"/>
              </w:rPr>
              <w:t xml:space="preserve"> </w:t>
            </w:r>
            <w:r>
              <w:rPr>
                <w:b/>
                <w:bCs/>
                <w:spacing w:val="-4"/>
              </w:rPr>
              <w:t>”生态环境保护规</w:t>
            </w:r>
            <w:r>
              <w:rPr>
                <w:b/>
                <w:bCs/>
                <w:spacing w:val="-5"/>
              </w:rPr>
              <w:t>划》符合性分析</w:t>
            </w:r>
          </w:p>
          <w:p w14:paraId="7BA6FE50">
            <w:pPr>
              <w:pStyle w:val="6"/>
              <w:spacing w:before="214" w:line="363" w:lineRule="auto"/>
              <w:ind w:left="102" w:right="97" w:firstLine="479"/>
              <w:jc w:val="both"/>
            </w:pPr>
            <w:r>
              <w:rPr>
                <w:spacing w:val="3"/>
              </w:rPr>
              <w:t>根据《黑龙江省人民政府关于印发黑龙江省</w:t>
            </w:r>
            <w:r>
              <w:rPr>
                <w:rFonts w:ascii="Calibri" w:hAnsi="Calibri" w:eastAsia="Calibri" w:cs="Calibri"/>
                <w:spacing w:val="3"/>
              </w:rPr>
              <w:t>“</w:t>
            </w:r>
            <w:r>
              <w:rPr>
                <w:spacing w:val="3"/>
              </w:rPr>
              <w:t>十四五</w:t>
            </w:r>
            <w:r>
              <w:rPr>
                <w:rFonts w:ascii="Calibri" w:hAnsi="Calibri" w:eastAsia="Calibri" w:cs="Calibri"/>
                <w:spacing w:val="3"/>
              </w:rPr>
              <w:t>”</w:t>
            </w:r>
            <w:r>
              <w:rPr>
                <w:spacing w:val="3"/>
              </w:rPr>
              <w:t>生</w:t>
            </w:r>
            <w:r>
              <w:rPr>
                <w:spacing w:val="2"/>
              </w:rPr>
              <w:t>态环境保护规划的</w:t>
            </w:r>
            <w:r>
              <w:t xml:space="preserve"> </w:t>
            </w:r>
            <w:r>
              <w:rPr>
                <w:spacing w:val="-1"/>
              </w:rPr>
              <w:t>通知》（黑政规〔</w:t>
            </w:r>
            <w:r>
              <w:rPr>
                <w:rFonts w:ascii="Calibri" w:hAnsi="Calibri" w:eastAsia="Calibri" w:cs="Calibri"/>
                <w:spacing w:val="-1"/>
              </w:rPr>
              <w:t>2021</w:t>
            </w:r>
            <w:r>
              <w:rPr>
                <w:spacing w:val="-1"/>
              </w:rPr>
              <w:t>〕</w:t>
            </w:r>
            <w:r>
              <w:rPr>
                <w:rFonts w:ascii="Calibri" w:hAnsi="Calibri" w:eastAsia="Calibri" w:cs="Calibri"/>
                <w:spacing w:val="-1"/>
              </w:rPr>
              <w:t>18</w:t>
            </w:r>
            <w:r>
              <w:rPr>
                <w:rFonts w:ascii="Calibri" w:hAnsi="Calibri" w:eastAsia="Calibri" w:cs="Calibri"/>
                <w:spacing w:val="19"/>
                <w:w w:val="101"/>
              </w:rPr>
              <w:t xml:space="preserve"> </w:t>
            </w:r>
            <w:r>
              <w:rPr>
                <w:spacing w:val="-1"/>
              </w:rPr>
              <w:t>号</w:t>
            </w:r>
            <w:r>
              <w:rPr>
                <w:spacing w:val="4"/>
              </w:rPr>
              <w:t>），</w:t>
            </w:r>
            <w:r>
              <w:rPr>
                <w:spacing w:val="-1"/>
              </w:rPr>
              <w:t>本项目与生态环境保护规划符合</w:t>
            </w:r>
            <w:r>
              <w:rPr>
                <w:spacing w:val="-2"/>
              </w:rPr>
              <w:t>性分析见表</w:t>
            </w:r>
            <w:r>
              <w:t xml:space="preserve"> </w:t>
            </w:r>
            <w:r>
              <w:rPr>
                <w:rFonts w:ascii="Calibri" w:hAnsi="Calibri" w:eastAsia="Calibri" w:cs="Calibri"/>
                <w:spacing w:val="-2"/>
              </w:rPr>
              <w:t>1-13</w:t>
            </w:r>
            <w:r>
              <w:rPr>
                <w:spacing w:val="-2"/>
              </w:rPr>
              <w:t>。</w:t>
            </w:r>
          </w:p>
          <w:p w14:paraId="610FD543">
            <w:pPr>
              <w:pStyle w:val="6"/>
              <w:spacing w:before="83" w:line="219" w:lineRule="auto"/>
              <w:ind w:left="581"/>
            </w:pPr>
            <w:r>
              <w:rPr>
                <w:b/>
                <w:bCs/>
                <w:spacing w:val="-2"/>
              </w:rPr>
              <w:t>表</w:t>
            </w:r>
            <w:r>
              <w:rPr>
                <w:spacing w:val="-43"/>
              </w:rPr>
              <w:t xml:space="preserve"> </w:t>
            </w:r>
            <w:r>
              <w:rPr>
                <w:rFonts w:ascii="Calibri" w:hAnsi="Calibri" w:eastAsia="Calibri" w:cs="Calibri"/>
                <w:b/>
                <w:bCs/>
                <w:spacing w:val="-2"/>
              </w:rPr>
              <w:t xml:space="preserve">1-13    </w:t>
            </w:r>
            <w:r>
              <w:rPr>
                <w:b/>
                <w:bCs/>
                <w:spacing w:val="-2"/>
              </w:rPr>
              <w:t>与《黑龙江省“十四五</w:t>
            </w:r>
            <w:r>
              <w:rPr>
                <w:spacing w:val="-88"/>
              </w:rPr>
              <w:t xml:space="preserve"> </w:t>
            </w:r>
            <w:r>
              <w:rPr>
                <w:b/>
                <w:bCs/>
                <w:spacing w:val="-3"/>
              </w:rPr>
              <w:t>”生态环境保护规划》分析</w:t>
            </w:r>
          </w:p>
          <w:p w14:paraId="784F1940">
            <w:pPr>
              <w:spacing w:line="20" w:lineRule="exact"/>
            </w:pPr>
          </w:p>
          <w:tbl>
            <w:tblPr>
              <w:tblStyle w:val="5"/>
              <w:tblW w:w="8221"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490"/>
              <w:gridCol w:w="2677"/>
              <w:gridCol w:w="1054"/>
            </w:tblGrid>
            <w:tr w14:paraId="4097C5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0" w:hRule="atLeast"/>
              </w:trPr>
              <w:tc>
                <w:tcPr>
                  <w:tcW w:w="4490" w:type="dxa"/>
                  <w:tcBorders>
                    <w:top w:val="single" w:color="000000" w:sz="10" w:space="0"/>
                    <w:left w:val="nil"/>
                  </w:tcBorders>
                  <w:vAlign w:val="top"/>
                </w:tcPr>
                <w:p w14:paraId="0538EACB">
                  <w:pPr>
                    <w:pStyle w:val="6"/>
                    <w:spacing w:before="81" w:line="220" w:lineRule="auto"/>
                    <w:ind w:left="1620"/>
                    <w:rPr>
                      <w:sz w:val="20"/>
                      <w:szCs w:val="20"/>
                    </w:rPr>
                  </w:pPr>
                  <w:r>
                    <w:rPr>
                      <w:b/>
                      <w:bCs/>
                      <w:spacing w:val="7"/>
                      <w:sz w:val="20"/>
                      <w:szCs w:val="20"/>
                    </w:rPr>
                    <w:t>规划具体要求</w:t>
                  </w:r>
                </w:p>
              </w:tc>
              <w:tc>
                <w:tcPr>
                  <w:tcW w:w="2677" w:type="dxa"/>
                  <w:tcBorders>
                    <w:top w:val="single" w:color="000000" w:sz="10" w:space="0"/>
                  </w:tcBorders>
                  <w:vAlign w:val="top"/>
                </w:tcPr>
                <w:p w14:paraId="6CD8431D">
                  <w:pPr>
                    <w:pStyle w:val="6"/>
                    <w:spacing w:before="81" w:line="220" w:lineRule="auto"/>
                    <w:ind w:left="819"/>
                    <w:rPr>
                      <w:sz w:val="20"/>
                      <w:szCs w:val="20"/>
                    </w:rPr>
                  </w:pPr>
                  <w:r>
                    <w:rPr>
                      <w:b/>
                      <w:bCs/>
                      <w:spacing w:val="6"/>
                      <w:sz w:val="20"/>
                      <w:szCs w:val="20"/>
                    </w:rPr>
                    <w:t>本项目情况</w:t>
                  </w:r>
                </w:p>
              </w:tc>
              <w:tc>
                <w:tcPr>
                  <w:tcW w:w="1054" w:type="dxa"/>
                  <w:tcBorders>
                    <w:top w:val="single" w:color="000000" w:sz="10" w:space="0"/>
                    <w:right w:val="nil"/>
                  </w:tcBorders>
                  <w:vAlign w:val="top"/>
                </w:tcPr>
                <w:p w14:paraId="4E59B64D">
                  <w:pPr>
                    <w:pStyle w:val="6"/>
                    <w:spacing w:before="81" w:line="220" w:lineRule="auto"/>
                    <w:ind w:left="219"/>
                    <w:rPr>
                      <w:sz w:val="20"/>
                      <w:szCs w:val="20"/>
                    </w:rPr>
                  </w:pPr>
                  <w:r>
                    <w:rPr>
                      <w:b/>
                      <w:bCs/>
                      <w:spacing w:val="5"/>
                      <w:sz w:val="20"/>
                      <w:szCs w:val="20"/>
                    </w:rPr>
                    <w:t>符合性</w:t>
                  </w:r>
                </w:p>
              </w:tc>
            </w:tr>
            <w:tr w14:paraId="758AB7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5" w:hRule="atLeast"/>
              </w:trPr>
              <w:tc>
                <w:tcPr>
                  <w:tcW w:w="4490" w:type="dxa"/>
                  <w:tcBorders>
                    <w:left w:val="nil"/>
                  </w:tcBorders>
                  <w:vAlign w:val="top"/>
                </w:tcPr>
                <w:p w14:paraId="30C98695">
                  <w:pPr>
                    <w:pStyle w:val="6"/>
                    <w:spacing w:before="74" w:line="271" w:lineRule="auto"/>
                    <w:ind w:left="114" w:right="108"/>
                    <w:rPr>
                      <w:sz w:val="20"/>
                      <w:szCs w:val="20"/>
                    </w:rPr>
                  </w:pPr>
                  <w:r>
                    <w:rPr>
                      <w:spacing w:val="13"/>
                      <w:sz w:val="20"/>
                      <w:szCs w:val="20"/>
                    </w:rPr>
                    <w:t>提升行业资源能源利用效率。加强重点领域和</w:t>
                  </w:r>
                  <w:r>
                    <w:rPr>
                      <w:spacing w:val="2"/>
                      <w:sz w:val="20"/>
                      <w:szCs w:val="20"/>
                    </w:rPr>
                    <w:t xml:space="preserve"> </w:t>
                  </w:r>
                  <w:r>
                    <w:rPr>
                      <w:spacing w:val="13"/>
                      <w:sz w:val="20"/>
                      <w:szCs w:val="20"/>
                    </w:rPr>
                    <w:t>重点用能单位节能管理，实施能量系统优化、</w:t>
                  </w:r>
                  <w:r>
                    <w:rPr>
                      <w:spacing w:val="2"/>
                      <w:sz w:val="20"/>
                      <w:szCs w:val="20"/>
                    </w:rPr>
                    <w:t xml:space="preserve"> </w:t>
                  </w:r>
                  <w:r>
                    <w:rPr>
                      <w:spacing w:val="9"/>
                      <w:sz w:val="20"/>
                      <w:szCs w:val="20"/>
                    </w:rPr>
                    <w:t>节能技术改造等重点工程</w:t>
                  </w:r>
                </w:p>
              </w:tc>
              <w:tc>
                <w:tcPr>
                  <w:tcW w:w="2677" w:type="dxa"/>
                  <w:vAlign w:val="top"/>
                </w:tcPr>
                <w:p w14:paraId="0BF2EA9A">
                  <w:pPr>
                    <w:pStyle w:val="6"/>
                    <w:spacing w:before="74" w:line="271" w:lineRule="auto"/>
                    <w:ind w:left="115" w:right="104" w:hanging="2"/>
                    <w:rPr>
                      <w:sz w:val="20"/>
                      <w:szCs w:val="20"/>
                    </w:rPr>
                  </w:pPr>
                  <w:r>
                    <w:rPr>
                      <w:spacing w:val="9"/>
                      <w:sz w:val="20"/>
                      <w:szCs w:val="20"/>
                    </w:rPr>
                    <w:t>本项目为报废农机具拆解</w:t>
                  </w:r>
                  <w:r>
                    <w:rPr>
                      <w:sz w:val="20"/>
                      <w:szCs w:val="20"/>
                    </w:rPr>
                    <w:t xml:space="preserve">  </w:t>
                  </w:r>
                  <w:r>
                    <w:rPr>
                      <w:spacing w:val="4"/>
                      <w:sz w:val="20"/>
                      <w:szCs w:val="20"/>
                    </w:rPr>
                    <w:t>项目，项目采用电取暖，不</w:t>
                  </w:r>
                  <w:r>
                    <w:rPr>
                      <w:spacing w:val="2"/>
                      <w:sz w:val="20"/>
                      <w:szCs w:val="20"/>
                    </w:rPr>
                    <w:t xml:space="preserve"> </w:t>
                  </w:r>
                  <w:r>
                    <w:rPr>
                      <w:spacing w:val="7"/>
                      <w:sz w:val="20"/>
                      <w:szCs w:val="20"/>
                    </w:rPr>
                    <w:t>消耗煤，生产不需用水。</w:t>
                  </w:r>
                </w:p>
              </w:tc>
              <w:tc>
                <w:tcPr>
                  <w:tcW w:w="1054" w:type="dxa"/>
                  <w:tcBorders>
                    <w:right w:val="nil"/>
                  </w:tcBorders>
                  <w:vAlign w:val="top"/>
                </w:tcPr>
                <w:p w14:paraId="2FC6AAAE">
                  <w:pPr>
                    <w:spacing w:line="330" w:lineRule="auto"/>
                    <w:rPr>
                      <w:rFonts w:ascii="Arial"/>
                      <w:sz w:val="21"/>
                    </w:rPr>
                  </w:pPr>
                </w:p>
                <w:p w14:paraId="3A3B1390">
                  <w:pPr>
                    <w:pStyle w:val="6"/>
                    <w:spacing w:before="65" w:line="228" w:lineRule="auto"/>
                    <w:ind w:left="323"/>
                    <w:rPr>
                      <w:sz w:val="20"/>
                      <w:szCs w:val="20"/>
                    </w:rPr>
                  </w:pPr>
                  <w:r>
                    <w:rPr>
                      <w:spacing w:val="4"/>
                      <w:sz w:val="20"/>
                      <w:szCs w:val="20"/>
                    </w:rPr>
                    <w:t>相符</w:t>
                  </w:r>
                </w:p>
              </w:tc>
            </w:tr>
            <w:tr w14:paraId="2C1EE2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5" w:hRule="atLeast"/>
              </w:trPr>
              <w:tc>
                <w:tcPr>
                  <w:tcW w:w="4490" w:type="dxa"/>
                  <w:tcBorders>
                    <w:left w:val="nil"/>
                  </w:tcBorders>
                  <w:vAlign w:val="top"/>
                </w:tcPr>
                <w:p w14:paraId="54F865A8">
                  <w:pPr>
                    <w:pStyle w:val="6"/>
                    <w:spacing w:before="76" w:line="286" w:lineRule="auto"/>
                    <w:ind w:left="114" w:right="106"/>
                    <w:rPr>
                      <w:sz w:val="20"/>
                      <w:szCs w:val="20"/>
                    </w:rPr>
                  </w:pPr>
                  <w:r>
                    <w:rPr>
                      <w:spacing w:val="9"/>
                      <w:sz w:val="20"/>
                      <w:szCs w:val="20"/>
                    </w:rPr>
                    <w:t>开展</w:t>
                  </w:r>
                  <w:r>
                    <w:rPr>
                      <w:spacing w:val="-29"/>
                      <w:sz w:val="20"/>
                      <w:szCs w:val="20"/>
                    </w:rPr>
                    <w:t xml:space="preserve"> </w:t>
                  </w:r>
                  <w:r>
                    <w:rPr>
                      <w:rFonts w:ascii="Calibri" w:hAnsi="Calibri" w:eastAsia="Calibri" w:cs="Calibri"/>
                      <w:sz w:val="20"/>
                      <w:szCs w:val="20"/>
                    </w:rPr>
                    <w:t>VOCs</w:t>
                  </w:r>
                  <w:r>
                    <w:rPr>
                      <w:spacing w:val="9"/>
                      <w:sz w:val="20"/>
                      <w:szCs w:val="20"/>
                    </w:rPr>
                    <w:t>（挥发性有机物）全过程综合整治。</w:t>
                  </w:r>
                  <w:r>
                    <w:rPr>
                      <w:sz w:val="20"/>
                      <w:szCs w:val="20"/>
                    </w:rPr>
                    <w:t xml:space="preserve"> </w:t>
                  </w:r>
                  <w:r>
                    <w:rPr>
                      <w:spacing w:val="13"/>
                      <w:sz w:val="20"/>
                      <w:szCs w:val="20"/>
                    </w:rPr>
                    <w:t>持续开展石化、化工、包装印刷、工业涂装等</w:t>
                  </w:r>
                  <w:r>
                    <w:rPr>
                      <w:spacing w:val="2"/>
                      <w:sz w:val="20"/>
                      <w:szCs w:val="20"/>
                    </w:rPr>
                    <w:t xml:space="preserve"> </w:t>
                  </w:r>
                  <w:r>
                    <w:rPr>
                      <w:spacing w:val="10"/>
                      <w:sz w:val="20"/>
                      <w:szCs w:val="20"/>
                    </w:rPr>
                    <w:t>重点行业</w:t>
                  </w:r>
                  <w:r>
                    <w:rPr>
                      <w:spacing w:val="-29"/>
                      <w:sz w:val="20"/>
                      <w:szCs w:val="20"/>
                    </w:rPr>
                    <w:t xml:space="preserve"> </w:t>
                  </w:r>
                  <w:r>
                    <w:rPr>
                      <w:rFonts w:ascii="Calibri" w:hAnsi="Calibri" w:eastAsia="Calibri" w:cs="Calibri"/>
                      <w:sz w:val="20"/>
                      <w:szCs w:val="20"/>
                    </w:rPr>
                    <w:t>VOCs</w:t>
                  </w:r>
                  <w:r>
                    <w:rPr>
                      <w:rFonts w:ascii="Calibri" w:hAnsi="Calibri" w:eastAsia="Calibri" w:cs="Calibri"/>
                      <w:spacing w:val="15"/>
                      <w:w w:val="101"/>
                      <w:sz w:val="20"/>
                      <w:szCs w:val="20"/>
                    </w:rPr>
                    <w:t xml:space="preserve"> </w:t>
                  </w:r>
                  <w:r>
                    <w:rPr>
                      <w:spacing w:val="10"/>
                      <w:sz w:val="20"/>
                      <w:szCs w:val="20"/>
                    </w:rPr>
                    <w:t>全过程综合整治。提高</w:t>
                  </w:r>
                  <w:r>
                    <w:rPr>
                      <w:spacing w:val="-42"/>
                      <w:sz w:val="20"/>
                      <w:szCs w:val="20"/>
                    </w:rPr>
                    <w:t xml:space="preserve"> </w:t>
                  </w:r>
                  <w:r>
                    <w:rPr>
                      <w:rFonts w:ascii="Calibri" w:hAnsi="Calibri" w:eastAsia="Calibri" w:cs="Calibri"/>
                      <w:sz w:val="20"/>
                      <w:szCs w:val="20"/>
                    </w:rPr>
                    <w:t>VOCs</w:t>
                  </w:r>
                  <w:r>
                    <w:rPr>
                      <w:rFonts w:ascii="Calibri" w:hAnsi="Calibri" w:eastAsia="Calibri" w:cs="Calibri"/>
                      <w:spacing w:val="19"/>
                      <w:sz w:val="20"/>
                      <w:szCs w:val="20"/>
                    </w:rPr>
                    <w:t xml:space="preserve"> </w:t>
                  </w:r>
                  <w:r>
                    <w:rPr>
                      <w:spacing w:val="10"/>
                      <w:sz w:val="20"/>
                      <w:szCs w:val="20"/>
                    </w:rPr>
                    <w:t>含</w:t>
                  </w:r>
                  <w:r>
                    <w:rPr>
                      <w:sz w:val="20"/>
                      <w:szCs w:val="20"/>
                    </w:rPr>
                    <w:t xml:space="preserve"> </w:t>
                  </w:r>
                  <w:r>
                    <w:rPr>
                      <w:spacing w:val="10"/>
                      <w:sz w:val="20"/>
                      <w:szCs w:val="20"/>
                    </w:rPr>
                    <w:t>量低（无）</w:t>
                  </w:r>
                  <w:r>
                    <w:rPr>
                      <w:spacing w:val="-38"/>
                      <w:sz w:val="20"/>
                      <w:szCs w:val="20"/>
                    </w:rPr>
                    <w:t xml:space="preserve"> </w:t>
                  </w:r>
                  <w:r>
                    <w:rPr>
                      <w:spacing w:val="10"/>
                      <w:sz w:val="20"/>
                      <w:szCs w:val="20"/>
                    </w:rPr>
                    <w:t>的绿色原辅材料替代比例，开展原</w:t>
                  </w:r>
                  <w:r>
                    <w:rPr>
                      <w:sz w:val="20"/>
                      <w:szCs w:val="20"/>
                    </w:rPr>
                    <w:t xml:space="preserve"> </w:t>
                  </w:r>
                  <w:r>
                    <w:rPr>
                      <w:spacing w:val="6"/>
                      <w:sz w:val="20"/>
                      <w:szCs w:val="20"/>
                    </w:rPr>
                    <w:t>油、成品油、有机化学品等涉</w:t>
                  </w:r>
                  <w:r>
                    <w:rPr>
                      <w:spacing w:val="-37"/>
                      <w:sz w:val="20"/>
                      <w:szCs w:val="20"/>
                    </w:rPr>
                    <w:t xml:space="preserve"> </w:t>
                  </w:r>
                  <w:r>
                    <w:rPr>
                      <w:rFonts w:ascii="Calibri" w:hAnsi="Calibri" w:eastAsia="Calibri" w:cs="Calibri"/>
                      <w:sz w:val="20"/>
                      <w:szCs w:val="20"/>
                    </w:rPr>
                    <w:t>VOCs</w:t>
                  </w:r>
                  <w:r>
                    <w:rPr>
                      <w:rFonts w:ascii="Calibri" w:hAnsi="Calibri" w:eastAsia="Calibri" w:cs="Calibri"/>
                      <w:spacing w:val="18"/>
                      <w:sz w:val="20"/>
                      <w:szCs w:val="20"/>
                    </w:rPr>
                    <w:t xml:space="preserve"> </w:t>
                  </w:r>
                  <w:r>
                    <w:rPr>
                      <w:spacing w:val="6"/>
                      <w:sz w:val="20"/>
                      <w:szCs w:val="20"/>
                    </w:rPr>
                    <w:t>物质储罐排</w:t>
                  </w:r>
                  <w:r>
                    <w:rPr>
                      <w:sz w:val="20"/>
                      <w:szCs w:val="20"/>
                    </w:rPr>
                    <w:t xml:space="preserve"> </w:t>
                  </w:r>
                  <w:r>
                    <w:rPr>
                      <w:spacing w:val="13"/>
                      <w:sz w:val="20"/>
                      <w:szCs w:val="20"/>
                    </w:rPr>
                    <w:t>查，按规定逐步取消炼油、石化、煤化工、制</w:t>
                  </w:r>
                  <w:r>
                    <w:rPr>
                      <w:spacing w:val="2"/>
                      <w:sz w:val="20"/>
                      <w:szCs w:val="20"/>
                    </w:rPr>
                    <w:t xml:space="preserve"> </w:t>
                  </w:r>
                  <w:r>
                    <w:rPr>
                      <w:spacing w:val="13"/>
                      <w:sz w:val="20"/>
                      <w:szCs w:val="20"/>
                    </w:rPr>
                    <w:t>药、农药、化工、工业涂装、包装印刷等企业</w:t>
                  </w:r>
                  <w:r>
                    <w:rPr>
                      <w:spacing w:val="2"/>
                      <w:sz w:val="20"/>
                      <w:szCs w:val="20"/>
                    </w:rPr>
                    <w:t xml:space="preserve"> </w:t>
                  </w:r>
                  <w:r>
                    <w:rPr>
                      <w:spacing w:val="9"/>
                      <w:sz w:val="20"/>
                      <w:szCs w:val="20"/>
                    </w:rPr>
                    <w:t>非必要</w:t>
                  </w:r>
                  <w:r>
                    <w:rPr>
                      <w:spacing w:val="-36"/>
                      <w:sz w:val="20"/>
                      <w:szCs w:val="20"/>
                    </w:rPr>
                    <w:t xml:space="preserve"> </w:t>
                  </w:r>
                  <w:r>
                    <w:rPr>
                      <w:rFonts w:ascii="Calibri" w:hAnsi="Calibri" w:eastAsia="Calibri" w:cs="Calibri"/>
                      <w:sz w:val="20"/>
                      <w:szCs w:val="20"/>
                    </w:rPr>
                    <w:t>VOCs</w:t>
                  </w:r>
                  <w:r>
                    <w:rPr>
                      <w:rFonts w:ascii="Calibri" w:hAnsi="Calibri" w:eastAsia="Calibri" w:cs="Calibri"/>
                      <w:spacing w:val="15"/>
                      <w:sz w:val="20"/>
                      <w:szCs w:val="20"/>
                    </w:rPr>
                    <w:t xml:space="preserve"> </w:t>
                  </w:r>
                  <w:r>
                    <w:rPr>
                      <w:spacing w:val="9"/>
                      <w:sz w:val="20"/>
                      <w:szCs w:val="20"/>
                    </w:rPr>
                    <w:t>废气排放系统旁路</w:t>
                  </w:r>
                </w:p>
              </w:tc>
              <w:tc>
                <w:tcPr>
                  <w:tcW w:w="2677" w:type="dxa"/>
                  <w:vAlign w:val="top"/>
                </w:tcPr>
                <w:p w14:paraId="1BE6D206">
                  <w:pPr>
                    <w:spacing w:line="331" w:lineRule="auto"/>
                    <w:rPr>
                      <w:rFonts w:ascii="Arial"/>
                      <w:sz w:val="21"/>
                    </w:rPr>
                  </w:pPr>
                </w:p>
                <w:p w14:paraId="2DC91173">
                  <w:pPr>
                    <w:pStyle w:val="6"/>
                    <w:spacing w:before="65" w:line="292" w:lineRule="auto"/>
                    <w:ind w:left="111" w:right="106" w:firstLine="1"/>
                    <w:rPr>
                      <w:sz w:val="20"/>
                      <w:szCs w:val="20"/>
                    </w:rPr>
                  </w:pPr>
                  <w:r>
                    <w:rPr>
                      <w:spacing w:val="9"/>
                      <w:sz w:val="20"/>
                      <w:szCs w:val="20"/>
                    </w:rPr>
                    <w:t>本项目抽油液工段与危险</w:t>
                  </w:r>
                  <w:r>
                    <w:rPr>
                      <w:sz w:val="20"/>
                      <w:szCs w:val="20"/>
                    </w:rPr>
                    <w:t xml:space="preserve">  </w:t>
                  </w:r>
                  <w:r>
                    <w:rPr>
                      <w:spacing w:val="6"/>
                      <w:sz w:val="20"/>
                      <w:szCs w:val="20"/>
                    </w:rPr>
                    <w:t>废物贮存库共用</w:t>
                  </w:r>
                  <w:r>
                    <w:rPr>
                      <w:spacing w:val="-22"/>
                      <w:sz w:val="20"/>
                      <w:szCs w:val="20"/>
                    </w:rPr>
                    <w:t xml:space="preserve"> </w:t>
                  </w:r>
                  <w:r>
                    <w:rPr>
                      <w:rFonts w:ascii="Times New Roman" w:hAnsi="Times New Roman" w:eastAsia="Times New Roman" w:cs="Times New Roman"/>
                      <w:spacing w:val="6"/>
                      <w:sz w:val="20"/>
                      <w:szCs w:val="20"/>
                    </w:rPr>
                    <w:t xml:space="preserve">1 </w:t>
                  </w:r>
                  <w:r>
                    <w:rPr>
                      <w:spacing w:val="6"/>
                      <w:sz w:val="20"/>
                      <w:szCs w:val="20"/>
                    </w:rPr>
                    <w:t>套设置</w:t>
                  </w:r>
                  <w:r>
                    <w:rPr>
                      <w:sz w:val="20"/>
                      <w:szCs w:val="20"/>
                    </w:rPr>
                    <w:t xml:space="preserve">  </w:t>
                  </w:r>
                  <w:r>
                    <w:rPr>
                      <w:spacing w:val="6"/>
                      <w:sz w:val="20"/>
                      <w:szCs w:val="20"/>
                    </w:rPr>
                    <w:t>集气装置，收集的废气经</w:t>
                  </w:r>
                  <w:r>
                    <w:rPr>
                      <w:spacing w:val="-19"/>
                      <w:sz w:val="20"/>
                      <w:szCs w:val="20"/>
                    </w:rPr>
                    <w:t xml:space="preserve"> </w:t>
                  </w:r>
                  <w:r>
                    <w:rPr>
                      <w:rFonts w:ascii="Times New Roman" w:hAnsi="Times New Roman" w:eastAsia="Times New Roman" w:cs="Times New Roman"/>
                      <w:spacing w:val="6"/>
                      <w:sz w:val="20"/>
                      <w:szCs w:val="20"/>
                    </w:rPr>
                    <w:t>1</w:t>
                  </w:r>
                  <w:r>
                    <w:rPr>
                      <w:rFonts w:ascii="Times New Roman" w:hAnsi="Times New Roman" w:eastAsia="Times New Roman" w:cs="Times New Roman"/>
                      <w:sz w:val="20"/>
                      <w:szCs w:val="20"/>
                    </w:rPr>
                    <w:t xml:space="preserve"> </w:t>
                  </w:r>
                  <w:r>
                    <w:rPr>
                      <w:spacing w:val="9"/>
                      <w:sz w:val="20"/>
                      <w:szCs w:val="20"/>
                    </w:rPr>
                    <w:t>套活性碳吸附装置处理后</w:t>
                  </w:r>
                  <w:r>
                    <w:rPr>
                      <w:sz w:val="20"/>
                      <w:szCs w:val="20"/>
                    </w:rPr>
                    <w:t xml:space="preserve">  </w:t>
                  </w:r>
                  <w:r>
                    <w:rPr>
                      <w:spacing w:val="5"/>
                      <w:sz w:val="20"/>
                      <w:szCs w:val="20"/>
                    </w:rPr>
                    <w:t>由</w:t>
                  </w:r>
                  <w:r>
                    <w:rPr>
                      <w:spacing w:val="-16"/>
                      <w:sz w:val="20"/>
                      <w:szCs w:val="20"/>
                    </w:rPr>
                    <w:t xml:space="preserve"> </w:t>
                  </w:r>
                  <w:r>
                    <w:rPr>
                      <w:rFonts w:ascii="Times New Roman" w:hAnsi="Times New Roman" w:eastAsia="Times New Roman" w:cs="Times New Roman"/>
                      <w:spacing w:val="5"/>
                      <w:sz w:val="20"/>
                      <w:szCs w:val="20"/>
                    </w:rPr>
                    <w:t>15m</w:t>
                  </w:r>
                  <w:r>
                    <w:rPr>
                      <w:rFonts w:ascii="Times New Roman" w:hAnsi="Times New Roman" w:eastAsia="Times New Roman" w:cs="Times New Roman"/>
                      <w:spacing w:val="17"/>
                      <w:w w:val="101"/>
                      <w:sz w:val="20"/>
                      <w:szCs w:val="20"/>
                    </w:rPr>
                    <w:t xml:space="preserve"> </w:t>
                  </w:r>
                  <w:r>
                    <w:rPr>
                      <w:spacing w:val="5"/>
                      <w:sz w:val="20"/>
                      <w:szCs w:val="20"/>
                    </w:rPr>
                    <w:t>高排气筒排放（</w:t>
                  </w:r>
                  <w:r>
                    <w:rPr>
                      <w:rFonts w:ascii="Times New Roman" w:hAnsi="Times New Roman" w:eastAsia="Times New Roman" w:cs="Times New Roman"/>
                      <w:sz w:val="20"/>
                      <w:szCs w:val="20"/>
                    </w:rPr>
                    <w:t xml:space="preserve">DA </w:t>
                  </w:r>
                  <w:r>
                    <w:rPr>
                      <w:rFonts w:ascii="Times New Roman" w:hAnsi="Times New Roman" w:eastAsia="Times New Roman" w:cs="Times New Roman"/>
                      <w:spacing w:val="1"/>
                      <w:sz w:val="20"/>
                      <w:szCs w:val="20"/>
                    </w:rPr>
                    <w:t>002</w:t>
                  </w:r>
                  <w:r>
                    <w:rPr>
                      <w:spacing w:val="1"/>
                      <w:sz w:val="20"/>
                      <w:szCs w:val="20"/>
                    </w:rPr>
                    <w:t>）。</w:t>
                  </w:r>
                </w:p>
              </w:tc>
              <w:tc>
                <w:tcPr>
                  <w:tcW w:w="1054" w:type="dxa"/>
                  <w:tcBorders>
                    <w:right w:val="nil"/>
                  </w:tcBorders>
                  <w:vAlign w:val="top"/>
                </w:tcPr>
                <w:p w14:paraId="46E58B1C">
                  <w:pPr>
                    <w:spacing w:line="280" w:lineRule="auto"/>
                    <w:rPr>
                      <w:rFonts w:ascii="Arial"/>
                      <w:sz w:val="21"/>
                    </w:rPr>
                  </w:pPr>
                </w:p>
                <w:p w14:paraId="48525037">
                  <w:pPr>
                    <w:spacing w:line="281" w:lineRule="auto"/>
                    <w:rPr>
                      <w:rFonts w:ascii="Arial"/>
                      <w:sz w:val="21"/>
                    </w:rPr>
                  </w:pPr>
                </w:p>
                <w:p w14:paraId="4247C6A3">
                  <w:pPr>
                    <w:spacing w:line="281" w:lineRule="auto"/>
                    <w:rPr>
                      <w:rFonts w:ascii="Arial"/>
                      <w:sz w:val="21"/>
                    </w:rPr>
                  </w:pPr>
                </w:p>
                <w:p w14:paraId="59FB809B">
                  <w:pPr>
                    <w:spacing w:line="281" w:lineRule="auto"/>
                    <w:rPr>
                      <w:rFonts w:ascii="Arial"/>
                      <w:sz w:val="21"/>
                    </w:rPr>
                  </w:pPr>
                </w:p>
                <w:p w14:paraId="6828F1A1">
                  <w:pPr>
                    <w:pStyle w:val="6"/>
                    <w:spacing w:before="65" w:line="228" w:lineRule="auto"/>
                    <w:ind w:left="323"/>
                    <w:rPr>
                      <w:sz w:val="20"/>
                      <w:szCs w:val="20"/>
                    </w:rPr>
                  </w:pPr>
                  <w:r>
                    <w:rPr>
                      <w:spacing w:val="4"/>
                      <w:sz w:val="20"/>
                      <w:szCs w:val="20"/>
                    </w:rPr>
                    <w:t>相符</w:t>
                  </w:r>
                </w:p>
              </w:tc>
            </w:tr>
            <w:tr w14:paraId="673B90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38" w:hRule="atLeast"/>
              </w:trPr>
              <w:tc>
                <w:tcPr>
                  <w:tcW w:w="4490" w:type="dxa"/>
                  <w:tcBorders>
                    <w:left w:val="nil"/>
                    <w:bottom w:val="nil"/>
                  </w:tcBorders>
                  <w:vAlign w:val="top"/>
                </w:tcPr>
                <w:p w14:paraId="1A591C83">
                  <w:pPr>
                    <w:spacing w:line="323" w:lineRule="auto"/>
                    <w:rPr>
                      <w:rFonts w:ascii="Arial"/>
                      <w:sz w:val="21"/>
                    </w:rPr>
                  </w:pPr>
                </w:p>
                <w:p w14:paraId="2D32B764">
                  <w:pPr>
                    <w:spacing w:line="324" w:lineRule="auto"/>
                    <w:rPr>
                      <w:rFonts w:ascii="Arial"/>
                      <w:sz w:val="21"/>
                    </w:rPr>
                  </w:pPr>
                </w:p>
                <w:p w14:paraId="01B0BFC4">
                  <w:pPr>
                    <w:pStyle w:val="6"/>
                    <w:spacing w:before="65" w:line="286" w:lineRule="auto"/>
                    <w:ind w:left="113" w:right="35" w:firstLine="6"/>
                    <w:rPr>
                      <w:sz w:val="20"/>
                      <w:szCs w:val="20"/>
                    </w:rPr>
                  </w:pPr>
                  <w:r>
                    <w:rPr>
                      <w:spacing w:val="6"/>
                      <w:sz w:val="20"/>
                      <w:szCs w:val="20"/>
                    </w:rPr>
                    <w:t>强化土壤污染源系统防控。加强空间布局管控。</w:t>
                  </w:r>
                  <w:r>
                    <w:rPr>
                      <w:spacing w:val="5"/>
                      <w:sz w:val="20"/>
                      <w:szCs w:val="20"/>
                    </w:rPr>
                    <w:t xml:space="preserve"> </w:t>
                  </w:r>
                  <w:r>
                    <w:rPr>
                      <w:spacing w:val="14"/>
                      <w:sz w:val="20"/>
                      <w:szCs w:val="20"/>
                    </w:rPr>
                    <w:t>将土壤和地下水环境管理纳入国土空间规划，</w:t>
                  </w:r>
                  <w:r>
                    <w:rPr>
                      <w:sz w:val="20"/>
                      <w:szCs w:val="20"/>
                    </w:rPr>
                    <w:t xml:space="preserve"> </w:t>
                  </w:r>
                  <w:r>
                    <w:rPr>
                      <w:spacing w:val="9"/>
                      <w:sz w:val="20"/>
                      <w:szCs w:val="20"/>
                    </w:rPr>
                    <w:t>根据土壤污染的环境风险，合理确定土地用途</w:t>
                  </w:r>
                </w:p>
              </w:tc>
              <w:tc>
                <w:tcPr>
                  <w:tcW w:w="2677" w:type="dxa"/>
                  <w:tcBorders>
                    <w:bottom w:val="nil"/>
                  </w:tcBorders>
                  <w:vAlign w:val="top"/>
                </w:tcPr>
                <w:p w14:paraId="1A18A0D8">
                  <w:pPr>
                    <w:pStyle w:val="6"/>
                    <w:spacing w:before="74" w:line="284" w:lineRule="auto"/>
                    <w:ind w:left="111" w:right="104" w:firstLine="4"/>
                    <w:rPr>
                      <w:sz w:val="20"/>
                      <w:szCs w:val="20"/>
                    </w:rPr>
                  </w:pPr>
                  <w:r>
                    <w:rPr>
                      <w:spacing w:val="4"/>
                      <w:sz w:val="20"/>
                      <w:szCs w:val="20"/>
                    </w:rPr>
                    <w:t>项目采取分区防渗，加强拆</w:t>
                  </w:r>
                  <w:r>
                    <w:rPr>
                      <w:spacing w:val="2"/>
                      <w:sz w:val="20"/>
                      <w:szCs w:val="20"/>
                    </w:rPr>
                    <w:t xml:space="preserve"> </w:t>
                  </w:r>
                  <w:r>
                    <w:rPr>
                      <w:spacing w:val="9"/>
                      <w:sz w:val="20"/>
                      <w:szCs w:val="20"/>
                    </w:rPr>
                    <w:t>解车间和危险废物贮存库</w:t>
                  </w:r>
                  <w:r>
                    <w:rPr>
                      <w:sz w:val="20"/>
                      <w:szCs w:val="20"/>
                    </w:rPr>
                    <w:t xml:space="preserve">  </w:t>
                  </w:r>
                  <w:r>
                    <w:rPr>
                      <w:spacing w:val="4"/>
                      <w:sz w:val="20"/>
                      <w:szCs w:val="20"/>
                    </w:rPr>
                    <w:t>等场所的日常管理，严格防</w:t>
                  </w:r>
                  <w:r>
                    <w:rPr>
                      <w:spacing w:val="6"/>
                      <w:sz w:val="20"/>
                      <w:szCs w:val="20"/>
                    </w:rPr>
                    <w:t xml:space="preserve"> </w:t>
                  </w:r>
                  <w:r>
                    <w:rPr>
                      <w:spacing w:val="4"/>
                      <w:sz w:val="20"/>
                      <w:szCs w:val="20"/>
                    </w:rPr>
                    <w:t>渗防漏，避免对地下水环境</w:t>
                  </w:r>
                  <w:r>
                    <w:rPr>
                      <w:spacing w:val="3"/>
                      <w:sz w:val="20"/>
                      <w:szCs w:val="20"/>
                    </w:rPr>
                    <w:t xml:space="preserve"> </w:t>
                  </w:r>
                  <w:r>
                    <w:rPr>
                      <w:spacing w:val="4"/>
                      <w:sz w:val="20"/>
                      <w:szCs w:val="20"/>
                    </w:rPr>
                    <w:t>产生不利的影响。及时发现</w:t>
                  </w:r>
                  <w:r>
                    <w:rPr>
                      <w:spacing w:val="3"/>
                      <w:sz w:val="20"/>
                      <w:szCs w:val="20"/>
                    </w:rPr>
                    <w:t xml:space="preserve"> </w:t>
                  </w:r>
                  <w:r>
                    <w:rPr>
                      <w:spacing w:val="4"/>
                      <w:sz w:val="20"/>
                      <w:szCs w:val="20"/>
                    </w:rPr>
                    <w:t>地面渗漏状况，避免给土壤</w:t>
                  </w:r>
                  <w:r>
                    <w:rPr>
                      <w:spacing w:val="6"/>
                      <w:sz w:val="20"/>
                      <w:szCs w:val="20"/>
                    </w:rPr>
                    <w:t xml:space="preserve"> </w:t>
                  </w:r>
                  <w:r>
                    <w:rPr>
                      <w:spacing w:val="7"/>
                      <w:sz w:val="20"/>
                      <w:szCs w:val="20"/>
                    </w:rPr>
                    <w:t>和地下水造成污染。</w:t>
                  </w:r>
                </w:p>
              </w:tc>
              <w:tc>
                <w:tcPr>
                  <w:tcW w:w="1054" w:type="dxa"/>
                  <w:tcBorders>
                    <w:bottom w:val="nil"/>
                    <w:right w:val="nil"/>
                  </w:tcBorders>
                  <w:vAlign w:val="top"/>
                </w:tcPr>
                <w:p w14:paraId="437C14BB">
                  <w:pPr>
                    <w:spacing w:line="241" w:lineRule="auto"/>
                    <w:rPr>
                      <w:rFonts w:ascii="Arial"/>
                      <w:sz w:val="21"/>
                    </w:rPr>
                  </w:pPr>
                </w:p>
                <w:p w14:paraId="1EF8923E">
                  <w:pPr>
                    <w:spacing w:line="241" w:lineRule="auto"/>
                    <w:rPr>
                      <w:rFonts w:ascii="Arial"/>
                      <w:sz w:val="21"/>
                    </w:rPr>
                  </w:pPr>
                </w:p>
                <w:p w14:paraId="5423CC12">
                  <w:pPr>
                    <w:spacing w:line="241" w:lineRule="auto"/>
                    <w:rPr>
                      <w:rFonts w:ascii="Arial"/>
                      <w:sz w:val="21"/>
                    </w:rPr>
                  </w:pPr>
                </w:p>
                <w:p w14:paraId="466BC216">
                  <w:pPr>
                    <w:spacing w:line="241" w:lineRule="auto"/>
                    <w:rPr>
                      <w:rFonts w:ascii="Arial"/>
                      <w:sz w:val="21"/>
                    </w:rPr>
                  </w:pPr>
                </w:p>
                <w:p w14:paraId="13BD6410">
                  <w:pPr>
                    <w:pStyle w:val="6"/>
                    <w:spacing w:before="65" w:line="228" w:lineRule="auto"/>
                    <w:ind w:left="323"/>
                    <w:rPr>
                      <w:sz w:val="20"/>
                      <w:szCs w:val="20"/>
                    </w:rPr>
                  </w:pPr>
                  <w:r>
                    <w:rPr>
                      <w:spacing w:val="4"/>
                      <w:sz w:val="20"/>
                      <w:szCs w:val="20"/>
                    </w:rPr>
                    <w:t>相符</w:t>
                  </w:r>
                </w:p>
              </w:tc>
            </w:tr>
          </w:tbl>
          <w:p w14:paraId="64951BC1">
            <w:pPr>
              <w:spacing w:line="23" w:lineRule="exact"/>
              <w:rPr>
                <w:rFonts w:ascii="Arial"/>
                <w:sz w:val="2"/>
              </w:rPr>
            </w:pPr>
          </w:p>
        </w:tc>
      </w:tr>
    </w:tbl>
    <w:p w14:paraId="681AC6B1">
      <w:pPr>
        <w:pStyle w:val="2"/>
      </w:pPr>
    </w:p>
    <w:p w14:paraId="4EA78DB2">
      <w:pPr>
        <w:sectPr>
          <w:footerReference r:id="rId38"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4181"/>
        <w:gridCol w:w="404"/>
        <w:gridCol w:w="2670"/>
        <w:gridCol w:w="112"/>
        <w:gridCol w:w="1061"/>
      </w:tblGrid>
      <w:tr w14:paraId="3A2BCA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8" w:hRule="atLeast"/>
        </w:trPr>
        <w:tc>
          <w:tcPr>
            <w:tcW w:w="494" w:type="dxa"/>
            <w:vMerge w:val="restart"/>
            <w:tcBorders>
              <w:top w:val="single" w:color="000000" w:sz="10" w:space="0"/>
              <w:left w:val="single" w:color="000000" w:sz="10" w:space="0"/>
              <w:bottom w:val="nil"/>
            </w:tcBorders>
            <w:vAlign w:val="top"/>
          </w:tcPr>
          <w:p w14:paraId="46F60209">
            <w:pPr>
              <w:rPr>
                <w:rFonts w:ascii="Arial"/>
                <w:sz w:val="21"/>
              </w:rPr>
            </w:pPr>
          </w:p>
        </w:tc>
        <w:tc>
          <w:tcPr>
            <w:tcW w:w="4585" w:type="dxa"/>
            <w:gridSpan w:val="2"/>
            <w:tcBorders>
              <w:top w:val="single" w:color="000000" w:sz="10" w:space="0"/>
            </w:tcBorders>
            <w:vAlign w:val="top"/>
          </w:tcPr>
          <w:p w14:paraId="4F749125">
            <w:pPr>
              <w:pStyle w:val="6"/>
              <w:spacing w:before="90" w:line="270" w:lineRule="auto"/>
              <w:ind w:left="209" w:right="106"/>
              <w:jc w:val="both"/>
              <w:rPr>
                <w:sz w:val="20"/>
                <w:szCs w:val="20"/>
              </w:rPr>
            </w:pPr>
            <w:r>
              <w:rPr>
                <w:spacing w:val="13"/>
                <w:sz w:val="20"/>
                <w:szCs w:val="20"/>
              </w:rPr>
              <w:t>加强地下水生态环境保护和污染防治。加强污</w:t>
            </w:r>
            <w:r>
              <w:rPr>
                <w:spacing w:val="2"/>
                <w:sz w:val="20"/>
                <w:szCs w:val="20"/>
              </w:rPr>
              <w:t xml:space="preserve"> </w:t>
            </w:r>
            <w:r>
              <w:rPr>
                <w:spacing w:val="13"/>
                <w:sz w:val="20"/>
                <w:szCs w:val="20"/>
              </w:rPr>
              <w:t>染源头预防与风险管控。持续开展地下水环境</w:t>
            </w:r>
            <w:r>
              <w:rPr>
                <w:spacing w:val="2"/>
                <w:sz w:val="20"/>
                <w:szCs w:val="20"/>
              </w:rPr>
              <w:t xml:space="preserve"> </w:t>
            </w:r>
            <w:r>
              <w:rPr>
                <w:spacing w:val="8"/>
                <w:sz w:val="20"/>
                <w:szCs w:val="20"/>
              </w:rPr>
              <w:t>状况调查评估</w:t>
            </w:r>
          </w:p>
        </w:tc>
        <w:tc>
          <w:tcPr>
            <w:tcW w:w="2670" w:type="dxa"/>
            <w:tcBorders>
              <w:top w:val="single" w:color="000000" w:sz="10" w:space="0"/>
            </w:tcBorders>
            <w:vAlign w:val="top"/>
          </w:tcPr>
          <w:p w14:paraId="256743E9">
            <w:pPr>
              <w:pStyle w:val="6"/>
              <w:spacing w:before="90" w:line="270" w:lineRule="auto"/>
              <w:ind w:left="113" w:right="73"/>
              <w:jc w:val="both"/>
              <w:rPr>
                <w:sz w:val="20"/>
                <w:szCs w:val="20"/>
              </w:rPr>
            </w:pPr>
            <w:r>
              <w:rPr>
                <w:spacing w:val="6"/>
                <w:sz w:val="20"/>
                <w:szCs w:val="20"/>
              </w:rPr>
              <w:t>采取源头控制、分区防渗、</w:t>
            </w:r>
            <w:r>
              <w:rPr>
                <w:spacing w:val="5"/>
                <w:sz w:val="20"/>
                <w:szCs w:val="20"/>
              </w:rPr>
              <w:t xml:space="preserve"> </w:t>
            </w:r>
            <w:r>
              <w:rPr>
                <w:spacing w:val="4"/>
                <w:sz w:val="20"/>
                <w:szCs w:val="20"/>
              </w:rPr>
              <w:t xml:space="preserve">跟踪监测的措施，可有效避 </w:t>
            </w:r>
            <w:r>
              <w:rPr>
                <w:spacing w:val="8"/>
                <w:sz w:val="20"/>
                <w:szCs w:val="20"/>
              </w:rPr>
              <w:t>免对地下水造成影响。</w:t>
            </w:r>
          </w:p>
        </w:tc>
        <w:tc>
          <w:tcPr>
            <w:tcW w:w="1173" w:type="dxa"/>
            <w:gridSpan w:val="2"/>
            <w:tcBorders>
              <w:top w:val="single" w:color="000000" w:sz="10" w:space="0"/>
              <w:right w:val="single" w:color="000000" w:sz="10" w:space="0"/>
            </w:tcBorders>
            <w:vAlign w:val="top"/>
          </w:tcPr>
          <w:p w14:paraId="56A21519">
            <w:pPr>
              <w:spacing w:line="342" w:lineRule="auto"/>
              <w:rPr>
                <w:rFonts w:ascii="Arial"/>
                <w:sz w:val="21"/>
              </w:rPr>
            </w:pPr>
          </w:p>
          <w:p w14:paraId="004ACF6E">
            <w:pPr>
              <w:pStyle w:val="6"/>
              <w:spacing w:before="65" w:line="228" w:lineRule="auto"/>
              <w:ind w:left="331"/>
              <w:rPr>
                <w:sz w:val="20"/>
                <w:szCs w:val="20"/>
              </w:rPr>
            </w:pPr>
            <w:r>
              <w:rPr>
                <w:spacing w:val="4"/>
                <w:sz w:val="20"/>
                <w:szCs w:val="20"/>
              </w:rPr>
              <w:t>相符</w:t>
            </w:r>
          </w:p>
        </w:tc>
      </w:tr>
      <w:tr w14:paraId="741BB5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1" w:hRule="atLeast"/>
        </w:trPr>
        <w:tc>
          <w:tcPr>
            <w:tcW w:w="494" w:type="dxa"/>
            <w:vMerge w:val="continue"/>
            <w:tcBorders>
              <w:top w:val="nil"/>
              <w:left w:val="single" w:color="000000" w:sz="10" w:space="0"/>
              <w:bottom w:val="nil"/>
            </w:tcBorders>
            <w:vAlign w:val="top"/>
          </w:tcPr>
          <w:p w14:paraId="195EA070">
            <w:pPr>
              <w:rPr>
                <w:rFonts w:ascii="Arial"/>
                <w:sz w:val="21"/>
              </w:rPr>
            </w:pPr>
          </w:p>
        </w:tc>
        <w:tc>
          <w:tcPr>
            <w:tcW w:w="4585" w:type="dxa"/>
            <w:gridSpan w:val="2"/>
            <w:tcBorders>
              <w:bottom w:val="single" w:color="000000" w:sz="10" w:space="0"/>
            </w:tcBorders>
            <w:vAlign w:val="top"/>
          </w:tcPr>
          <w:p w14:paraId="341733A0">
            <w:pPr>
              <w:pStyle w:val="6"/>
              <w:spacing w:before="74" w:line="284" w:lineRule="auto"/>
              <w:ind w:left="208" w:right="106"/>
              <w:jc w:val="both"/>
              <w:rPr>
                <w:sz w:val="20"/>
                <w:szCs w:val="20"/>
              </w:rPr>
            </w:pPr>
            <w:r>
              <w:rPr>
                <w:spacing w:val="13"/>
                <w:sz w:val="20"/>
                <w:szCs w:val="20"/>
              </w:rPr>
              <w:t>加强危险废物监管和重金属污染环境防控。强</w:t>
            </w:r>
            <w:r>
              <w:rPr>
                <w:spacing w:val="2"/>
                <w:sz w:val="20"/>
                <w:szCs w:val="20"/>
              </w:rPr>
              <w:t xml:space="preserve"> </w:t>
            </w:r>
            <w:r>
              <w:rPr>
                <w:spacing w:val="13"/>
                <w:sz w:val="20"/>
                <w:szCs w:val="20"/>
              </w:rPr>
              <w:t>化危险废物环境监管。建立危险废物重点监管</w:t>
            </w:r>
            <w:r>
              <w:rPr>
                <w:spacing w:val="3"/>
                <w:sz w:val="20"/>
                <w:szCs w:val="20"/>
              </w:rPr>
              <w:t xml:space="preserve"> </w:t>
            </w:r>
            <w:r>
              <w:rPr>
                <w:spacing w:val="13"/>
                <w:sz w:val="20"/>
                <w:szCs w:val="20"/>
              </w:rPr>
              <w:t>清单，强化危险废物全过程监管。开展危险废</w:t>
            </w:r>
            <w:r>
              <w:rPr>
                <w:spacing w:val="3"/>
                <w:sz w:val="20"/>
                <w:szCs w:val="20"/>
              </w:rPr>
              <w:t xml:space="preserve"> </w:t>
            </w:r>
            <w:r>
              <w:rPr>
                <w:spacing w:val="13"/>
                <w:sz w:val="20"/>
                <w:szCs w:val="20"/>
              </w:rPr>
              <w:t>物规范化环境管理评估，提升危险废物环境监</w:t>
            </w:r>
            <w:r>
              <w:rPr>
                <w:spacing w:val="3"/>
                <w:sz w:val="20"/>
                <w:szCs w:val="20"/>
              </w:rPr>
              <w:t xml:space="preserve"> </w:t>
            </w:r>
            <w:r>
              <w:rPr>
                <w:spacing w:val="13"/>
                <w:sz w:val="20"/>
                <w:szCs w:val="20"/>
              </w:rPr>
              <w:t>管能力和信息化监管水平，依法严厉打击危险</w:t>
            </w:r>
            <w:r>
              <w:rPr>
                <w:spacing w:val="3"/>
                <w:sz w:val="20"/>
                <w:szCs w:val="20"/>
              </w:rPr>
              <w:t xml:space="preserve"> </w:t>
            </w:r>
            <w:r>
              <w:rPr>
                <w:spacing w:val="9"/>
                <w:sz w:val="20"/>
                <w:szCs w:val="20"/>
              </w:rPr>
              <w:t>废物环境违法犯罪行为</w:t>
            </w:r>
          </w:p>
        </w:tc>
        <w:tc>
          <w:tcPr>
            <w:tcW w:w="2670" w:type="dxa"/>
            <w:tcBorders>
              <w:bottom w:val="single" w:color="000000" w:sz="10" w:space="0"/>
            </w:tcBorders>
            <w:vAlign w:val="top"/>
          </w:tcPr>
          <w:p w14:paraId="36FB5493">
            <w:pPr>
              <w:spacing w:line="332" w:lineRule="auto"/>
              <w:rPr>
                <w:rFonts w:ascii="Arial"/>
                <w:sz w:val="21"/>
              </w:rPr>
            </w:pPr>
          </w:p>
          <w:p w14:paraId="7EA704F5">
            <w:pPr>
              <w:pStyle w:val="6"/>
              <w:spacing w:before="65" w:line="288" w:lineRule="auto"/>
              <w:ind w:left="115" w:right="95" w:firstLine="1"/>
              <w:jc w:val="both"/>
              <w:rPr>
                <w:sz w:val="20"/>
                <w:szCs w:val="20"/>
              </w:rPr>
            </w:pPr>
            <w:r>
              <w:rPr>
                <w:spacing w:val="18"/>
                <w:sz w:val="20"/>
                <w:szCs w:val="20"/>
              </w:rPr>
              <w:t>危险废物分类收集</w:t>
            </w:r>
            <w:r>
              <w:rPr>
                <w:spacing w:val="-50"/>
                <w:sz w:val="20"/>
                <w:szCs w:val="20"/>
              </w:rPr>
              <w:t xml:space="preserve"> </w:t>
            </w:r>
            <w:r>
              <w:rPr>
                <w:spacing w:val="18"/>
                <w:sz w:val="20"/>
                <w:szCs w:val="20"/>
              </w:rPr>
              <w:t>，按照</w:t>
            </w:r>
            <w:r>
              <w:rPr>
                <w:sz w:val="20"/>
                <w:szCs w:val="20"/>
              </w:rPr>
              <w:t xml:space="preserve"> </w:t>
            </w:r>
            <w:r>
              <w:rPr>
                <w:spacing w:val="22"/>
                <w:sz w:val="20"/>
                <w:szCs w:val="20"/>
              </w:rPr>
              <w:t>《危险废物贮存污染控制</w:t>
            </w:r>
            <w:r>
              <w:rPr>
                <w:spacing w:val="8"/>
                <w:sz w:val="20"/>
                <w:szCs w:val="20"/>
              </w:rPr>
              <w:t xml:space="preserve"> </w:t>
            </w:r>
            <w:r>
              <w:rPr>
                <w:spacing w:val="2"/>
                <w:sz w:val="20"/>
                <w:szCs w:val="20"/>
              </w:rPr>
              <w:t>标准》（</w:t>
            </w:r>
            <w:r>
              <w:rPr>
                <w:rFonts w:ascii="Calibri" w:hAnsi="Calibri" w:eastAsia="Calibri" w:cs="Calibri"/>
                <w:sz w:val="20"/>
                <w:szCs w:val="20"/>
              </w:rPr>
              <w:t>GB</w:t>
            </w:r>
            <w:r>
              <w:rPr>
                <w:rFonts w:ascii="Calibri" w:hAnsi="Calibri" w:eastAsia="Calibri" w:cs="Calibri"/>
                <w:spacing w:val="2"/>
                <w:sz w:val="20"/>
                <w:szCs w:val="20"/>
              </w:rPr>
              <w:t>18597-2023</w:t>
            </w:r>
            <w:r>
              <w:rPr>
                <w:spacing w:val="2"/>
                <w:sz w:val="20"/>
                <w:szCs w:val="20"/>
              </w:rPr>
              <w:t>）建</w:t>
            </w:r>
            <w:r>
              <w:rPr>
                <w:spacing w:val="12"/>
                <w:sz w:val="20"/>
                <w:szCs w:val="20"/>
              </w:rPr>
              <w:t xml:space="preserve"> </w:t>
            </w:r>
            <w:r>
              <w:rPr>
                <w:spacing w:val="8"/>
                <w:sz w:val="20"/>
                <w:szCs w:val="20"/>
              </w:rPr>
              <w:t>设防渗危险废物贮存库。</w:t>
            </w:r>
          </w:p>
        </w:tc>
        <w:tc>
          <w:tcPr>
            <w:tcW w:w="1173" w:type="dxa"/>
            <w:gridSpan w:val="2"/>
            <w:tcBorders>
              <w:bottom w:val="single" w:color="000000" w:sz="10" w:space="0"/>
              <w:right w:val="single" w:color="000000" w:sz="10" w:space="0"/>
            </w:tcBorders>
            <w:vAlign w:val="top"/>
          </w:tcPr>
          <w:p w14:paraId="203CB3AE">
            <w:pPr>
              <w:spacing w:line="269" w:lineRule="auto"/>
              <w:rPr>
                <w:rFonts w:ascii="Arial"/>
                <w:sz w:val="21"/>
              </w:rPr>
            </w:pPr>
          </w:p>
          <w:p w14:paraId="3EDA71A7">
            <w:pPr>
              <w:spacing w:line="270" w:lineRule="auto"/>
              <w:rPr>
                <w:rFonts w:ascii="Arial"/>
                <w:sz w:val="21"/>
              </w:rPr>
            </w:pPr>
          </w:p>
          <w:p w14:paraId="40C9A227">
            <w:pPr>
              <w:spacing w:line="270" w:lineRule="auto"/>
              <w:rPr>
                <w:rFonts w:ascii="Arial"/>
                <w:sz w:val="21"/>
              </w:rPr>
            </w:pPr>
          </w:p>
          <w:p w14:paraId="1CBFC01F">
            <w:pPr>
              <w:pStyle w:val="6"/>
              <w:spacing w:before="65" w:line="228" w:lineRule="auto"/>
              <w:ind w:left="331"/>
              <w:rPr>
                <w:sz w:val="20"/>
                <w:szCs w:val="20"/>
              </w:rPr>
            </w:pPr>
            <w:r>
              <w:rPr>
                <w:spacing w:val="4"/>
                <w:sz w:val="20"/>
                <w:szCs w:val="20"/>
              </w:rPr>
              <w:t>相符</w:t>
            </w:r>
          </w:p>
        </w:tc>
      </w:tr>
      <w:tr w14:paraId="4F9C50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02" w:hRule="atLeast"/>
        </w:trPr>
        <w:tc>
          <w:tcPr>
            <w:tcW w:w="494" w:type="dxa"/>
            <w:vMerge w:val="continue"/>
            <w:tcBorders>
              <w:top w:val="nil"/>
              <w:left w:val="single" w:color="000000" w:sz="10" w:space="0"/>
              <w:bottom w:val="nil"/>
            </w:tcBorders>
            <w:vAlign w:val="top"/>
          </w:tcPr>
          <w:p w14:paraId="6B1BE56B">
            <w:pPr>
              <w:rPr>
                <w:rFonts w:ascii="Arial"/>
                <w:sz w:val="21"/>
              </w:rPr>
            </w:pPr>
          </w:p>
        </w:tc>
        <w:tc>
          <w:tcPr>
            <w:tcW w:w="8428" w:type="dxa"/>
            <w:gridSpan w:val="5"/>
            <w:tcBorders>
              <w:top w:val="single" w:color="000000" w:sz="10" w:space="0"/>
              <w:bottom w:val="single" w:color="000000" w:sz="10" w:space="0"/>
              <w:right w:val="single" w:color="000000" w:sz="10" w:space="0"/>
            </w:tcBorders>
            <w:vAlign w:val="top"/>
          </w:tcPr>
          <w:p w14:paraId="1B99D2CA">
            <w:pPr>
              <w:pStyle w:val="6"/>
              <w:spacing w:before="189" w:line="371" w:lineRule="auto"/>
              <w:ind w:left="104" w:right="118" w:firstLine="484"/>
            </w:pPr>
            <w:r>
              <w:rPr>
                <w:rFonts w:ascii="Times New Roman" w:hAnsi="Times New Roman" w:eastAsia="Times New Roman" w:cs="Times New Roman"/>
                <w:b/>
                <w:bCs/>
                <w:spacing w:val="-2"/>
              </w:rPr>
              <w:t>13</w:t>
            </w:r>
            <w:r>
              <w:rPr>
                <w:rFonts w:ascii="Times New Roman" w:hAnsi="Times New Roman" w:eastAsia="Times New Roman" w:cs="Times New Roman"/>
                <w:b/>
                <w:bCs/>
                <w:spacing w:val="-31"/>
              </w:rPr>
              <w:t xml:space="preserve"> </w:t>
            </w:r>
            <w:r>
              <w:rPr>
                <w:b/>
                <w:bCs/>
                <w:spacing w:val="-2"/>
              </w:rPr>
              <w:t>、与《大庆市“十四五</w:t>
            </w:r>
            <w:r>
              <w:rPr>
                <w:spacing w:val="-84"/>
              </w:rPr>
              <w:t xml:space="preserve"> </w:t>
            </w:r>
            <w:r>
              <w:rPr>
                <w:b/>
                <w:bCs/>
                <w:spacing w:val="-2"/>
              </w:rPr>
              <w:t>”生态环境保护规划》（庆政规〔</w:t>
            </w:r>
            <w:r>
              <w:rPr>
                <w:rFonts w:ascii="Calibri" w:hAnsi="Calibri" w:eastAsia="Calibri" w:cs="Calibri"/>
                <w:b/>
                <w:bCs/>
                <w:spacing w:val="-2"/>
              </w:rPr>
              <w:t>20</w:t>
            </w:r>
            <w:r>
              <w:rPr>
                <w:rFonts w:ascii="Calibri" w:hAnsi="Calibri" w:eastAsia="Calibri" w:cs="Calibri"/>
                <w:b/>
                <w:bCs/>
                <w:spacing w:val="-3"/>
              </w:rPr>
              <w:t>22</w:t>
            </w:r>
            <w:r>
              <w:rPr>
                <w:b/>
                <w:bCs/>
                <w:spacing w:val="-3"/>
              </w:rPr>
              <w:t>〕</w:t>
            </w:r>
            <w:r>
              <w:rPr>
                <w:rFonts w:ascii="Calibri" w:hAnsi="Calibri" w:eastAsia="Calibri" w:cs="Calibri"/>
                <w:b/>
                <w:bCs/>
                <w:spacing w:val="-3"/>
              </w:rPr>
              <w:t>7</w:t>
            </w:r>
            <w:r>
              <w:rPr>
                <w:rFonts w:ascii="Calibri" w:hAnsi="Calibri" w:eastAsia="Calibri" w:cs="Calibri"/>
                <w:b/>
                <w:bCs/>
                <w:spacing w:val="22"/>
                <w:w w:val="101"/>
              </w:rPr>
              <w:t xml:space="preserve"> </w:t>
            </w:r>
            <w:r>
              <w:rPr>
                <w:b/>
                <w:bCs/>
                <w:spacing w:val="-3"/>
              </w:rPr>
              <w:t>号）</w:t>
            </w:r>
            <w:r>
              <w:t xml:space="preserve"> </w:t>
            </w:r>
            <w:r>
              <w:rPr>
                <w:b/>
                <w:bCs/>
                <w:spacing w:val="-4"/>
              </w:rPr>
              <w:t>符合性分析</w:t>
            </w:r>
          </w:p>
          <w:p w14:paraId="10ECAAFA">
            <w:pPr>
              <w:pStyle w:val="6"/>
              <w:spacing w:before="37" w:line="219" w:lineRule="auto"/>
              <w:ind w:left="581"/>
            </w:pPr>
            <w:r>
              <w:rPr>
                <w:b/>
                <w:bCs/>
                <w:spacing w:val="-2"/>
              </w:rPr>
              <w:t>表</w:t>
            </w:r>
            <w:r>
              <w:rPr>
                <w:spacing w:val="-41"/>
              </w:rPr>
              <w:t xml:space="preserve"> </w:t>
            </w:r>
            <w:r>
              <w:rPr>
                <w:rFonts w:ascii="Calibri" w:hAnsi="Calibri" w:eastAsia="Calibri" w:cs="Calibri"/>
                <w:b/>
                <w:bCs/>
                <w:spacing w:val="-2"/>
              </w:rPr>
              <w:t xml:space="preserve">1-14      </w:t>
            </w:r>
            <w:r>
              <w:rPr>
                <w:b/>
                <w:bCs/>
                <w:spacing w:val="-2"/>
              </w:rPr>
              <w:t>与《大庆市“十四五</w:t>
            </w:r>
            <w:r>
              <w:rPr>
                <w:spacing w:val="-86"/>
              </w:rPr>
              <w:t xml:space="preserve"> </w:t>
            </w:r>
            <w:r>
              <w:rPr>
                <w:b/>
                <w:bCs/>
                <w:spacing w:val="-2"/>
              </w:rPr>
              <w:t>”生态环境保护规划》分析</w:t>
            </w:r>
          </w:p>
        </w:tc>
      </w:tr>
      <w:tr w14:paraId="1F26FF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494" w:type="dxa"/>
            <w:vMerge w:val="continue"/>
            <w:tcBorders>
              <w:top w:val="nil"/>
              <w:left w:val="single" w:color="000000" w:sz="10" w:space="0"/>
              <w:bottom w:val="nil"/>
            </w:tcBorders>
            <w:vAlign w:val="top"/>
          </w:tcPr>
          <w:p w14:paraId="06CEDB40">
            <w:pPr>
              <w:rPr>
                <w:rFonts w:ascii="Arial"/>
                <w:sz w:val="21"/>
              </w:rPr>
            </w:pPr>
          </w:p>
        </w:tc>
        <w:tc>
          <w:tcPr>
            <w:tcW w:w="4181" w:type="dxa"/>
            <w:tcBorders>
              <w:top w:val="single" w:color="000000" w:sz="10" w:space="0"/>
            </w:tcBorders>
            <w:vAlign w:val="top"/>
          </w:tcPr>
          <w:p w14:paraId="33F96941">
            <w:pPr>
              <w:pStyle w:val="6"/>
              <w:spacing w:before="75" w:line="212" w:lineRule="auto"/>
              <w:ind w:left="1513"/>
              <w:rPr>
                <w:sz w:val="20"/>
                <w:szCs w:val="20"/>
              </w:rPr>
            </w:pPr>
            <w:r>
              <w:rPr>
                <w:b/>
                <w:bCs/>
                <w:spacing w:val="6"/>
                <w:sz w:val="20"/>
                <w:szCs w:val="20"/>
              </w:rPr>
              <w:t>规划具体要求</w:t>
            </w:r>
          </w:p>
        </w:tc>
        <w:tc>
          <w:tcPr>
            <w:tcW w:w="3186" w:type="dxa"/>
            <w:gridSpan w:val="3"/>
            <w:tcBorders>
              <w:top w:val="single" w:color="000000" w:sz="10" w:space="0"/>
            </w:tcBorders>
            <w:vAlign w:val="top"/>
          </w:tcPr>
          <w:p w14:paraId="538D36EC">
            <w:pPr>
              <w:pStyle w:val="6"/>
              <w:spacing w:before="75" w:line="212" w:lineRule="auto"/>
              <w:ind w:left="1076"/>
              <w:rPr>
                <w:sz w:val="20"/>
                <w:szCs w:val="20"/>
              </w:rPr>
            </w:pPr>
            <w:r>
              <w:rPr>
                <w:b/>
                <w:bCs/>
                <w:spacing w:val="6"/>
                <w:sz w:val="20"/>
                <w:szCs w:val="20"/>
              </w:rPr>
              <w:t>本项目情况</w:t>
            </w:r>
          </w:p>
        </w:tc>
        <w:tc>
          <w:tcPr>
            <w:tcW w:w="1061" w:type="dxa"/>
            <w:tcBorders>
              <w:top w:val="single" w:color="000000" w:sz="10" w:space="0"/>
              <w:right w:val="single" w:color="000000" w:sz="10" w:space="0"/>
            </w:tcBorders>
            <w:vAlign w:val="top"/>
          </w:tcPr>
          <w:p w14:paraId="47F9678D">
            <w:pPr>
              <w:pStyle w:val="6"/>
              <w:spacing w:before="75" w:line="212" w:lineRule="auto"/>
              <w:ind w:left="171"/>
              <w:rPr>
                <w:sz w:val="20"/>
                <w:szCs w:val="20"/>
              </w:rPr>
            </w:pPr>
            <w:r>
              <w:rPr>
                <w:b/>
                <w:bCs/>
                <w:spacing w:val="5"/>
                <w:sz w:val="20"/>
                <w:szCs w:val="20"/>
              </w:rPr>
              <w:t>符合性</w:t>
            </w:r>
          </w:p>
        </w:tc>
      </w:tr>
      <w:tr w14:paraId="42D278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8" w:hRule="atLeast"/>
        </w:trPr>
        <w:tc>
          <w:tcPr>
            <w:tcW w:w="494" w:type="dxa"/>
            <w:vMerge w:val="continue"/>
            <w:tcBorders>
              <w:top w:val="nil"/>
              <w:left w:val="single" w:color="000000" w:sz="10" w:space="0"/>
              <w:bottom w:val="nil"/>
            </w:tcBorders>
            <w:vAlign w:val="top"/>
          </w:tcPr>
          <w:p w14:paraId="20BE9BE9">
            <w:pPr>
              <w:rPr>
                <w:rFonts w:ascii="Arial"/>
                <w:sz w:val="21"/>
              </w:rPr>
            </w:pPr>
          </w:p>
        </w:tc>
        <w:tc>
          <w:tcPr>
            <w:tcW w:w="4181" w:type="dxa"/>
            <w:vAlign w:val="top"/>
          </w:tcPr>
          <w:p w14:paraId="72490AB5">
            <w:pPr>
              <w:pStyle w:val="6"/>
              <w:spacing w:before="87" w:line="287" w:lineRule="auto"/>
              <w:ind w:left="208" w:right="105" w:firstLine="1"/>
              <w:rPr>
                <w:sz w:val="20"/>
                <w:szCs w:val="20"/>
              </w:rPr>
            </w:pPr>
            <w:r>
              <w:rPr>
                <w:spacing w:val="21"/>
                <w:sz w:val="20"/>
                <w:szCs w:val="20"/>
              </w:rPr>
              <w:t>开展</w:t>
            </w:r>
            <w:r>
              <w:rPr>
                <w:rFonts w:ascii="Times New Roman" w:hAnsi="Times New Roman" w:eastAsia="Times New Roman" w:cs="Times New Roman"/>
                <w:sz w:val="20"/>
                <w:szCs w:val="20"/>
              </w:rPr>
              <w:t>VOCs</w:t>
            </w:r>
            <w:r>
              <w:rPr>
                <w:spacing w:val="21"/>
                <w:sz w:val="20"/>
                <w:szCs w:val="20"/>
              </w:rPr>
              <w:t>全过程综合整治</w:t>
            </w:r>
            <w:r>
              <w:rPr>
                <w:spacing w:val="-57"/>
                <w:sz w:val="20"/>
                <w:szCs w:val="20"/>
              </w:rPr>
              <w:t xml:space="preserve"> </w:t>
            </w:r>
            <w:r>
              <w:rPr>
                <w:spacing w:val="21"/>
                <w:sz w:val="20"/>
                <w:szCs w:val="20"/>
              </w:rPr>
              <w:t>。持续开展石</w:t>
            </w:r>
            <w:r>
              <w:rPr>
                <w:sz w:val="20"/>
                <w:szCs w:val="20"/>
              </w:rPr>
              <w:t xml:space="preserve"> </w:t>
            </w:r>
            <w:r>
              <w:rPr>
                <w:spacing w:val="14"/>
                <w:sz w:val="20"/>
                <w:szCs w:val="20"/>
              </w:rPr>
              <w:t>化、化工、包装印刷、工业涂装等重点行</w:t>
            </w:r>
            <w:r>
              <w:rPr>
                <w:spacing w:val="8"/>
                <w:sz w:val="20"/>
                <w:szCs w:val="20"/>
              </w:rPr>
              <w:t xml:space="preserve"> </w:t>
            </w:r>
            <w:r>
              <w:rPr>
                <w:spacing w:val="20"/>
                <w:sz w:val="20"/>
                <w:szCs w:val="20"/>
              </w:rPr>
              <w:t>业</w:t>
            </w:r>
            <w:r>
              <w:rPr>
                <w:rFonts w:ascii="Times New Roman" w:hAnsi="Times New Roman" w:eastAsia="Times New Roman" w:cs="Times New Roman"/>
                <w:sz w:val="20"/>
                <w:szCs w:val="20"/>
              </w:rPr>
              <w:t>VOCs</w:t>
            </w:r>
            <w:r>
              <w:rPr>
                <w:spacing w:val="20"/>
                <w:sz w:val="20"/>
                <w:szCs w:val="20"/>
              </w:rPr>
              <w:t>全过程综合整治。提高</w:t>
            </w:r>
            <w:r>
              <w:rPr>
                <w:rFonts w:ascii="Times New Roman" w:hAnsi="Times New Roman" w:eastAsia="Times New Roman" w:cs="Times New Roman"/>
                <w:sz w:val="20"/>
                <w:szCs w:val="20"/>
              </w:rPr>
              <w:t>VOCs</w:t>
            </w:r>
            <w:r>
              <w:rPr>
                <w:spacing w:val="20"/>
                <w:sz w:val="20"/>
                <w:szCs w:val="20"/>
              </w:rPr>
              <w:t>含量</w:t>
            </w:r>
            <w:r>
              <w:rPr>
                <w:sz w:val="20"/>
                <w:szCs w:val="20"/>
              </w:rPr>
              <w:t xml:space="preserve"> </w:t>
            </w:r>
            <w:r>
              <w:rPr>
                <w:spacing w:val="11"/>
                <w:sz w:val="20"/>
                <w:szCs w:val="20"/>
              </w:rPr>
              <w:t>低（无）</w:t>
            </w:r>
            <w:r>
              <w:rPr>
                <w:spacing w:val="-38"/>
                <w:sz w:val="20"/>
                <w:szCs w:val="20"/>
              </w:rPr>
              <w:t xml:space="preserve"> </w:t>
            </w:r>
            <w:r>
              <w:rPr>
                <w:spacing w:val="11"/>
                <w:sz w:val="20"/>
                <w:szCs w:val="20"/>
              </w:rPr>
              <w:t>的绿色原辅材料替代比例，开展</w:t>
            </w:r>
            <w:r>
              <w:rPr>
                <w:sz w:val="20"/>
                <w:szCs w:val="20"/>
              </w:rPr>
              <w:t xml:space="preserve"> </w:t>
            </w:r>
            <w:r>
              <w:rPr>
                <w:spacing w:val="10"/>
                <w:sz w:val="20"/>
                <w:szCs w:val="20"/>
              </w:rPr>
              <w:t>原油、成品油、有机化学品等涉</w:t>
            </w:r>
            <w:r>
              <w:rPr>
                <w:rFonts w:ascii="Times New Roman" w:hAnsi="Times New Roman" w:eastAsia="Times New Roman" w:cs="Times New Roman"/>
                <w:sz w:val="20"/>
                <w:szCs w:val="20"/>
              </w:rPr>
              <w:t>VOCs</w:t>
            </w:r>
            <w:r>
              <w:rPr>
                <w:spacing w:val="10"/>
                <w:sz w:val="20"/>
                <w:szCs w:val="20"/>
              </w:rPr>
              <w:t>物质</w:t>
            </w:r>
            <w:r>
              <w:rPr>
                <w:sz w:val="20"/>
                <w:szCs w:val="20"/>
              </w:rPr>
              <w:t xml:space="preserve"> </w:t>
            </w:r>
            <w:r>
              <w:rPr>
                <w:spacing w:val="14"/>
                <w:sz w:val="20"/>
                <w:szCs w:val="20"/>
              </w:rPr>
              <w:t>储罐排查，按规定逐步取消炼油、石化、</w:t>
            </w:r>
            <w:r>
              <w:rPr>
                <w:spacing w:val="8"/>
                <w:sz w:val="20"/>
                <w:szCs w:val="20"/>
              </w:rPr>
              <w:t xml:space="preserve"> </w:t>
            </w:r>
            <w:r>
              <w:rPr>
                <w:spacing w:val="14"/>
                <w:sz w:val="20"/>
                <w:szCs w:val="20"/>
              </w:rPr>
              <w:t>煤化工、制药、农药、化工、工业涂装、</w:t>
            </w:r>
            <w:r>
              <w:rPr>
                <w:spacing w:val="8"/>
                <w:sz w:val="20"/>
                <w:szCs w:val="20"/>
              </w:rPr>
              <w:t xml:space="preserve"> </w:t>
            </w:r>
            <w:r>
              <w:rPr>
                <w:spacing w:val="24"/>
                <w:sz w:val="20"/>
                <w:szCs w:val="20"/>
              </w:rPr>
              <w:t>包装印刷等企业非必要</w:t>
            </w:r>
            <w:r>
              <w:rPr>
                <w:rFonts w:ascii="Times New Roman" w:hAnsi="Times New Roman" w:eastAsia="Times New Roman" w:cs="Times New Roman"/>
                <w:sz w:val="20"/>
                <w:szCs w:val="20"/>
              </w:rPr>
              <w:t>VOCs</w:t>
            </w:r>
            <w:r>
              <w:rPr>
                <w:spacing w:val="24"/>
                <w:sz w:val="20"/>
                <w:szCs w:val="20"/>
              </w:rPr>
              <w:t>废气排放系</w:t>
            </w:r>
            <w:r>
              <w:rPr>
                <w:sz w:val="20"/>
                <w:szCs w:val="20"/>
              </w:rPr>
              <w:t xml:space="preserve"> </w:t>
            </w:r>
            <w:r>
              <w:rPr>
                <w:spacing w:val="14"/>
                <w:sz w:val="20"/>
                <w:szCs w:val="20"/>
              </w:rPr>
              <w:t>统旁路。鼓励涂装类工业园区和企业集群</w:t>
            </w:r>
            <w:r>
              <w:rPr>
                <w:spacing w:val="8"/>
                <w:sz w:val="20"/>
                <w:szCs w:val="20"/>
              </w:rPr>
              <w:t xml:space="preserve"> </w:t>
            </w:r>
            <w:r>
              <w:rPr>
                <w:spacing w:val="14"/>
                <w:sz w:val="20"/>
                <w:szCs w:val="20"/>
              </w:rPr>
              <w:t>统筹规划建设集中涂装中心、活性碳集中</w:t>
            </w:r>
            <w:r>
              <w:rPr>
                <w:spacing w:val="8"/>
                <w:sz w:val="20"/>
                <w:szCs w:val="20"/>
              </w:rPr>
              <w:t xml:space="preserve"> 处理中心、溶剂回收中心。</w:t>
            </w:r>
          </w:p>
        </w:tc>
        <w:tc>
          <w:tcPr>
            <w:tcW w:w="3186" w:type="dxa"/>
            <w:gridSpan w:val="3"/>
            <w:vAlign w:val="top"/>
          </w:tcPr>
          <w:p w14:paraId="1150791E">
            <w:pPr>
              <w:spacing w:line="243" w:lineRule="auto"/>
              <w:rPr>
                <w:rFonts w:ascii="Arial"/>
                <w:sz w:val="21"/>
              </w:rPr>
            </w:pPr>
          </w:p>
          <w:p w14:paraId="4CE20200">
            <w:pPr>
              <w:spacing w:line="243" w:lineRule="auto"/>
              <w:rPr>
                <w:rFonts w:ascii="Arial"/>
                <w:sz w:val="21"/>
              </w:rPr>
            </w:pPr>
          </w:p>
          <w:p w14:paraId="5E921E0A">
            <w:pPr>
              <w:spacing w:line="243" w:lineRule="auto"/>
              <w:rPr>
                <w:rFonts w:ascii="Arial"/>
                <w:sz w:val="21"/>
              </w:rPr>
            </w:pPr>
          </w:p>
          <w:p w14:paraId="010B7A73">
            <w:pPr>
              <w:spacing w:line="244" w:lineRule="auto"/>
              <w:rPr>
                <w:rFonts w:ascii="Arial"/>
                <w:sz w:val="21"/>
              </w:rPr>
            </w:pPr>
          </w:p>
          <w:p w14:paraId="447D3CA9">
            <w:pPr>
              <w:pStyle w:val="6"/>
              <w:spacing w:before="65" w:line="292" w:lineRule="auto"/>
              <w:ind w:left="109" w:right="97" w:firstLine="7"/>
              <w:jc w:val="both"/>
              <w:rPr>
                <w:sz w:val="20"/>
                <w:szCs w:val="20"/>
              </w:rPr>
            </w:pPr>
            <w:r>
              <w:rPr>
                <w:spacing w:val="11"/>
                <w:sz w:val="20"/>
                <w:szCs w:val="20"/>
              </w:rPr>
              <w:t>本项目抽油液工段与危险废物贮</w:t>
            </w:r>
            <w:r>
              <w:rPr>
                <w:spacing w:val="12"/>
                <w:sz w:val="20"/>
                <w:szCs w:val="20"/>
              </w:rPr>
              <w:t xml:space="preserve"> </w:t>
            </w:r>
            <w:r>
              <w:rPr>
                <w:spacing w:val="9"/>
                <w:sz w:val="20"/>
                <w:szCs w:val="20"/>
              </w:rPr>
              <w:t>存库共用</w:t>
            </w:r>
            <w:r>
              <w:rPr>
                <w:spacing w:val="-12"/>
                <w:sz w:val="20"/>
                <w:szCs w:val="20"/>
              </w:rPr>
              <w:t xml:space="preserve"> </w:t>
            </w:r>
            <w:r>
              <w:rPr>
                <w:rFonts w:ascii="Times New Roman" w:hAnsi="Times New Roman" w:eastAsia="Times New Roman" w:cs="Times New Roman"/>
                <w:spacing w:val="9"/>
                <w:sz w:val="20"/>
                <w:szCs w:val="20"/>
              </w:rPr>
              <w:t xml:space="preserve">1 </w:t>
            </w:r>
            <w:r>
              <w:rPr>
                <w:spacing w:val="9"/>
                <w:sz w:val="20"/>
                <w:szCs w:val="20"/>
              </w:rPr>
              <w:t>套设置集气装置，收</w:t>
            </w:r>
            <w:r>
              <w:rPr>
                <w:sz w:val="20"/>
                <w:szCs w:val="20"/>
              </w:rPr>
              <w:t xml:space="preserve"> </w:t>
            </w:r>
            <w:r>
              <w:rPr>
                <w:spacing w:val="9"/>
                <w:sz w:val="20"/>
                <w:szCs w:val="20"/>
              </w:rPr>
              <w:t>集的废气经</w:t>
            </w:r>
            <w:r>
              <w:rPr>
                <w:spacing w:val="-12"/>
                <w:sz w:val="20"/>
                <w:szCs w:val="20"/>
              </w:rPr>
              <w:t xml:space="preserve"> </w:t>
            </w:r>
            <w:r>
              <w:rPr>
                <w:rFonts w:ascii="Times New Roman" w:hAnsi="Times New Roman" w:eastAsia="Times New Roman" w:cs="Times New Roman"/>
                <w:spacing w:val="9"/>
                <w:sz w:val="20"/>
                <w:szCs w:val="20"/>
              </w:rPr>
              <w:t xml:space="preserve">1 </w:t>
            </w:r>
            <w:r>
              <w:rPr>
                <w:spacing w:val="9"/>
                <w:sz w:val="20"/>
                <w:szCs w:val="20"/>
              </w:rPr>
              <w:t>套活性碳吸附装置</w:t>
            </w:r>
            <w:r>
              <w:rPr>
                <w:sz w:val="20"/>
                <w:szCs w:val="20"/>
              </w:rPr>
              <w:t xml:space="preserve"> </w:t>
            </w:r>
            <w:r>
              <w:rPr>
                <w:spacing w:val="8"/>
                <w:sz w:val="20"/>
                <w:szCs w:val="20"/>
              </w:rPr>
              <w:t>处理后由</w:t>
            </w:r>
            <w:r>
              <w:rPr>
                <w:spacing w:val="-20"/>
                <w:sz w:val="20"/>
                <w:szCs w:val="20"/>
              </w:rPr>
              <w:t xml:space="preserve"> </w:t>
            </w:r>
            <w:r>
              <w:rPr>
                <w:rFonts w:ascii="Times New Roman" w:hAnsi="Times New Roman" w:eastAsia="Times New Roman" w:cs="Times New Roman"/>
                <w:spacing w:val="8"/>
                <w:sz w:val="20"/>
                <w:szCs w:val="20"/>
              </w:rPr>
              <w:t>15m</w:t>
            </w:r>
            <w:r>
              <w:rPr>
                <w:rFonts w:ascii="Times New Roman" w:hAnsi="Times New Roman" w:eastAsia="Times New Roman" w:cs="Times New Roman"/>
                <w:spacing w:val="23"/>
                <w:sz w:val="20"/>
                <w:szCs w:val="20"/>
              </w:rPr>
              <w:t xml:space="preserve"> </w:t>
            </w:r>
            <w:r>
              <w:rPr>
                <w:spacing w:val="8"/>
                <w:sz w:val="20"/>
                <w:szCs w:val="20"/>
              </w:rPr>
              <w:t>高排气筒排放（</w:t>
            </w:r>
            <w:r>
              <w:rPr>
                <w:rFonts w:ascii="Times New Roman" w:hAnsi="Times New Roman" w:eastAsia="Times New Roman" w:cs="Times New Roman"/>
                <w:spacing w:val="8"/>
                <w:sz w:val="20"/>
                <w:szCs w:val="20"/>
              </w:rPr>
              <w:t>D</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3"/>
                <w:sz w:val="20"/>
                <w:szCs w:val="20"/>
              </w:rPr>
              <w:t>A002</w:t>
            </w:r>
            <w:r>
              <w:rPr>
                <w:spacing w:val="3"/>
                <w:sz w:val="20"/>
                <w:szCs w:val="20"/>
              </w:rPr>
              <w:t>）。</w:t>
            </w:r>
          </w:p>
        </w:tc>
        <w:tc>
          <w:tcPr>
            <w:tcW w:w="1061" w:type="dxa"/>
            <w:tcBorders>
              <w:right w:val="single" w:color="000000" w:sz="10" w:space="0"/>
            </w:tcBorders>
            <w:vAlign w:val="top"/>
          </w:tcPr>
          <w:p w14:paraId="1B4BF296">
            <w:pPr>
              <w:spacing w:line="268" w:lineRule="auto"/>
              <w:rPr>
                <w:rFonts w:ascii="Arial"/>
                <w:sz w:val="21"/>
              </w:rPr>
            </w:pPr>
          </w:p>
          <w:p w14:paraId="277BFC2C">
            <w:pPr>
              <w:spacing w:line="268" w:lineRule="auto"/>
              <w:rPr>
                <w:rFonts w:ascii="Arial"/>
                <w:sz w:val="21"/>
              </w:rPr>
            </w:pPr>
          </w:p>
          <w:p w14:paraId="093B805D">
            <w:pPr>
              <w:spacing w:line="268" w:lineRule="auto"/>
              <w:rPr>
                <w:rFonts w:ascii="Arial"/>
                <w:sz w:val="21"/>
              </w:rPr>
            </w:pPr>
          </w:p>
          <w:p w14:paraId="14594004">
            <w:pPr>
              <w:spacing w:line="268" w:lineRule="auto"/>
              <w:rPr>
                <w:rFonts w:ascii="Arial"/>
                <w:sz w:val="21"/>
              </w:rPr>
            </w:pPr>
          </w:p>
          <w:p w14:paraId="18F8123D">
            <w:pPr>
              <w:spacing w:line="268" w:lineRule="auto"/>
              <w:rPr>
                <w:rFonts w:ascii="Arial"/>
                <w:sz w:val="21"/>
              </w:rPr>
            </w:pPr>
          </w:p>
          <w:p w14:paraId="57712018">
            <w:pPr>
              <w:spacing w:line="269" w:lineRule="auto"/>
              <w:rPr>
                <w:rFonts w:ascii="Arial"/>
                <w:sz w:val="21"/>
              </w:rPr>
            </w:pPr>
          </w:p>
          <w:p w14:paraId="68C3D56B">
            <w:pPr>
              <w:pStyle w:val="6"/>
              <w:spacing w:before="65" w:line="228" w:lineRule="auto"/>
              <w:ind w:left="277"/>
              <w:rPr>
                <w:sz w:val="20"/>
                <w:szCs w:val="20"/>
              </w:rPr>
            </w:pPr>
            <w:r>
              <w:rPr>
                <w:spacing w:val="4"/>
                <w:sz w:val="20"/>
                <w:szCs w:val="20"/>
              </w:rPr>
              <w:t>相符</w:t>
            </w:r>
          </w:p>
        </w:tc>
      </w:tr>
      <w:tr w14:paraId="5E274E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0" w:hRule="atLeast"/>
        </w:trPr>
        <w:tc>
          <w:tcPr>
            <w:tcW w:w="494" w:type="dxa"/>
            <w:vMerge w:val="continue"/>
            <w:tcBorders>
              <w:top w:val="nil"/>
              <w:left w:val="single" w:color="000000" w:sz="10" w:space="0"/>
              <w:bottom w:val="nil"/>
            </w:tcBorders>
            <w:vAlign w:val="top"/>
          </w:tcPr>
          <w:p w14:paraId="1CEFBCF0">
            <w:pPr>
              <w:rPr>
                <w:rFonts w:ascii="Arial"/>
                <w:sz w:val="21"/>
              </w:rPr>
            </w:pPr>
          </w:p>
        </w:tc>
        <w:tc>
          <w:tcPr>
            <w:tcW w:w="4181" w:type="dxa"/>
            <w:vAlign w:val="top"/>
          </w:tcPr>
          <w:p w14:paraId="2183B254">
            <w:pPr>
              <w:pStyle w:val="6"/>
              <w:spacing w:before="91" w:line="285" w:lineRule="auto"/>
              <w:ind w:left="209" w:right="105"/>
              <w:rPr>
                <w:sz w:val="20"/>
                <w:szCs w:val="20"/>
              </w:rPr>
            </w:pPr>
            <w:r>
              <w:rPr>
                <w:spacing w:val="14"/>
                <w:sz w:val="20"/>
                <w:szCs w:val="20"/>
              </w:rPr>
              <w:t>加强煤炭总量控制、散煤治理，持续优化</w:t>
            </w:r>
            <w:r>
              <w:rPr>
                <w:spacing w:val="7"/>
                <w:sz w:val="20"/>
                <w:szCs w:val="20"/>
              </w:rPr>
              <w:t xml:space="preserve"> </w:t>
            </w:r>
            <w:r>
              <w:rPr>
                <w:spacing w:val="14"/>
                <w:sz w:val="20"/>
                <w:szCs w:val="20"/>
              </w:rPr>
              <w:t>改善能源结构。按照煤炭集中使用、清洁</w:t>
            </w:r>
            <w:r>
              <w:rPr>
                <w:spacing w:val="7"/>
                <w:sz w:val="20"/>
                <w:szCs w:val="20"/>
              </w:rPr>
              <w:t xml:space="preserve"> </w:t>
            </w:r>
            <w:r>
              <w:rPr>
                <w:spacing w:val="14"/>
                <w:sz w:val="20"/>
                <w:szCs w:val="20"/>
              </w:rPr>
              <w:t>利用的原则，重点削减散煤、工业锅炉、</w:t>
            </w:r>
            <w:r>
              <w:rPr>
                <w:spacing w:val="7"/>
                <w:sz w:val="20"/>
                <w:szCs w:val="20"/>
              </w:rPr>
              <w:t xml:space="preserve"> </w:t>
            </w:r>
            <w:r>
              <w:rPr>
                <w:spacing w:val="14"/>
                <w:sz w:val="20"/>
                <w:szCs w:val="20"/>
              </w:rPr>
              <w:t>工业炉窑等非电用煤。在城区，加快棚户</w:t>
            </w:r>
            <w:r>
              <w:rPr>
                <w:spacing w:val="7"/>
                <w:sz w:val="20"/>
                <w:szCs w:val="20"/>
              </w:rPr>
              <w:t xml:space="preserve"> </w:t>
            </w:r>
            <w:r>
              <w:rPr>
                <w:spacing w:val="14"/>
                <w:sz w:val="20"/>
                <w:szCs w:val="20"/>
              </w:rPr>
              <w:t>区改造，实施集中供热工程建设，削减散</w:t>
            </w:r>
            <w:r>
              <w:rPr>
                <w:spacing w:val="7"/>
                <w:sz w:val="20"/>
                <w:szCs w:val="20"/>
              </w:rPr>
              <w:t xml:space="preserve"> </w:t>
            </w:r>
            <w:r>
              <w:rPr>
                <w:spacing w:val="14"/>
                <w:sz w:val="20"/>
                <w:szCs w:val="20"/>
              </w:rPr>
              <w:t>煤用量；在农村地区，采用“秸秆压块燃</w:t>
            </w:r>
            <w:r>
              <w:rPr>
                <w:spacing w:val="7"/>
                <w:sz w:val="20"/>
                <w:szCs w:val="20"/>
              </w:rPr>
              <w:t xml:space="preserve"> </w:t>
            </w:r>
            <w:r>
              <w:rPr>
                <w:spacing w:val="6"/>
                <w:sz w:val="20"/>
                <w:szCs w:val="20"/>
              </w:rPr>
              <w:t>料</w:t>
            </w:r>
            <w:r>
              <w:rPr>
                <w:rFonts w:ascii="Times New Roman" w:hAnsi="Times New Roman" w:eastAsia="Times New Roman" w:cs="Times New Roman"/>
                <w:spacing w:val="6"/>
                <w:sz w:val="20"/>
                <w:szCs w:val="20"/>
              </w:rPr>
              <w:t>+</w:t>
            </w:r>
            <w:r>
              <w:rPr>
                <w:spacing w:val="6"/>
                <w:sz w:val="20"/>
                <w:szCs w:val="20"/>
              </w:rPr>
              <w:t>户用生物质炉具</w:t>
            </w:r>
            <w:r>
              <w:rPr>
                <w:spacing w:val="-67"/>
                <w:sz w:val="20"/>
                <w:szCs w:val="20"/>
              </w:rPr>
              <w:t xml:space="preserve"> </w:t>
            </w:r>
            <w:r>
              <w:rPr>
                <w:spacing w:val="6"/>
                <w:sz w:val="20"/>
                <w:szCs w:val="20"/>
              </w:rPr>
              <w:t>”模式，加快推进县城</w:t>
            </w:r>
            <w:r>
              <w:rPr>
                <w:sz w:val="20"/>
                <w:szCs w:val="20"/>
              </w:rPr>
              <w:t xml:space="preserve"> </w:t>
            </w:r>
            <w:r>
              <w:rPr>
                <w:spacing w:val="14"/>
                <w:sz w:val="20"/>
                <w:szCs w:val="20"/>
              </w:rPr>
              <w:t>和城乡结合部生物质热电联产，推进清洁</w:t>
            </w:r>
            <w:r>
              <w:rPr>
                <w:spacing w:val="7"/>
                <w:sz w:val="20"/>
                <w:szCs w:val="20"/>
              </w:rPr>
              <w:t xml:space="preserve"> </w:t>
            </w:r>
            <w:r>
              <w:rPr>
                <w:spacing w:val="8"/>
                <w:sz w:val="20"/>
                <w:szCs w:val="20"/>
              </w:rPr>
              <w:t>取暖，减排散煤污染。</w:t>
            </w:r>
          </w:p>
        </w:tc>
        <w:tc>
          <w:tcPr>
            <w:tcW w:w="3186" w:type="dxa"/>
            <w:gridSpan w:val="3"/>
            <w:vAlign w:val="top"/>
          </w:tcPr>
          <w:p w14:paraId="3E8DB4F0">
            <w:pPr>
              <w:spacing w:line="285" w:lineRule="auto"/>
              <w:rPr>
                <w:rFonts w:ascii="Arial"/>
                <w:sz w:val="21"/>
              </w:rPr>
            </w:pPr>
          </w:p>
          <w:p w14:paraId="04EE8E98">
            <w:pPr>
              <w:spacing w:line="285" w:lineRule="auto"/>
              <w:rPr>
                <w:rFonts w:ascii="Arial"/>
                <w:sz w:val="21"/>
              </w:rPr>
            </w:pPr>
          </w:p>
          <w:p w14:paraId="58BAA49D">
            <w:pPr>
              <w:spacing w:line="285" w:lineRule="auto"/>
              <w:rPr>
                <w:rFonts w:ascii="Arial"/>
                <w:sz w:val="21"/>
              </w:rPr>
            </w:pPr>
          </w:p>
          <w:p w14:paraId="7EDB10BC">
            <w:pPr>
              <w:spacing w:line="285" w:lineRule="auto"/>
              <w:rPr>
                <w:rFonts w:ascii="Arial"/>
                <w:sz w:val="21"/>
              </w:rPr>
            </w:pPr>
          </w:p>
          <w:p w14:paraId="58E78208">
            <w:pPr>
              <w:pStyle w:val="6"/>
              <w:spacing w:before="65" w:line="282" w:lineRule="auto"/>
              <w:ind w:left="116" w:right="95"/>
              <w:rPr>
                <w:sz w:val="20"/>
                <w:szCs w:val="20"/>
              </w:rPr>
            </w:pPr>
            <w:r>
              <w:rPr>
                <w:spacing w:val="12"/>
                <w:sz w:val="20"/>
                <w:szCs w:val="20"/>
              </w:rPr>
              <w:t>本项目冬季取暖采用电取暖，不</w:t>
            </w:r>
            <w:r>
              <w:rPr>
                <w:sz w:val="20"/>
                <w:szCs w:val="20"/>
              </w:rPr>
              <w:t xml:space="preserve"> </w:t>
            </w:r>
            <w:r>
              <w:rPr>
                <w:spacing w:val="6"/>
                <w:sz w:val="20"/>
                <w:szCs w:val="20"/>
              </w:rPr>
              <w:t>涉及煤炭使用。</w:t>
            </w:r>
          </w:p>
        </w:tc>
        <w:tc>
          <w:tcPr>
            <w:tcW w:w="1061" w:type="dxa"/>
            <w:tcBorders>
              <w:right w:val="single" w:color="000000" w:sz="10" w:space="0"/>
            </w:tcBorders>
            <w:vAlign w:val="top"/>
          </w:tcPr>
          <w:p w14:paraId="588D16F9">
            <w:pPr>
              <w:spacing w:line="259" w:lineRule="auto"/>
              <w:rPr>
                <w:rFonts w:ascii="Arial"/>
                <w:sz w:val="21"/>
              </w:rPr>
            </w:pPr>
          </w:p>
          <w:p w14:paraId="0F6A1FE7">
            <w:pPr>
              <w:spacing w:line="260" w:lineRule="auto"/>
              <w:rPr>
                <w:rFonts w:ascii="Arial"/>
                <w:sz w:val="21"/>
              </w:rPr>
            </w:pPr>
          </w:p>
          <w:p w14:paraId="218D0DB0">
            <w:pPr>
              <w:spacing w:line="260" w:lineRule="auto"/>
              <w:rPr>
                <w:rFonts w:ascii="Arial"/>
                <w:sz w:val="21"/>
              </w:rPr>
            </w:pPr>
          </w:p>
          <w:p w14:paraId="7FC7D07E">
            <w:pPr>
              <w:spacing w:line="260" w:lineRule="auto"/>
              <w:rPr>
                <w:rFonts w:ascii="Arial"/>
                <w:sz w:val="21"/>
              </w:rPr>
            </w:pPr>
          </w:p>
          <w:p w14:paraId="6A9EAED8">
            <w:pPr>
              <w:spacing w:line="260" w:lineRule="auto"/>
              <w:rPr>
                <w:rFonts w:ascii="Arial"/>
                <w:sz w:val="21"/>
              </w:rPr>
            </w:pPr>
          </w:p>
          <w:p w14:paraId="7B8064A5">
            <w:pPr>
              <w:pStyle w:val="6"/>
              <w:spacing w:before="65" w:line="228" w:lineRule="auto"/>
              <w:ind w:left="277"/>
              <w:rPr>
                <w:sz w:val="20"/>
                <w:szCs w:val="20"/>
              </w:rPr>
            </w:pPr>
            <w:r>
              <w:rPr>
                <w:spacing w:val="4"/>
                <w:sz w:val="20"/>
                <w:szCs w:val="20"/>
              </w:rPr>
              <w:t>相符</w:t>
            </w:r>
          </w:p>
        </w:tc>
      </w:tr>
      <w:tr w14:paraId="456C5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2" w:hRule="atLeast"/>
        </w:trPr>
        <w:tc>
          <w:tcPr>
            <w:tcW w:w="494" w:type="dxa"/>
            <w:vMerge w:val="continue"/>
            <w:tcBorders>
              <w:top w:val="nil"/>
              <w:left w:val="single" w:color="000000" w:sz="10" w:space="0"/>
              <w:bottom w:val="single" w:color="000000" w:sz="10" w:space="0"/>
            </w:tcBorders>
            <w:vAlign w:val="top"/>
          </w:tcPr>
          <w:p w14:paraId="32827942">
            <w:pPr>
              <w:rPr>
                <w:rFonts w:ascii="Arial"/>
                <w:sz w:val="21"/>
              </w:rPr>
            </w:pPr>
          </w:p>
        </w:tc>
        <w:tc>
          <w:tcPr>
            <w:tcW w:w="4181" w:type="dxa"/>
            <w:tcBorders>
              <w:bottom w:val="single" w:color="000000" w:sz="10" w:space="0"/>
            </w:tcBorders>
            <w:vAlign w:val="top"/>
          </w:tcPr>
          <w:p w14:paraId="07DC5C35">
            <w:pPr>
              <w:pStyle w:val="6"/>
              <w:spacing w:before="255" w:line="292" w:lineRule="auto"/>
              <w:ind w:left="207" w:right="105" w:firstLine="4"/>
              <w:jc w:val="both"/>
              <w:rPr>
                <w:sz w:val="20"/>
                <w:szCs w:val="20"/>
              </w:rPr>
            </w:pPr>
            <w:r>
              <w:rPr>
                <w:spacing w:val="4"/>
                <w:sz w:val="20"/>
                <w:szCs w:val="20"/>
              </w:rPr>
              <w:t>大力推进</w:t>
            </w:r>
            <w:r>
              <w:rPr>
                <w:rFonts w:ascii="Times New Roman" w:hAnsi="Times New Roman" w:eastAsia="Times New Roman" w:cs="Times New Roman"/>
                <w:spacing w:val="4"/>
                <w:sz w:val="20"/>
                <w:szCs w:val="20"/>
              </w:rPr>
              <w:t>“</w:t>
            </w:r>
            <w:r>
              <w:rPr>
                <w:spacing w:val="4"/>
                <w:sz w:val="20"/>
                <w:szCs w:val="20"/>
              </w:rPr>
              <w:t>无废城市</w:t>
            </w:r>
            <w:r>
              <w:rPr>
                <w:rFonts w:ascii="Times New Roman" w:hAnsi="Times New Roman" w:eastAsia="Times New Roman" w:cs="Times New Roman"/>
                <w:spacing w:val="4"/>
                <w:sz w:val="20"/>
                <w:szCs w:val="20"/>
              </w:rPr>
              <w:t>”</w:t>
            </w:r>
            <w:r>
              <w:rPr>
                <w:spacing w:val="4"/>
                <w:sz w:val="20"/>
                <w:szCs w:val="20"/>
              </w:rPr>
              <w:t>建设。推进重点产废单</w:t>
            </w:r>
            <w:r>
              <w:rPr>
                <w:sz w:val="20"/>
                <w:szCs w:val="20"/>
              </w:rPr>
              <w:t xml:space="preserve"> </w:t>
            </w:r>
            <w:r>
              <w:rPr>
                <w:spacing w:val="4"/>
                <w:sz w:val="20"/>
                <w:szCs w:val="20"/>
              </w:rPr>
              <w:t>位</w:t>
            </w:r>
            <w:r>
              <w:rPr>
                <w:rFonts w:ascii="Times New Roman" w:hAnsi="Times New Roman" w:eastAsia="Times New Roman" w:cs="Times New Roman"/>
                <w:spacing w:val="4"/>
                <w:sz w:val="20"/>
                <w:szCs w:val="20"/>
              </w:rPr>
              <w:t>“</w:t>
            </w:r>
            <w:r>
              <w:rPr>
                <w:spacing w:val="4"/>
                <w:sz w:val="20"/>
                <w:szCs w:val="20"/>
              </w:rPr>
              <w:t>减量化、资源化、无害化</w:t>
            </w:r>
            <w:r>
              <w:rPr>
                <w:rFonts w:ascii="Times New Roman" w:hAnsi="Times New Roman" w:eastAsia="Times New Roman" w:cs="Times New Roman"/>
                <w:spacing w:val="4"/>
                <w:sz w:val="20"/>
                <w:szCs w:val="20"/>
              </w:rPr>
              <w:t>”</w:t>
            </w:r>
            <w:r>
              <w:rPr>
                <w:spacing w:val="4"/>
                <w:sz w:val="20"/>
                <w:szCs w:val="20"/>
              </w:rPr>
              <w:t>工作。抓好油</w:t>
            </w:r>
            <w:r>
              <w:rPr>
                <w:spacing w:val="3"/>
                <w:sz w:val="20"/>
                <w:szCs w:val="20"/>
              </w:rPr>
              <w:t xml:space="preserve"> </w:t>
            </w:r>
            <w:r>
              <w:rPr>
                <w:spacing w:val="14"/>
                <w:sz w:val="20"/>
                <w:szCs w:val="20"/>
              </w:rPr>
              <w:t>田采油环节各类固废的源头减量、分类处</w:t>
            </w:r>
            <w:r>
              <w:rPr>
                <w:spacing w:val="9"/>
                <w:sz w:val="20"/>
                <w:szCs w:val="20"/>
              </w:rPr>
              <w:t xml:space="preserve"> </w:t>
            </w:r>
            <w:r>
              <w:rPr>
                <w:spacing w:val="14"/>
                <w:sz w:val="20"/>
                <w:szCs w:val="20"/>
              </w:rPr>
              <w:t>置工作。加快构建与产生量相匹配处理规</w:t>
            </w:r>
            <w:r>
              <w:rPr>
                <w:spacing w:val="9"/>
                <w:sz w:val="20"/>
                <w:szCs w:val="20"/>
              </w:rPr>
              <w:t xml:space="preserve"> </w:t>
            </w:r>
            <w:r>
              <w:rPr>
                <w:spacing w:val="14"/>
                <w:sz w:val="20"/>
                <w:szCs w:val="20"/>
              </w:rPr>
              <w:t>模的水基钻井泥浆综合利用项目。进一步</w:t>
            </w:r>
            <w:r>
              <w:rPr>
                <w:spacing w:val="9"/>
                <w:sz w:val="20"/>
                <w:szCs w:val="20"/>
              </w:rPr>
              <w:t xml:space="preserve"> </w:t>
            </w:r>
            <w:r>
              <w:rPr>
                <w:spacing w:val="14"/>
                <w:sz w:val="20"/>
                <w:szCs w:val="20"/>
              </w:rPr>
              <w:t>推进历史遗留固体废物的排查整治，通过</w:t>
            </w:r>
            <w:r>
              <w:rPr>
                <w:spacing w:val="9"/>
                <w:sz w:val="20"/>
                <w:szCs w:val="20"/>
              </w:rPr>
              <w:t xml:space="preserve"> </w:t>
            </w:r>
            <w:r>
              <w:rPr>
                <w:spacing w:val="27"/>
                <w:sz w:val="20"/>
                <w:szCs w:val="20"/>
              </w:rPr>
              <w:t>拓展工业固体废物的综合利用渠道和效</w:t>
            </w:r>
            <w:r>
              <w:rPr>
                <w:spacing w:val="2"/>
                <w:sz w:val="20"/>
                <w:szCs w:val="20"/>
              </w:rPr>
              <w:t xml:space="preserve"> </w:t>
            </w:r>
            <w:r>
              <w:rPr>
                <w:spacing w:val="8"/>
                <w:sz w:val="20"/>
                <w:szCs w:val="20"/>
              </w:rPr>
              <w:t>率，最终实现产业绿色转型。</w:t>
            </w:r>
          </w:p>
        </w:tc>
        <w:tc>
          <w:tcPr>
            <w:tcW w:w="3186" w:type="dxa"/>
            <w:gridSpan w:val="3"/>
            <w:tcBorders>
              <w:bottom w:val="single" w:color="000000" w:sz="10" w:space="0"/>
            </w:tcBorders>
            <w:vAlign w:val="top"/>
          </w:tcPr>
          <w:p w14:paraId="215706D0">
            <w:pPr>
              <w:pStyle w:val="6"/>
              <w:spacing w:before="94" w:line="290" w:lineRule="auto"/>
              <w:ind w:left="115" w:right="42" w:firstLine="1"/>
              <w:jc w:val="both"/>
              <w:rPr>
                <w:sz w:val="20"/>
                <w:szCs w:val="20"/>
              </w:rPr>
            </w:pPr>
            <w:r>
              <w:rPr>
                <w:spacing w:val="11"/>
                <w:sz w:val="20"/>
                <w:szCs w:val="20"/>
              </w:rPr>
              <w:t xml:space="preserve">生活垃圾统一收集后，运送至当 </w:t>
            </w:r>
            <w:r>
              <w:rPr>
                <w:spacing w:val="12"/>
                <w:sz w:val="20"/>
                <w:szCs w:val="20"/>
              </w:rPr>
              <w:t>地指定的垃圾存放处由环卫部门</w:t>
            </w:r>
            <w:r>
              <w:rPr>
                <w:spacing w:val="1"/>
                <w:sz w:val="20"/>
                <w:szCs w:val="20"/>
              </w:rPr>
              <w:t xml:space="preserve"> </w:t>
            </w:r>
            <w:r>
              <w:rPr>
                <w:spacing w:val="12"/>
                <w:sz w:val="20"/>
                <w:szCs w:val="20"/>
              </w:rPr>
              <w:t>统一处理；玻璃、废旧轮胎、塑</w:t>
            </w:r>
            <w:r>
              <w:rPr>
                <w:spacing w:val="1"/>
                <w:sz w:val="20"/>
                <w:szCs w:val="20"/>
              </w:rPr>
              <w:t xml:space="preserve"> </w:t>
            </w:r>
            <w:r>
              <w:rPr>
                <w:spacing w:val="12"/>
                <w:sz w:val="20"/>
                <w:szCs w:val="20"/>
              </w:rPr>
              <w:t>料、密封胶条、金属类等收集在</w:t>
            </w:r>
            <w:r>
              <w:rPr>
                <w:sz w:val="20"/>
                <w:szCs w:val="20"/>
              </w:rPr>
              <w:t xml:space="preserve"> </w:t>
            </w:r>
            <w:r>
              <w:rPr>
                <w:spacing w:val="12"/>
                <w:sz w:val="20"/>
                <w:szCs w:val="20"/>
              </w:rPr>
              <w:t>拆解后物料存储区，定期外售废</w:t>
            </w:r>
            <w:r>
              <w:rPr>
                <w:spacing w:val="1"/>
                <w:sz w:val="20"/>
                <w:szCs w:val="20"/>
              </w:rPr>
              <w:t xml:space="preserve"> </w:t>
            </w:r>
            <w:r>
              <w:rPr>
                <w:spacing w:val="7"/>
                <w:sz w:val="20"/>
                <w:szCs w:val="20"/>
              </w:rPr>
              <w:t>旧资源回收公司；电子电器产品</w:t>
            </w:r>
            <w:r>
              <w:rPr>
                <w:rFonts w:ascii="Times New Roman" w:hAnsi="Times New Roman" w:eastAsia="Times New Roman" w:cs="Times New Roman"/>
                <w:spacing w:val="7"/>
                <w:sz w:val="20"/>
                <w:szCs w:val="20"/>
              </w:rPr>
              <w:t>/</w:t>
            </w:r>
            <w:r>
              <w:rPr>
                <w:rFonts w:ascii="Times New Roman" w:hAnsi="Times New Roman" w:eastAsia="Times New Roman" w:cs="Times New Roman"/>
                <w:spacing w:val="3"/>
                <w:sz w:val="20"/>
                <w:szCs w:val="20"/>
              </w:rPr>
              <w:t xml:space="preserve">  </w:t>
            </w:r>
            <w:r>
              <w:rPr>
                <w:spacing w:val="28"/>
                <w:sz w:val="20"/>
                <w:szCs w:val="20"/>
              </w:rPr>
              <w:t>元器件收集在拆解后物料存储</w:t>
            </w:r>
            <w:r>
              <w:rPr>
                <w:spacing w:val="2"/>
                <w:sz w:val="20"/>
                <w:szCs w:val="20"/>
              </w:rPr>
              <w:t xml:space="preserve"> </w:t>
            </w:r>
            <w:r>
              <w:rPr>
                <w:spacing w:val="1"/>
                <w:sz w:val="20"/>
                <w:szCs w:val="20"/>
              </w:rPr>
              <w:t>区，交由有废电器资质企业拆解，</w:t>
            </w:r>
            <w:r>
              <w:rPr>
                <w:spacing w:val="6"/>
                <w:sz w:val="20"/>
                <w:szCs w:val="20"/>
              </w:rPr>
              <w:t xml:space="preserve"> </w:t>
            </w:r>
            <w:r>
              <w:rPr>
                <w:spacing w:val="12"/>
                <w:sz w:val="20"/>
                <w:szCs w:val="20"/>
              </w:rPr>
              <w:t>不自行拆解；废油类、制冷剂采</w:t>
            </w:r>
          </w:p>
        </w:tc>
        <w:tc>
          <w:tcPr>
            <w:tcW w:w="1061" w:type="dxa"/>
            <w:tcBorders>
              <w:bottom w:val="single" w:color="000000" w:sz="10" w:space="0"/>
              <w:right w:val="single" w:color="000000" w:sz="10" w:space="0"/>
            </w:tcBorders>
            <w:vAlign w:val="top"/>
          </w:tcPr>
          <w:p w14:paraId="550BC04C">
            <w:pPr>
              <w:spacing w:line="260" w:lineRule="auto"/>
              <w:rPr>
                <w:rFonts w:ascii="Arial"/>
                <w:sz w:val="21"/>
              </w:rPr>
            </w:pPr>
          </w:p>
          <w:p w14:paraId="0CD2E57F">
            <w:pPr>
              <w:spacing w:line="260" w:lineRule="auto"/>
              <w:rPr>
                <w:rFonts w:ascii="Arial"/>
                <w:sz w:val="21"/>
              </w:rPr>
            </w:pPr>
          </w:p>
          <w:p w14:paraId="4C2277F5">
            <w:pPr>
              <w:spacing w:line="261" w:lineRule="auto"/>
              <w:rPr>
                <w:rFonts w:ascii="Arial"/>
                <w:sz w:val="21"/>
              </w:rPr>
            </w:pPr>
          </w:p>
          <w:p w14:paraId="4D4A66C4">
            <w:pPr>
              <w:spacing w:line="261" w:lineRule="auto"/>
              <w:rPr>
                <w:rFonts w:ascii="Arial"/>
                <w:sz w:val="21"/>
              </w:rPr>
            </w:pPr>
          </w:p>
          <w:p w14:paraId="0E699F95">
            <w:pPr>
              <w:spacing w:line="261" w:lineRule="auto"/>
              <w:rPr>
                <w:rFonts w:ascii="Arial"/>
                <w:sz w:val="21"/>
              </w:rPr>
            </w:pPr>
          </w:p>
          <w:p w14:paraId="063824D5">
            <w:pPr>
              <w:pStyle w:val="6"/>
              <w:spacing w:before="65" w:line="228" w:lineRule="auto"/>
              <w:ind w:left="277"/>
              <w:rPr>
                <w:sz w:val="20"/>
                <w:szCs w:val="20"/>
              </w:rPr>
            </w:pPr>
            <w:r>
              <w:rPr>
                <w:spacing w:val="4"/>
                <w:sz w:val="20"/>
                <w:szCs w:val="20"/>
              </w:rPr>
              <w:t>相符</w:t>
            </w:r>
          </w:p>
        </w:tc>
      </w:tr>
    </w:tbl>
    <w:p w14:paraId="5708189A">
      <w:pPr>
        <w:pStyle w:val="2"/>
        <w:spacing w:line="118" w:lineRule="exact"/>
        <w:rPr>
          <w:sz w:val="10"/>
        </w:rPr>
      </w:pPr>
    </w:p>
    <w:p w14:paraId="6AA6C3A2">
      <w:pPr>
        <w:spacing w:line="118" w:lineRule="exact"/>
        <w:rPr>
          <w:sz w:val="10"/>
          <w:szCs w:val="10"/>
        </w:rPr>
        <w:sectPr>
          <w:footerReference r:id="rId39"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4181"/>
        <w:gridCol w:w="3186"/>
        <w:gridCol w:w="1061"/>
      </w:tblGrid>
      <w:tr w14:paraId="6E92A1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55" w:hRule="atLeast"/>
        </w:trPr>
        <w:tc>
          <w:tcPr>
            <w:tcW w:w="494" w:type="dxa"/>
            <w:vMerge w:val="restart"/>
            <w:tcBorders>
              <w:top w:val="single" w:color="000000" w:sz="10" w:space="0"/>
              <w:left w:val="single" w:color="000000" w:sz="10" w:space="0"/>
              <w:bottom w:val="nil"/>
            </w:tcBorders>
            <w:vAlign w:val="top"/>
          </w:tcPr>
          <w:p w14:paraId="0A2E06AB">
            <w:pPr>
              <w:rPr>
                <w:rFonts w:ascii="Arial"/>
                <w:sz w:val="21"/>
              </w:rPr>
            </w:pPr>
          </w:p>
        </w:tc>
        <w:tc>
          <w:tcPr>
            <w:tcW w:w="4181" w:type="dxa"/>
            <w:vMerge w:val="restart"/>
            <w:tcBorders>
              <w:top w:val="single" w:color="000000" w:sz="10" w:space="0"/>
              <w:bottom w:val="nil"/>
            </w:tcBorders>
            <w:vAlign w:val="top"/>
          </w:tcPr>
          <w:p w14:paraId="76024769">
            <w:pPr>
              <w:spacing w:line="253" w:lineRule="auto"/>
              <w:rPr>
                <w:rFonts w:ascii="Arial"/>
                <w:sz w:val="21"/>
              </w:rPr>
            </w:pPr>
          </w:p>
          <w:p w14:paraId="59BC908F">
            <w:pPr>
              <w:spacing w:line="253" w:lineRule="auto"/>
              <w:rPr>
                <w:rFonts w:ascii="Arial"/>
                <w:sz w:val="21"/>
              </w:rPr>
            </w:pPr>
          </w:p>
          <w:p w14:paraId="324E5B15">
            <w:pPr>
              <w:spacing w:line="253" w:lineRule="auto"/>
              <w:rPr>
                <w:rFonts w:ascii="Arial"/>
                <w:sz w:val="21"/>
              </w:rPr>
            </w:pPr>
          </w:p>
          <w:p w14:paraId="37BF2D51">
            <w:pPr>
              <w:spacing w:line="253" w:lineRule="auto"/>
              <w:rPr>
                <w:rFonts w:ascii="Arial"/>
                <w:sz w:val="21"/>
              </w:rPr>
            </w:pPr>
          </w:p>
          <w:p w14:paraId="64298048">
            <w:pPr>
              <w:spacing w:line="253" w:lineRule="auto"/>
              <w:rPr>
                <w:rFonts w:ascii="Arial"/>
                <w:sz w:val="21"/>
              </w:rPr>
            </w:pPr>
          </w:p>
          <w:p w14:paraId="431882CF">
            <w:pPr>
              <w:spacing w:line="253" w:lineRule="auto"/>
              <w:rPr>
                <w:rFonts w:ascii="Arial"/>
                <w:sz w:val="21"/>
              </w:rPr>
            </w:pPr>
          </w:p>
          <w:p w14:paraId="680FD17F">
            <w:pPr>
              <w:spacing w:line="253" w:lineRule="auto"/>
              <w:rPr>
                <w:rFonts w:ascii="Arial"/>
                <w:sz w:val="21"/>
              </w:rPr>
            </w:pPr>
          </w:p>
          <w:p w14:paraId="211DADC7">
            <w:pPr>
              <w:spacing w:line="253" w:lineRule="auto"/>
              <w:rPr>
                <w:rFonts w:ascii="Arial"/>
                <w:sz w:val="21"/>
              </w:rPr>
            </w:pPr>
          </w:p>
          <w:p w14:paraId="1E04C575">
            <w:pPr>
              <w:spacing w:line="254" w:lineRule="auto"/>
              <w:rPr>
                <w:rFonts w:ascii="Arial"/>
                <w:sz w:val="21"/>
              </w:rPr>
            </w:pPr>
          </w:p>
          <w:p w14:paraId="3860F4B6">
            <w:pPr>
              <w:spacing w:line="254" w:lineRule="auto"/>
              <w:rPr>
                <w:rFonts w:ascii="Arial"/>
                <w:sz w:val="21"/>
              </w:rPr>
            </w:pPr>
          </w:p>
          <w:p w14:paraId="53D12CA8">
            <w:pPr>
              <w:spacing w:line="254" w:lineRule="auto"/>
              <w:rPr>
                <w:rFonts w:ascii="Arial"/>
                <w:sz w:val="21"/>
              </w:rPr>
            </w:pPr>
          </w:p>
          <w:p w14:paraId="417B06C3">
            <w:pPr>
              <w:spacing w:line="254" w:lineRule="auto"/>
              <w:rPr>
                <w:rFonts w:ascii="Arial"/>
                <w:sz w:val="21"/>
              </w:rPr>
            </w:pPr>
          </w:p>
          <w:p w14:paraId="5B541481">
            <w:pPr>
              <w:pStyle w:val="6"/>
              <w:spacing w:before="65" w:line="291" w:lineRule="auto"/>
              <w:ind w:left="208" w:right="105" w:firstLine="2"/>
              <w:jc w:val="both"/>
              <w:rPr>
                <w:sz w:val="20"/>
                <w:szCs w:val="20"/>
              </w:rPr>
            </w:pPr>
            <w:r>
              <w:rPr>
                <w:spacing w:val="14"/>
                <w:sz w:val="20"/>
                <w:szCs w:val="20"/>
              </w:rPr>
              <w:t>完善工业治理设施，继续以企业和工业集</w:t>
            </w:r>
            <w:r>
              <w:rPr>
                <w:spacing w:val="6"/>
                <w:sz w:val="20"/>
                <w:szCs w:val="20"/>
              </w:rPr>
              <w:t xml:space="preserve"> </w:t>
            </w:r>
            <w:r>
              <w:rPr>
                <w:spacing w:val="14"/>
                <w:sz w:val="20"/>
                <w:szCs w:val="20"/>
              </w:rPr>
              <w:t>聚区为重点，推进兴化等工业园区污水处</w:t>
            </w:r>
            <w:r>
              <w:rPr>
                <w:spacing w:val="8"/>
                <w:sz w:val="20"/>
                <w:szCs w:val="20"/>
              </w:rPr>
              <w:t xml:space="preserve"> </w:t>
            </w:r>
            <w:r>
              <w:rPr>
                <w:spacing w:val="14"/>
                <w:sz w:val="20"/>
                <w:szCs w:val="20"/>
              </w:rPr>
              <w:t>理设施分类管理，分期升级改造，实施工</w:t>
            </w:r>
            <w:r>
              <w:rPr>
                <w:spacing w:val="8"/>
                <w:sz w:val="20"/>
                <w:szCs w:val="20"/>
              </w:rPr>
              <w:t xml:space="preserve"> </w:t>
            </w:r>
            <w:r>
              <w:rPr>
                <w:spacing w:val="14"/>
                <w:sz w:val="20"/>
                <w:szCs w:val="20"/>
              </w:rPr>
              <w:t>业污染源全面达标排放计划。鼓励有条件</w:t>
            </w:r>
            <w:r>
              <w:rPr>
                <w:spacing w:val="8"/>
                <w:sz w:val="20"/>
                <w:szCs w:val="20"/>
              </w:rPr>
              <w:t xml:space="preserve"> </w:t>
            </w:r>
            <w:r>
              <w:rPr>
                <w:spacing w:val="14"/>
                <w:sz w:val="20"/>
                <w:szCs w:val="20"/>
              </w:rPr>
              <w:t>的地区，实行工业和生活等不同领域，化</w:t>
            </w:r>
            <w:r>
              <w:rPr>
                <w:spacing w:val="8"/>
                <w:sz w:val="20"/>
                <w:szCs w:val="20"/>
              </w:rPr>
              <w:t xml:space="preserve"> </w:t>
            </w:r>
            <w:r>
              <w:rPr>
                <w:spacing w:val="14"/>
                <w:sz w:val="20"/>
                <w:szCs w:val="20"/>
              </w:rPr>
              <w:t>工、制革、造纸、乳制品制造等不同行业</w:t>
            </w:r>
            <w:r>
              <w:rPr>
                <w:spacing w:val="8"/>
                <w:sz w:val="20"/>
                <w:szCs w:val="20"/>
              </w:rPr>
              <w:t xml:space="preserve"> </w:t>
            </w:r>
            <w:r>
              <w:rPr>
                <w:spacing w:val="7"/>
                <w:sz w:val="20"/>
                <w:szCs w:val="20"/>
              </w:rPr>
              <w:t>废水分质分类处理。</w:t>
            </w:r>
          </w:p>
          <w:p w14:paraId="1EF731C6">
            <w:pPr>
              <w:spacing w:line="242" w:lineRule="auto"/>
              <w:rPr>
                <w:rFonts w:ascii="Arial"/>
                <w:sz w:val="21"/>
              </w:rPr>
            </w:pPr>
          </w:p>
          <w:p w14:paraId="565304D8">
            <w:pPr>
              <w:spacing w:line="242" w:lineRule="auto"/>
              <w:rPr>
                <w:rFonts w:ascii="Arial"/>
                <w:sz w:val="21"/>
              </w:rPr>
            </w:pPr>
          </w:p>
          <w:p w14:paraId="63ACB1F2">
            <w:pPr>
              <w:spacing w:line="242" w:lineRule="auto"/>
              <w:rPr>
                <w:rFonts w:ascii="Arial"/>
                <w:sz w:val="21"/>
              </w:rPr>
            </w:pPr>
          </w:p>
          <w:p w14:paraId="2C968541">
            <w:pPr>
              <w:spacing w:line="242" w:lineRule="auto"/>
              <w:rPr>
                <w:rFonts w:ascii="Arial"/>
                <w:sz w:val="21"/>
              </w:rPr>
            </w:pPr>
          </w:p>
          <w:p w14:paraId="103EAF81">
            <w:pPr>
              <w:spacing w:line="242" w:lineRule="auto"/>
              <w:rPr>
                <w:rFonts w:ascii="Arial"/>
                <w:sz w:val="21"/>
              </w:rPr>
            </w:pPr>
          </w:p>
          <w:p w14:paraId="74BF7150">
            <w:pPr>
              <w:spacing w:line="242" w:lineRule="auto"/>
              <w:rPr>
                <w:rFonts w:ascii="Arial"/>
                <w:sz w:val="21"/>
              </w:rPr>
            </w:pPr>
          </w:p>
          <w:p w14:paraId="78984AB8">
            <w:pPr>
              <w:spacing w:line="242" w:lineRule="auto"/>
              <w:rPr>
                <w:rFonts w:ascii="Arial"/>
                <w:sz w:val="21"/>
              </w:rPr>
            </w:pPr>
          </w:p>
          <w:p w14:paraId="15D2EBC2">
            <w:pPr>
              <w:spacing w:line="242" w:lineRule="auto"/>
              <w:rPr>
                <w:rFonts w:ascii="Arial"/>
                <w:sz w:val="21"/>
              </w:rPr>
            </w:pPr>
          </w:p>
          <w:p w14:paraId="53B7CD09">
            <w:pPr>
              <w:spacing w:line="242" w:lineRule="auto"/>
              <w:rPr>
                <w:rFonts w:ascii="Arial"/>
                <w:sz w:val="21"/>
              </w:rPr>
            </w:pPr>
          </w:p>
          <w:p w14:paraId="03F47B16">
            <w:pPr>
              <w:spacing w:line="242" w:lineRule="auto"/>
              <w:rPr>
                <w:rFonts w:ascii="Arial"/>
                <w:sz w:val="21"/>
              </w:rPr>
            </w:pPr>
          </w:p>
          <w:p w14:paraId="7A13E1BE">
            <w:pPr>
              <w:spacing w:line="242" w:lineRule="auto"/>
              <w:rPr>
                <w:rFonts w:ascii="Arial"/>
                <w:sz w:val="21"/>
              </w:rPr>
            </w:pPr>
          </w:p>
          <w:p w14:paraId="0B8725BA">
            <w:pPr>
              <w:spacing w:line="242" w:lineRule="auto"/>
              <w:rPr>
                <w:rFonts w:ascii="Arial"/>
                <w:sz w:val="21"/>
              </w:rPr>
            </w:pPr>
          </w:p>
          <w:p w14:paraId="47543B0F">
            <w:pPr>
              <w:spacing w:line="242" w:lineRule="auto"/>
              <w:rPr>
                <w:rFonts w:ascii="Arial"/>
                <w:sz w:val="21"/>
              </w:rPr>
            </w:pPr>
          </w:p>
          <w:p w14:paraId="45AEF174">
            <w:pPr>
              <w:spacing w:line="243" w:lineRule="auto"/>
              <w:rPr>
                <w:rFonts w:ascii="Arial"/>
                <w:sz w:val="21"/>
              </w:rPr>
            </w:pPr>
          </w:p>
          <w:p w14:paraId="51DE0043">
            <w:pPr>
              <w:spacing w:line="243" w:lineRule="auto"/>
              <w:rPr>
                <w:rFonts w:ascii="Arial"/>
                <w:sz w:val="21"/>
              </w:rPr>
            </w:pPr>
          </w:p>
          <w:p w14:paraId="3CE04330">
            <w:pPr>
              <w:pStyle w:val="6"/>
              <w:spacing w:before="65" w:line="288" w:lineRule="auto"/>
              <w:ind w:left="254" w:right="151"/>
              <w:jc w:val="both"/>
              <w:rPr>
                <w:sz w:val="20"/>
                <w:szCs w:val="20"/>
              </w:rPr>
            </w:pPr>
            <w:r>
              <w:rPr>
                <w:spacing w:val="9"/>
                <w:sz w:val="20"/>
                <w:szCs w:val="20"/>
              </w:rPr>
              <w:t>推进地下水污染综合防治。建立地下水污</w:t>
            </w:r>
            <w:r>
              <w:rPr>
                <w:spacing w:val="6"/>
                <w:sz w:val="20"/>
                <w:szCs w:val="20"/>
              </w:rPr>
              <w:t xml:space="preserve"> </w:t>
            </w:r>
            <w:r>
              <w:rPr>
                <w:spacing w:val="9"/>
                <w:sz w:val="20"/>
                <w:szCs w:val="20"/>
              </w:rPr>
              <w:t>染防治管理和环境监测体系，建设地下水</w:t>
            </w:r>
            <w:r>
              <w:rPr>
                <w:spacing w:val="6"/>
                <w:sz w:val="20"/>
                <w:szCs w:val="20"/>
              </w:rPr>
              <w:t xml:space="preserve"> </w:t>
            </w:r>
            <w:r>
              <w:rPr>
                <w:spacing w:val="9"/>
                <w:sz w:val="20"/>
                <w:szCs w:val="20"/>
              </w:rPr>
              <w:t>信息平台。加强地下水污染与地表水、土</w:t>
            </w:r>
            <w:r>
              <w:rPr>
                <w:spacing w:val="6"/>
                <w:sz w:val="20"/>
                <w:szCs w:val="20"/>
              </w:rPr>
              <w:t xml:space="preserve"> </w:t>
            </w:r>
            <w:r>
              <w:rPr>
                <w:spacing w:val="9"/>
                <w:sz w:val="20"/>
                <w:szCs w:val="20"/>
              </w:rPr>
              <w:t>壤等共生环境协同防治。全面开展地下水</w:t>
            </w:r>
          </w:p>
          <w:p w14:paraId="78E9C79C">
            <w:pPr>
              <w:pStyle w:val="6"/>
              <w:spacing w:before="33" w:line="280" w:lineRule="auto"/>
              <w:ind w:left="463" w:right="151" w:hanging="207"/>
              <w:rPr>
                <w:sz w:val="20"/>
                <w:szCs w:val="20"/>
              </w:rPr>
            </w:pPr>
            <w:r>
              <w:rPr>
                <w:spacing w:val="9"/>
                <w:sz w:val="20"/>
                <w:szCs w:val="20"/>
              </w:rPr>
              <w:t>污染分区防治，提出地下水污染分区防治</w:t>
            </w:r>
            <w:r>
              <w:rPr>
                <w:spacing w:val="4"/>
                <w:sz w:val="20"/>
                <w:szCs w:val="20"/>
              </w:rPr>
              <w:t xml:space="preserve"> </w:t>
            </w:r>
            <w:r>
              <w:rPr>
                <w:spacing w:val="8"/>
                <w:sz w:val="20"/>
                <w:szCs w:val="20"/>
              </w:rPr>
              <w:t>措施，实施地下水污染源分类监管。</w:t>
            </w:r>
          </w:p>
        </w:tc>
        <w:tc>
          <w:tcPr>
            <w:tcW w:w="3186" w:type="dxa"/>
            <w:tcBorders>
              <w:top w:val="single" w:color="000000" w:sz="10" w:space="0"/>
            </w:tcBorders>
            <w:vAlign w:val="top"/>
          </w:tcPr>
          <w:p w14:paraId="7EFA03EE">
            <w:pPr>
              <w:pStyle w:val="6"/>
              <w:spacing w:before="75" w:line="285" w:lineRule="auto"/>
              <w:ind w:left="116" w:right="45"/>
              <w:jc w:val="both"/>
              <w:rPr>
                <w:sz w:val="20"/>
                <w:szCs w:val="20"/>
              </w:rPr>
            </w:pPr>
            <w:r>
              <w:rPr>
                <w:spacing w:val="12"/>
                <w:sz w:val="20"/>
                <w:szCs w:val="20"/>
              </w:rPr>
              <w:t>用废液的专用密闭容器分类暂存</w:t>
            </w:r>
            <w:r>
              <w:rPr>
                <w:sz w:val="20"/>
                <w:szCs w:val="20"/>
              </w:rPr>
              <w:t xml:space="preserve"> </w:t>
            </w:r>
            <w:r>
              <w:rPr>
                <w:spacing w:val="7"/>
                <w:sz w:val="20"/>
                <w:szCs w:val="20"/>
              </w:rPr>
              <w:t>于</w:t>
            </w:r>
            <w:r>
              <w:rPr>
                <w:spacing w:val="-39"/>
                <w:sz w:val="20"/>
                <w:szCs w:val="20"/>
              </w:rPr>
              <w:t xml:space="preserve"> </w:t>
            </w:r>
            <w:r>
              <w:rPr>
                <w:rFonts w:ascii="Times New Roman" w:hAnsi="Times New Roman" w:eastAsia="Times New Roman" w:cs="Times New Roman"/>
                <w:spacing w:val="7"/>
                <w:sz w:val="20"/>
                <w:szCs w:val="20"/>
              </w:rPr>
              <w:t>3#</w:t>
            </w:r>
            <w:r>
              <w:rPr>
                <w:spacing w:val="7"/>
                <w:sz w:val="20"/>
                <w:szCs w:val="20"/>
              </w:rPr>
              <w:t>废矿物油暂存区，由有资质</w:t>
            </w:r>
            <w:r>
              <w:rPr>
                <w:sz w:val="20"/>
                <w:szCs w:val="20"/>
              </w:rPr>
              <w:t xml:space="preserve"> </w:t>
            </w:r>
            <w:r>
              <w:rPr>
                <w:spacing w:val="7"/>
                <w:sz w:val="20"/>
                <w:szCs w:val="20"/>
              </w:rPr>
              <w:t>单位处理；废电池暂存于</w:t>
            </w:r>
            <w:r>
              <w:rPr>
                <w:spacing w:val="-39"/>
                <w:sz w:val="20"/>
                <w:szCs w:val="20"/>
              </w:rPr>
              <w:t xml:space="preserve"> </w:t>
            </w:r>
            <w:r>
              <w:rPr>
                <w:rFonts w:ascii="Times New Roman" w:hAnsi="Times New Roman" w:eastAsia="Times New Roman" w:cs="Times New Roman"/>
                <w:spacing w:val="7"/>
                <w:sz w:val="20"/>
                <w:szCs w:val="20"/>
              </w:rPr>
              <w:t>2#</w:t>
            </w:r>
            <w:r>
              <w:rPr>
                <w:spacing w:val="7"/>
                <w:sz w:val="20"/>
                <w:szCs w:val="20"/>
              </w:rPr>
              <w:t>废蓄</w:t>
            </w:r>
            <w:r>
              <w:rPr>
                <w:sz w:val="20"/>
                <w:szCs w:val="20"/>
              </w:rPr>
              <w:t xml:space="preserve"> </w:t>
            </w:r>
            <w:r>
              <w:rPr>
                <w:spacing w:val="1"/>
                <w:sz w:val="20"/>
                <w:szCs w:val="20"/>
              </w:rPr>
              <w:t>电池暂存区，由有资质单位处理；</w:t>
            </w:r>
            <w:r>
              <w:rPr>
                <w:spacing w:val="3"/>
                <w:sz w:val="20"/>
                <w:szCs w:val="20"/>
              </w:rPr>
              <w:t xml:space="preserve"> </w:t>
            </w:r>
            <w:r>
              <w:rPr>
                <w:spacing w:val="12"/>
                <w:sz w:val="20"/>
                <w:szCs w:val="20"/>
              </w:rPr>
              <w:t>燃料罐、液压油管、催化器、废</w:t>
            </w:r>
            <w:r>
              <w:rPr>
                <w:sz w:val="20"/>
                <w:szCs w:val="20"/>
              </w:rPr>
              <w:t xml:space="preserve"> </w:t>
            </w:r>
            <w:r>
              <w:rPr>
                <w:spacing w:val="12"/>
                <w:sz w:val="20"/>
                <w:szCs w:val="20"/>
              </w:rPr>
              <w:t>活性炭、含油抹布、拖布和手套</w:t>
            </w:r>
            <w:r>
              <w:rPr>
                <w:sz w:val="20"/>
                <w:szCs w:val="20"/>
              </w:rPr>
              <w:t xml:space="preserve"> </w:t>
            </w:r>
            <w:r>
              <w:rPr>
                <w:spacing w:val="6"/>
                <w:sz w:val="20"/>
                <w:szCs w:val="20"/>
              </w:rPr>
              <w:t>分类暂存于</w:t>
            </w:r>
            <w:r>
              <w:rPr>
                <w:spacing w:val="-24"/>
                <w:sz w:val="20"/>
                <w:szCs w:val="20"/>
              </w:rPr>
              <w:t xml:space="preserve"> </w:t>
            </w:r>
            <w:r>
              <w:rPr>
                <w:rFonts w:ascii="Times New Roman" w:hAnsi="Times New Roman" w:eastAsia="Times New Roman" w:cs="Times New Roman"/>
                <w:spacing w:val="6"/>
                <w:sz w:val="20"/>
                <w:szCs w:val="20"/>
              </w:rPr>
              <w:t>1#</w:t>
            </w:r>
            <w:r>
              <w:rPr>
                <w:spacing w:val="6"/>
                <w:sz w:val="20"/>
                <w:szCs w:val="20"/>
              </w:rPr>
              <w:t>其他危险废物暂存</w:t>
            </w:r>
            <w:r>
              <w:rPr>
                <w:sz w:val="20"/>
                <w:szCs w:val="20"/>
              </w:rPr>
              <w:t xml:space="preserve"> </w:t>
            </w:r>
            <w:r>
              <w:rPr>
                <w:spacing w:val="4"/>
                <w:sz w:val="20"/>
                <w:szCs w:val="20"/>
              </w:rPr>
              <w:t>区，</w:t>
            </w:r>
            <w:r>
              <w:rPr>
                <w:spacing w:val="-57"/>
                <w:sz w:val="20"/>
                <w:szCs w:val="20"/>
              </w:rPr>
              <w:t xml:space="preserve"> </w:t>
            </w:r>
            <w:r>
              <w:rPr>
                <w:spacing w:val="4"/>
                <w:sz w:val="20"/>
                <w:szCs w:val="20"/>
              </w:rPr>
              <w:t>由有资质单位处理。</w:t>
            </w:r>
          </w:p>
        </w:tc>
        <w:tc>
          <w:tcPr>
            <w:tcW w:w="1061" w:type="dxa"/>
            <w:vMerge w:val="restart"/>
            <w:tcBorders>
              <w:top w:val="single" w:color="000000" w:sz="10" w:space="0"/>
              <w:bottom w:val="nil"/>
              <w:right w:val="single" w:color="000000" w:sz="10" w:space="0"/>
            </w:tcBorders>
            <w:vAlign w:val="top"/>
          </w:tcPr>
          <w:p w14:paraId="4E49FFE1">
            <w:pPr>
              <w:spacing w:line="249" w:lineRule="auto"/>
              <w:rPr>
                <w:rFonts w:ascii="Arial"/>
                <w:sz w:val="21"/>
              </w:rPr>
            </w:pPr>
          </w:p>
          <w:p w14:paraId="136E7DE4">
            <w:pPr>
              <w:spacing w:line="249" w:lineRule="auto"/>
              <w:rPr>
                <w:rFonts w:ascii="Arial"/>
                <w:sz w:val="21"/>
              </w:rPr>
            </w:pPr>
          </w:p>
          <w:p w14:paraId="31264990">
            <w:pPr>
              <w:spacing w:line="249" w:lineRule="auto"/>
              <w:rPr>
                <w:rFonts w:ascii="Arial"/>
                <w:sz w:val="21"/>
              </w:rPr>
            </w:pPr>
          </w:p>
          <w:p w14:paraId="0DCBE066">
            <w:pPr>
              <w:spacing w:line="249" w:lineRule="auto"/>
              <w:rPr>
                <w:rFonts w:ascii="Arial"/>
                <w:sz w:val="21"/>
              </w:rPr>
            </w:pPr>
          </w:p>
          <w:p w14:paraId="673E214F">
            <w:pPr>
              <w:spacing w:line="249" w:lineRule="auto"/>
              <w:rPr>
                <w:rFonts w:ascii="Arial"/>
                <w:sz w:val="21"/>
              </w:rPr>
            </w:pPr>
          </w:p>
          <w:p w14:paraId="09DF25CB">
            <w:pPr>
              <w:spacing w:line="249" w:lineRule="auto"/>
              <w:rPr>
                <w:rFonts w:ascii="Arial"/>
                <w:sz w:val="21"/>
              </w:rPr>
            </w:pPr>
          </w:p>
          <w:p w14:paraId="1D5486AB">
            <w:pPr>
              <w:spacing w:line="249" w:lineRule="auto"/>
              <w:rPr>
                <w:rFonts w:ascii="Arial"/>
                <w:sz w:val="21"/>
              </w:rPr>
            </w:pPr>
          </w:p>
          <w:p w14:paraId="0ACADDA2">
            <w:pPr>
              <w:spacing w:line="249" w:lineRule="auto"/>
              <w:rPr>
                <w:rFonts w:ascii="Arial"/>
                <w:sz w:val="21"/>
              </w:rPr>
            </w:pPr>
          </w:p>
          <w:p w14:paraId="4CDAA362">
            <w:pPr>
              <w:spacing w:line="250" w:lineRule="auto"/>
              <w:rPr>
                <w:rFonts w:ascii="Arial"/>
                <w:sz w:val="21"/>
              </w:rPr>
            </w:pPr>
          </w:p>
          <w:p w14:paraId="1E096FB7">
            <w:pPr>
              <w:spacing w:line="250" w:lineRule="auto"/>
              <w:rPr>
                <w:rFonts w:ascii="Arial"/>
                <w:sz w:val="21"/>
              </w:rPr>
            </w:pPr>
          </w:p>
          <w:p w14:paraId="3F3EDC6D">
            <w:pPr>
              <w:spacing w:line="250" w:lineRule="auto"/>
              <w:rPr>
                <w:rFonts w:ascii="Arial"/>
                <w:sz w:val="21"/>
              </w:rPr>
            </w:pPr>
          </w:p>
          <w:p w14:paraId="30F35C63">
            <w:pPr>
              <w:spacing w:line="250" w:lineRule="auto"/>
              <w:rPr>
                <w:rFonts w:ascii="Arial"/>
                <w:sz w:val="21"/>
              </w:rPr>
            </w:pPr>
          </w:p>
          <w:p w14:paraId="7B8AAE92">
            <w:pPr>
              <w:spacing w:line="250" w:lineRule="auto"/>
              <w:rPr>
                <w:rFonts w:ascii="Arial"/>
                <w:sz w:val="21"/>
              </w:rPr>
            </w:pPr>
          </w:p>
          <w:p w14:paraId="7F139052">
            <w:pPr>
              <w:spacing w:line="250" w:lineRule="auto"/>
              <w:rPr>
                <w:rFonts w:ascii="Arial"/>
                <w:sz w:val="21"/>
              </w:rPr>
            </w:pPr>
          </w:p>
          <w:p w14:paraId="497BD8D1">
            <w:pPr>
              <w:spacing w:line="250" w:lineRule="auto"/>
              <w:rPr>
                <w:rFonts w:ascii="Arial"/>
                <w:sz w:val="21"/>
              </w:rPr>
            </w:pPr>
          </w:p>
          <w:p w14:paraId="26E7ADFE">
            <w:pPr>
              <w:spacing w:line="250" w:lineRule="auto"/>
              <w:rPr>
                <w:rFonts w:ascii="Arial"/>
                <w:sz w:val="21"/>
              </w:rPr>
            </w:pPr>
          </w:p>
          <w:p w14:paraId="7143A689">
            <w:pPr>
              <w:pStyle w:val="6"/>
              <w:spacing w:before="65" w:line="228" w:lineRule="auto"/>
              <w:ind w:left="277"/>
              <w:rPr>
                <w:sz w:val="20"/>
                <w:szCs w:val="20"/>
              </w:rPr>
            </w:pPr>
            <w:r>
              <w:rPr>
                <w:spacing w:val="4"/>
                <w:sz w:val="20"/>
                <w:szCs w:val="20"/>
              </w:rPr>
              <w:t>相符</w:t>
            </w:r>
          </w:p>
          <w:p w14:paraId="75DC99AE">
            <w:pPr>
              <w:spacing w:line="246" w:lineRule="auto"/>
              <w:rPr>
                <w:rFonts w:ascii="Arial"/>
                <w:sz w:val="21"/>
              </w:rPr>
            </w:pPr>
          </w:p>
          <w:p w14:paraId="0E36FE1A">
            <w:pPr>
              <w:spacing w:line="246" w:lineRule="auto"/>
              <w:rPr>
                <w:rFonts w:ascii="Arial"/>
                <w:sz w:val="21"/>
              </w:rPr>
            </w:pPr>
          </w:p>
          <w:p w14:paraId="316E75CB">
            <w:pPr>
              <w:spacing w:line="246" w:lineRule="auto"/>
              <w:rPr>
                <w:rFonts w:ascii="Arial"/>
                <w:sz w:val="21"/>
              </w:rPr>
            </w:pPr>
          </w:p>
          <w:p w14:paraId="26A3881C">
            <w:pPr>
              <w:spacing w:line="246" w:lineRule="auto"/>
              <w:rPr>
                <w:rFonts w:ascii="Arial"/>
                <w:sz w:val="21"/>
              </w:rPr>
            </w:pPr>
          </w:p>
          <w:p w14:paraId="6640D2DF">
            <w:pPr>
              <w:spacing w:line="246" w:lineRule="auto"/>
              <w:rPr>
                <w:rFonts w:ascii="Arial"/>
                <w:sz w:val="21"/>
              </w:rPr>
            </w:pPr>
          </w:p>
          <w:p w14:paraId="40710F6E">
            <w:pPr>
              <w:spacing w:line="246" w:lineRule="auto"/>
              <w:rPr>
                <w:rFonts w:ascii="Arial"/>
                <w:sz w:val="21"/>
              </w:rPr>
            </w:pPr>
          </w:p>
          <w:p w14:paraId="6164264E">
            <w:pPr>
              <w:spacing w:line="246" w:lineRule="auto"/>
              <w:rPr>
                <w:rFonts w:ascii="Arial"/>
                <w:sz w:val="21"/>
              </w:rPr>
            </w:pPr>
          </w:p>
          <w:p w14:paraId="634D8A0D">
            <w:pPr>
              <w:spacing w:line="246" w:lineRule="auto"/>
              <w:rPr>
                <w:rFonts w:ascii="Arial"/>
                <w:sz w:val="21"/>
              </w:rPr>
            </w:pPr>
          </w:p>
          <w:p w14:paraId="05AB32BB">
            <w:pPr>
              <w:spacing w:line="246" w:lineRule="auto"/>
              <w:rPr>
                <w:rFonts w:ascii="Arial"/>
                <w:sz w:val="21"/>
              </w:rPr>
            </w:pPr>
          </w:p>
          <w:p w14:paraId="24E7D507">
            <w:pPr>
              <w:spacing w:line="246" w:lineRule="auto"/>
              <w:rPr>
                <w:rFonts w:ascii="Arial"/>
                <w:sz w:val="21"/>
              </w:rPr>
            </w:pPr>
          </w:p>
          <w:p w14:paraId="173D8F2E">
            <w:pPr>
              <w:spacing w:line="247" w:lineRule="auto"/>
              <w:rPr>
                <w:rFonts w:ascii="Arial"/>
                <w:sz w:val="21"/>
              </w:rPr>
            </w:pPr>
          </w:p>
          <w:p w14:paraId="2E859AA1">
            <w:pPr>
              <w:spacing w:line="247" w:lineRule="auto"/>
              <w:rPr>
                <w:rFonts w:ascii="Arial"/>
                <w:sz w:val="21"/>
              </w:rPr>
            </w:pPr>
          </w:p>
          <w:p w14:paraId="139F81A9">
            <w:pPr>
              <w:spacing w:line="247" w:lineRule="auto"/>
              <w:rPr>
                <w:rFonts w:ascii="Arial"/>
                <w:sz w:val="21"/>
              </w:rPr>
            </w:pPr>
          </w:p>
          <w:p w14:paraId="5587CC5F">
            <w:pPr>
              <w:spacing w:line="247" w:lineRule="auto"/>
              <w:rPr>
                <w:rFonts w:ascii="Arial"/>
                <w:sz w:val="21"/>
              </w:rPr>
            </w:pPr>
          </w:p>
          <w:p w14:paraId="2042F18F">
            <w:pPr>
              <w:spacing w:line="247" w:lineRule="auto"/>
              <w:rPr>
                <w:rFonts w:ascii="Arial"/>
                <w:sz w:val="21"/>
              </w:rPr>
            </w:pPr>
          </w:p>
          <w:p w14:paraId="66474150">
            <w:pPr>
              <w:spacing w:line="247" w:lineRule="auto"/>
              <w:rPr>
                <w:rFonts w:ascii="Arial"/>
                <w:sz w:val="21"/>
              </w:rPr>
            </w:pPr>
          </w:p>
          <w:p w14:paraId="5611420F">
            <w:pPr>
              <w:spacing w:line="247" w:lineRule="auto"/>
              <w:rPr>
                <w:rFonts w:ascii="Arial"/>
                <w:sz w:val="21"/>
              </w:rPr>
            </w:pPr>
          </w:p>
          <w:p w14:paraId="2D3A312C">
            <w:pPr>
              <w:spacing w:line="247" w:lineRule="auto"/>
              <w:rPr>
                <w:rFonts w:ascii="Arial"/>
                <w:sz w:val="21"/>
              </w:rPr>
            </w:pPr>
          </w:p>
          <w:p w14:paraId="28A86624">
            <w:pPr>
              <w:spacing w:line="247" w:lineRule="auto"/>
              <w:rPr>
                <w:rFonts w:ascii="Arial"/>
                <w:sz w:val="21"/>
              </w:rPr>
            </w:pPr>
          </w:p>
          <w:p w14:paraId="7B09E665">
            <w:pPr>
              <w:spacing w:line="247" w:lineRule="auto"/>
              <w:rPr>
                <w:rFonts w:ascii="Arial"/>
                <w:sz w:val="21"/>
              </w:rPr>
            </w:pPr>
          </w:p>
          <w:p w14:paraId="0586A7B4">
            <w:pPr>
              <w:spacing w:line="247" w:lineRule="auto"/>
              <w:rPr>
                <w:rFonts w:ascii="Arial"/>
                <w:sz w:val="21"/>
              </w:rPr>
            </w:pPr>
          </w:p>
          <w:p w14:paraId="16D45B53">
            <w:pPr>
              <w:spacing w:line="247" w:lineRule="auto"/>
              <w:rPr>
                <w:rFonts w:ascii="Arial"/>
                <w:sz w:val="21"/>
              </w:rPr>
            </w:pPr>
          </w:p>
          <w:p w14:paraId="3DAAAA39">
            <w:pPr>
              <w:pStyle w:val="6"/>
              <w:spacing w:before="65" w:line="228" w:lineRule="auto"/>
              <w:ind w:left="279"/>
              <w:rPr>
                <w:sz w:val="20"/>
                <w:szCs w:val="20"/>
              </w:rPr>
            </w:pPr>
            <w:r>
              <w:rPr>
                <w:spacing w:val="3"/>
                <w:sz w:val="20"/>
                <w:szCs w:val="20"/>
              </w:rPr>
              <w:t>符合</w:t>
            </w:r>
          </w:p>
        </w:tc>
      </w:tr>
      <w:tr w14:paraId="152D7B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9" w:hRule="atLeast"/>
        </w:trPr>
        <w:tc>
          <w:tcPr>
            <w:tcW w:w="494" w:type="dxa"/>
            <w:vMerge w:val="continue"/>
            <w:tcBorders>
              <w:top w:val="nil"/>
              <w:left w:val="single" w:color="000000" w:sz="10" w:space="0"/>
              <w:bottom w:val="nil"/>
            </w:tcBorders>
            <w:vAlign w:val="top"/>
          </w:tcPr>
          <w:p w14:paraId="7AE14E1D">
            <w:pPr>
              <w:rPr>
                <w:rFonts w:ascii="Arial"/>
                <w:sz w:val="21"/>
              </w:rPr>
            </w:pPr>
          </w:p>
        </w:tc>
        <w:tc>
          <w:tcPr>
            <w:tcW w:w="4181" w:type="dxa"/>
            <w:vMerge w:val="continue"/>
            <w:tcBorders>
              <w:top w:val="nil"/>
              <w:bottom w:val="nil"/>
            </w:tcBorders>
            <w:vAlign w:val="top"/>
          </w:tcPr>
          <w:p w14:paraId="75DF2C6F">
            <w:pPr>
              <w:rPr>
                <w:rFonts w:ascii="Arial"/>
                <w:sz w:val="21"/>
              </w:rPr>
            </w:pPr>
          </w:p>
        </w:tc>
        <w:tc>
          <w:tcPr>
            <w:tcW w:w="3186" w:type="dxa"/>
            <w:vAlign w:val="top"/>
          </w:tcPr>
          <w:p w14:paraId="1A19D417">
            <w:pPr>
              <w:pStyle w:val="6"/>
              <w:spacing w:before="79" w:line="287" w:lineRule="auto"/>
              <w:ind w:left="114" w:right="42" w:firstLine="1"/>
              <w:jc w:val="both"/>
              <w:rPr>
                <w:sz w:val="20"/>
                <w:szCs w:val="20"/>
              </w:rPr>
            </w:pPr>
            <w:r>
              <w:rPr>
                <w:spacing w:val="12"/>
                <w:sz w:val="20"/>
                <w:szCs w:val="20"/>
              </w:rPr>
              <w:t>本项目设备及车辆不在厂区内清</w:t>
            </w:r>
            <w:r>
              <w:rPr>
                <w:sz w:val="20"/>
                <w:szCs w:val="20"/>
              </w:rPr>
              <w:t xml:space="preserve"> </w:t>
            </w:r>
            <w:r>
              <w:rPr>
                <w:spacing w:val="12"/>
                <w:sz w:val="20"/>
                <w:szCs w:val="20"/>
              </w:rPr>
              <w:t>洗；本项目收购来的报废农机运</w:t>
            </w:r>
            <w:r>
              <w:rPr>
                <w:spacing w:val="2"/>
                <w:sz w:val="20"/>
                <w:szCs w:val="20"/>
              </w:rPr>
              <w:t xml:space="preserve"> </w:t>
            </w:r>
            <w:r>
              <w:rPr>
                <w:spacing w:val="12"/>
                <w:sz w:val="20"/>
                <w:szCs w:val="20"/>
              </w:rPr>
              <w:t>至拆解车间内暂存，不进行露天</w:t>
            </w:r>
            <w:r>
              <w:rPr>
                <w:spacing w:val="2"/>
                <w:sz w:val="20"/>
                <w:szCs w:val="20"/>
              </w:rPr>
              <w:t xml:space="preserve"> </w:t>
            </w:r>
            <w:r>
              <w:rPr>
                <w:spacing w:val="12"/>
                <w:sz w:val="20"/>
                <w:szCs w:val="20"/>
              </w:rPr>
              <w:t>停放，不单独设置停车坪；本项</w:t>
            </w:r>
            <w:r>
              <w:rPr>
                <w:spacing w:val="2"/>
                <w:sz w:val="20"/>
                <w:szCs w:val="20"/>
              </w:rPr>
              <w:t xml:space="preserve"> </w:t>
            </w:r>
            <w:r>
              <w:rPr>
                <w:spacing w:val="12"/>
                <w:sz w:val="20"/>
                <w:szCs w:val="20"/>
              </w:rPr>
              <w:t>目车间地面不清洗，地面如有油</w:t>
            </w:r>
            <w:r>
              <w:rPr>
                <w:spacing w:val="2"/>
                <w:sz w:val="20"/>
                <w:szCs w:val="20"/>
              </w:rPr>
              <w:t xml:space="preserve"> </w:t>
            </w:r>
            <w:r>
              <w:rPr>
                <w:spacing w:val="4"/>
                <w:sz w:val="20"/>
                <w:szCs w:val="20"/>
              </w:rPr>
              <w:t>渍，采用抹布/拖布擦干，废抹布</w:t>
            </w:r>
            <w:r>
              <w:rPr>
                <w:spacing w:val="7"/>
                <w:sz w:val="20"/>
                <w:szCs w:val="20"/>
              </w:rPr>
              <w:t xml:space="preserve"> </w:t>
            </w:r>
            <w:r>
              <w:rPr>
                <w:spacing w:val="19"/>
                <w:sz w:val="20"/>
                <w:szCs w:val="20"/>
              </w:rPr>
              <w:t>/拖布作为危险废物暂存在危险</w:t>
            </w:r>
            <w:r>
              <w:rPr>
                <w:spacing w:val="1"/>
                <w:sz w:val="20"/>
                <w:szCs w:val="20"/>
              </w:rPr>
              <w:t xml:space="preserve"> 废物暂存点，由有资质单位处理，</w:t>
            </w:r>
            <w:r>
              <w:rPr>
                <w:spacing w:val="7"/>
                <w:sz w:val="20"/>
                <w:szCs w:val="20"/>
              </w:rPr>
              <w:t xml:space="preserve"> </w:t>
            </w:r>
            <w:r>
              <w:rPr>
                <w:spacing w:val="12"/>
                <w:sz w:val="20"/>
                <w:szCs w:val="20"/>
              </w:rPr>
              <w:t>不设污水收集池。无生产废水产</w:t>
            </w:r>
            <w:r>
              <w:rPr>
                <w:spacing w:val="2"/>
                <w:sz w:val="20"/>
                <w:szCs w:val="20"/>
              </w:rPr>
              <w:t xml:space="preserve"> </w:t>
            </w:r>
            <w:r>
              <w:rPr>
                <w:sz w:val="20"/>
                <w:szCs w:val="20"/>
              </w:rPr>
              <w:t>生。</w:t>
            </w:r>
          </w:p>
        </w:tc>
        <w:tc>
          <w:tcPr>
            <w:tcW w:w="1061" w:type="dxa"/>
            <w:vMerge w:val="continue"/>
            <w:tcBorders>
              <w:top w:val="nil"/>
              <w:bottom w:val="nil"/>
              <w:right w:val="single" w:color="000000" w:sz="10" w:space="0"/>
            </w:tcBorders>
            <w:vAlign w:val="top"/>
          </w:tcPr>
          <w:p w14:paraId="12888741">
            <w:pPr>
              <w:rPr>
                <w:rFonts w:ascii="Arial"/>
                <w:sz w:val="21"/>
              </w:rPr>
            </w:pPr>
          </w:p>
        </w:tc>
      </w:tr>
      <w:tr w14:paraId="45E315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62" w:hRule="atLeast"/>
        </w:trPr>
        <w:tc>
          <w:tcPr>
            <w:tcW w:w="494" w:type="dxa"/>
            <w:vMerge w:val="continue"/>
            <w:tcBorders>
              <w:top w:val="nil"/>
              <w:left w:val="single" w:color="000000" w:sz="10" w:space="0"/>
              <w:bottom w:val="single" w:color="000000" w:sz="10" w:space="0"/>
            </w:tcBorders>
            <w:vAlign w:val="top"/>
          </w:tcPr>
          <w:p w14:paraId="6B84095F">
            <w:pPr>
              <w:rPr>
                <w:rFonts w:ascii="Arial"/>
                <w:sz w:val="21"/>
              </w:rPr>
            </w:pPr>
          </w:p>
        </w:tc>
        <w:tc>
          <w:tcPr>
            <w:tcW w:w="4181" w:type="dxa"/>
            <w:vMerge w:val="continue"/>
            <w:tcBorders>
              <w:top w:val="nil"/>
              <w:bottom w:val="single" w:color="000000" w:sz="10" w:space="0"/>
            </w:tcBorders>
            <w:vAlign w:val="top"/>
          </w:tcPr>
          <w:p w14:paraId="2C1C0425">
            <w:pPr>
              <w:rPr>
                <w:rFonts w:ascii="Arial"/>
                <w:sz w:val="21"/>
              </w:rPr>
            </w:pPr>
          </w:p>
        </w:tc>
        <w:tc>
          <w:tcPr>
            <w:tcW w:w="3186" w:type="dxa"/>
            <w:tcBorders>
              <w:bottom w:val="single" w:color="000000" w:sz="10" w:space="0"/>
            </w:tcBorders>
            <w:vAlign w:val="top"/>
          </w:tcPr>
          <w:p w14:paraId="0CF1D1D9">
            <w:pPr>
              <w:pStyle w:val="6"/>
              <w:spacing w:before="87" w:line="288" w:lineRule="auto"/>
              <w:ind w:left="114" w:right="77" w:firstLine="4"/>
              <w:jc w:val="both"/>
              <w:rPr>
                <w:sz w:val="20"/>
                <w:szCs w:val="20"/>
              </w:rPr>
            </w:pPr>
            <w:r>
              <w:rPr>
                <w:spacing w:val="6"/>
                <w:sz w:val="20"/>
                <w:szCs w:val="20"/>
              </w:rPr>
              <w:t>项目按照</w:t>
            </w:r>
            <w:r>
              <w:rPr>
                <w:rFonts w:ascii="Times New Roman" w:hAnsi="Times New Roman" w:eastAsia="Times New Roman" w:cs="Times New Roman"/>
                <w:spacing w:val="6"/>
                <w:sz w:val="20"/>
                <w:szCs w:val="20"/>
              </w:rPr>
              <w:t>“</w:t>
            </w:r>
            <w:r>
              <w:rPr>
                <w:spacing w:val="6"/>
                <w:sz w:val="20"/>
                <w:szCs w:val="20"/>
              </w:rPr>
              <w:t>源头控制、分区防治、</w:t>
            </w:r>
            <w:r>
              <w:rPr>
                <w:spacing w:val="5"/>
                <w:sz w:val="20"/>
                <w:szCs w:val="20"/>
              </w:rPr>
              <w:t xml:space="preserve"> 污染监控、应急响应</w:t>
            </w:r>
            <w:r>
              <w:rPr>
                <w:rFonts w:ascii="Times New Roman" w:hAnsi="Times New Roman" w:eastAsia="Times New Roman" w:cs="Times New Roman"/>
                <w:spacing w:val="5"/>
                <w:sz w:val="20"/>
                <w:szCs w:val="20"/>
              </w:rPr>
              <w:t>”</w:t>
            </w:r>
            <w:r>
              <w:rPr>
                <w:spacing w:val="5"/>
                <w:sz w:val="20"/>
                <w:szCs w:val="20"/>
              </w:rPr>
              <w:t>相结合的原</w:t>
            </w:r>
            <w:r>
              <w:rPr>
                <w:spacing w:val="4"/>
                <w:sz w:val="20"/>
                <w:szCs w:val="20"/>
              </w:rPr>
              <w:t xml:space="preserve"> </w:t>
            </w:r>
            <w:r>
              <w:rPr>
                <w:spacing w:val="9"/>
                <w:sz w:val="20"/>
                <w:szCs w:val="20"/>
              </w:rPr>
              <w:t>则，从污染物的产生、入渗、扩</w:t>
            </w:r>
            <w:r>
              <w:rPr>
                <w:spacing w:val="3"/>
                <w:sz w:val="20"/>
                <w:szCs w:val="20"/>
              </w:rPr>
              <w:t xml:space="preserve"> </w:t>
            </w:r>
            <w:r>
              <w:rPr>
                <w:spacing w:val="8"/>
                <w:sz w:val="20"/>
                <w:szCs w:val="20"/>
              </w:rPr>
              <w:t>散、应急响应进行控制。</w:t>
            </w:r>
          </w:p>
          <w:p w14:paraId="35CDB800">
            <w:pPr>
              <w:pStyle w:val="6"/>
              <w:spacing w:before="31" w:line="293" w:lineRule="auto"/>
              <w:ind w:left="114" w:right="42" w:firstLine="3"/>
              <w:rPr>
                <w:sz w:val="20"/>
                <w:szCs w:val="20"/>
              </w:rPr>
            </w:pPr>
            <w:r>
              <w:rPr>
                <w:spacing w:val="8"/>
                <w:sz w:val="20"/>
                <w:szCs w:val="20"/>
              </w:rPr>
              <w:t>危险废物贮存库（1#其他危险废</w:t>
            </w:r>
            <w:r>
              <w:rPr>
                <w:spacing w:val="3"/>
                <w:sz w:val="20"/>
                <w:szCs w:val="20"/>
              </w:rPr>
              <w:t xml:space="preserve">  </w:t>
            </w:r>
            <w:r>
              <w:rPr>
                <w:spacing w:val="4"/>
                <w:sz w:val="20"/>
                <w:szCs w:val="20"/>
              </w:rPr>
              <w:t>物暂存区、2#废蓄电池暂存区、3 #废矿物油暂存区）、拆解车间采</w:t>
            </w:r>
            <w:r>
              <w:rPr>
                <w:spacing w:val="7"/>
                <w:sz w:val="20"/>
                <w:szCs w:val="20"/>
              </w:rPr>
              <w:t xml:space="preserve"> </w:t>
            </w:r>
            <w:r>
              <w:rPr>
                <w:spacing w:val="9"/>
                <w:sz w:val="20"/>
                <w:szCs w:val="20"/>
              </w:rPr>
              <w:t>取重点防渗措施：拆解车间作业</w:t>
            </w:r>
            <w:r>
              <w:rPr>
                <w:spacing w:val="1"/>
                <w:sz w:val="20"/>
                <w:szCs w:val="20"/>
              </w:rPr>
              <w:t xml:space="preserve">  </w:t>
            </w:r>
            <w:r>
              <w:rPr>
                <w:spacing w:val="8"/>
                <w:sz w:val="20"/>
                <w:szCs w:val="20"/>
              </w:rPr>
              <w:t>区地面混凝土强度等级不低于 C</w:t>
            </w:r>
            <w:r>
              <w:rPr>
                <w:spacing w:val="2"/>
                <w:sz w:val="20"/>
                <w:szCs w:val="20"/>
              </w:rPr>
              <w:t xml:space="preserve">  </w:t>
            </w:r>
            <w:r>
              <w:rPr>
                <w:spacing w:val="-1"/>
                <w:sz w:val="20"/>
                <w:szCs w:val="20"/>
              </w:rPr>
              <w:t>20，厚度不低于</w:t>
            </w:r>
            <w:r>
              <w:rPr>
                <w:spacing w:val="37"/>
                <w:sz w:val="20"/>
                <w:szCs w:val="20"/>
              </w:rPr>
              <w:t xml:space="preserve"> </w:t>
            </w:r>
            <w:r>
              <w:rPr>
                <w:spacing w:val="-1"/>
                <w:sz w:val="20"/>
                <w:szCs w:val="20"/>
              </w:rPr>
              <w:t>150</w:t>
            </w:r>
            <w:r>
              <w:rPr>
                <w:spacing w:val="50"/>
                <w:sz w:val="20"/>
                <w:szCs w:val="20"/>
              </w:rPr>
              <w:t xml:space="preserve"> </w:t>
            </w:r>
            <w:r>
              <w:rPr>
                <w:spacing w:val="-1"/>
                <w:sz w:val="20"/>
                <w:szCs w:val="20"/>
              </w:rPr>
              <w:t>mm，其中物</w:t>
            </w:r>
            <w:r>
              <w:rPr>
                <w:sz w:val="20"/>
                <w:szCs w:val="20"/>
              </w:rPr>
              <w:t xml:space="preserve"> </w:t>
            </w:r>
            <w:r>
              <w:rPr>
                <w:spacing w:val="7"/>
                <w:sz w:val="20"/>
                <w:szCs w:val="20"/>
              </w:rPr>
              <w:t>流通道路面和拆解作业区域强度</w:t>
            </w:r>
            <w:r>
              <w:rPr>
                <w:spacing w:val="3"/>
                <w:sz w:val="20"/>
                <w:szCs w:val="20"/>
              </w:rPr>
              <w:t xml:space="preserve">  </w:t>
            </w:r>
            <w:r>
              <w:rPr>
                <w:spacing w:val="1"/>
                <w:sz w:val="20"/>
                <w:szCs w:val="20"/>
              </w:rPr>
              <w:t>不低于 C30，厚度不低于 200</w:t>
            </w:r>
            <w:r>
              <w:rPr>
                <w:sz w:val="20"/>
                <w:szCs w:val="20"/>
              </w:rPr>
              <w:t>mm</w:t>
            </w:r>
            <w:r>
              <w:rPr>
                <w:spacing w:val="1"/>
                <w:sz w:val="20"/>
                <w:szCs w:val="20"/>
              </w:rPr>
              <w:t>，</w:t>
            </w:r>
            <w:r>
              <w:rPr>
                <w:spacing w:val="4"/>
                <w:sz w:val="20"/>
                <w:szCs w:val="20"/>
              </w:rPr>
              <w:t xml:space="preserve"> </w:t>
            </w:r>
            <w:r>
              <w:rPr>
                <w:spacing w:val="7"/>
                <w:sz w:val="20"/>
                <w:szCs w:val="20"/>
              </w:rPr>
              <w:t>满足《报废机动车拆解企业污染</w:t>
            </w:r>
            <w:r>
              <w:rPr>
                <w:spacing w:val="3"/>
                <w:sz w:val="20"/>
                <w:szCs w:val="20"/>
              </w:rPr>
              <w:t xml:space="preserve">  </w:t>
            </w:r>
            <w:r>
              <w:rPr>
                <w:spacing w:val="2"/>
                <w:sz w:val="20"/>
                <w:szCs w:val="20"/>
              </w:rPr>
              <w:t>控制技术规范》</w:t>
            </w:r>
            <w:r>
              <w:rPr>
                <w:spacing w:val="33"/>
                <w:sz w:val="20"/>
                <w:szCs w:val="20"/>
              </w:rPr>
              <w:t xml:space="preserve">  </w:t>
            </w:r>
            <w:r>
              <w:rPr>
                <w:spacing w:val="2"/>
                <w:sz w:val="20"/>
                <w:szCs w:val="20"/>
              </w:rPr>
              <w:t>(</w:t>
            </w:r>
            <w:r>
              <w:rPr>
                <w:sz w:val="20"/>
                <w:szCs w:val="20"/>
              </w:rPr>
              <w:t>HJ</w:t>
            </w:r>
            <w:r>
              <w:rPr>
                <w:spacing w:val="2"/>
                <w:sz w:val="20"/>
                <w:szCs w:val="20"/>
              </w:rPr>
              <w:t>348-2022)</w:t>
            </w:r>
            <w:r>
              <w:rPr>
                <w:sz w:val="20"/>
                <w:szCs w:val="20"/>
              </w:rPr>
              <w:t xml:space="preserve">  </w:t>
            </w:r>
            <w:r>
              <w:rPr>
                <w:spacing w:val="7"/>
                <w:sz w:val="20"/>
                <w:szCs w:val="20"/>
              </w:rPr>
              <w:t>中防渗、混凝土强度要求；本项</w:t>
            </w:r>
            <w:r>
              <w:rPr>
                <w:spacing w:val="3"/>
                <w:sz w:val="20"/>
                <w:szCs w:val="20"/>
              </w:rPr>
              <w:t xml:space="preserve">  </w:t>
            </w:r>
            <w:r>
              <w:rPr>
                <w:spacing w:val="9"/>
                <w:sz w:val="20"/>
                <w:szCs w:val="20"/>
              </w:rPr>
              <w:t>目危险废物贮存库地面与导流</w:t>
            </w:r>
          </w:p>
          <w:p w14:paraId="6B7D15E3">
            <w:pPr>
              <w:pStyle w:val="6"/>
              <w:spacing w:before="29" w:line="291" w:lineRule="auto"/>
              <w:ind w:left="114" w:right="42"/>
              <w:rPr>
                <w:sz w:val="20"/>
                <w:szCs w:val="20"/>
              </w:rPr>
            </w:pPr>
            <w:r>
              <w:rPr>
                <w:spacing w:val="1"/>
                <w:sz w:val="20"/>
                <w:szCs w:val="20"/>
              </w:rPr>
              <w:t>槽、收集池均采取表面防渗措施，</w:t>
            </w:r>
            <w:r>
              <w:rPr>
                <w:spacing w:val="7"/>
                <w:sz w:val="20"/>
                <w:szCs w:val="20"/>
              </w:rPr>
              <w:t xml:space="preserve"> </w:t>
            </w:r>
            <w:r>
              <w:rPr>
                <w:spacing w:val="11"/>
                <w:sz w:val="20"/>
                <w:szCs w:val="20"/>
              </w:rPr>
              <w:t>采用2</w:t>
            </w:r>
            <w:r>
              <w:rPr>
                <w:sz w:val="20"/>
                <w:szCs w:val="20"/>
              </w:rPr>
              <w:t>mm</w:t>
            </w:r>
            <w:r>
              <w:rPr>
                <w:spacing w:val="11"/>
                <w:sz w:val="20"/>
                <w:szCs w:val="20"/>
              </w:rPr>
              <w:t>厚高密度聚乙烯膜防渗</w:t>
            </w:r>
            <w:r>
              <w:rPr>
                <w:spacing w:val="2"/>
                <w:sz w:val="20"/>
                <w:szCs w:val="20"/>
              </w:rPr>
              <w:t xml:space="preserve">  </w:t>
            </w:r>
            <w:r>
              <w:rPr>
                <w:spacing w:val="4"/>
                <w:sz w:val="20"/>
                <w:szCs w:val="20"/>
              </w:rPr>
              <w:t>材料，渗透系数不大于10</w:t>
            </w:r>
            <w:r>
              <w:rPr>
                <w:spacing w:val="4"/>
                <w:position w:val="10"/>
                <w:sz w:val="10"/>
                <w:szCs w:val="10"/>
              </w:rPr>
              <w:t>-10</w:t>
            </w:r>
            <w:r>
              <w:rPr>
                <w:sz w:val="20"/>
                <w:szCs w:val="20"/>
              </w:rPr>
              <w:t>cm</w:t>
            </w:r>
            <w:r>
              <w:rPr>
                <w:spacing w:val="4"/>
                <w:sz w:val="20"/>
                <w:szCs w:val="20"/>
              </w:rPr>
              <w:t>/s，</w:t>
            </w:r>
            <w:r>
              <w:rPr>
                <w:sz w:val="20"/>
                <w:szCs w:val="20"/>
              </w:rPr>
              <w:t xml:space="preserve"> </w:t>
            </w:r>
            <w:r>
              <w:rPr>
                <w:spacing w:val="9"/>
                <w:sz w:val="20"/>
                <w:szCs w:val="20"/>
              </w:rPr>
              <w:t>满足《危险废物贮存污染控制标</w:t>
            </w:r>
            <w:r>
              <w:rPr>
                <w:spacing w:val="1"/>
                <w:sz w:val="20"/>
                <w:szCs w:val="20"/>
              </w:rPr>
              <w:t xml:space="preserve">  </w:t>
            </w:r>
            <w:r>
              <w:rPr>
                <w:spacing w:val="6"/>
                <w:sz w:val="20"/>
                <w:szCs w:val="20"/>
              </w:rPr>
              <w:t>准》（</w:t>
            </w:r>
            <w:r>
              <w:rPr>
                <w:sz w:val="20"/>
                <w:szCs w:val="20"/>
              </w:rPr>
              <w:t>GB</w:t>
            </w:r>
            <w:r>
              <w:rPr>
                <w:spacing w:val="6"/>
                <w:sz w:val="20"/>
                <w:szCs w:val="20"/>
              </w:rPr>
              <w:t>18597-2023）中防渗要</w:t>
            </w:r>
            <w:r>
              <w:rPr>
                <w:spacing w:val="2"/>
                <w:sz w:val="20"/>
                <w:szCs w:val="20"/>
              </w:rPr>
              <w:t xml:space="preserve">  </w:t>
            </w:r>
            <w:r>
              <w:rPr>
                <w:sz w:val="20"/>
                <w:szCs w:val="20"/>
              </w:rPr>
              <w:t>求。</w:t>
            </w:r>
          </w:p>
          <w:p w14:paraId="09873502">
            <w:pPr>
              <w:pStyle w:val="6"/>
              <w:spacing w:before="28" w:line="283" w:lineRule="auto"/>
              <w:ind w:left="110" w:right="95" w:firstLine="7"/>
              <w:jc w:val="both"/>
              <w:rPr>
                <w:sz w:val="20"/>
                <w:szCs w:val="20"/>
              </w:rPr>
            </w:pPr>
            <w:r>
              <w:rPr>
                <w:spacing w:val="28"/>
                <w:sz w:val="20"/>
                <w:szCs w:val="20"/>
              </w:rPr>
              <w:t>一般防渗区为报废后农机暂存</w:t>
            </w:r>
            <w:r>
              <w:rPr>
                <w:spacing w:val="2"/>
                <w:sz w:val="20"/>
                <w:szCs w:val="20"/>
              </w:rPr>
              <w:t xml:space="preserve"> </w:t>
            </w:r>
            <w:r>
              <w:rPr>
                <w:spacing w:val="12"/>
                <w:sz w:val="20"/>
                <w:szCs w:val="20"/>
              </w:rPr>
              <w:t>区、拆解后物料储存区、防渗旱</w:t>
            </w:r>
            <w:r>
              <w:rPr>
                <w:spacing w:val="5"/>
                <w:sz w:val="20"/>
                <w:szCs w:val="20"/>
              </w:rPr>
              <w:t xml:space="preserve"> </w:t>
            </w:r>
            <w:r>
              <w:rPr>
                <w:spacing w:val="1"/>
                <w:sz w:val="20"/>
                <w:szCs w:val="20"/>
              </w:rPr>
              <w:t>厕。地面为厚度不小于</w:t>
            </w:r>
            <w:r>
              <w:rPr>
                <w:spacing w:val="-33"/>
                <w:sz w:val="20"/>
                <w:szCs w:val="20"/>
              </w:rPr>
              <w:t xml:space="preserve"> </w:t>
            </w:r>
            <w:r>
              <w:rPr>
                <w:rFonts w:ascii="Times New Roman" w:hAnsi="Times New Roman" w:eastAsia="Times New Roman" w:cs="Times New Roman"/>
                <w:spacing w:val="1"/>
                <w:sz w:val="20"/>
                <w:szCs w:val="20"/>
              </w:rPr>
              <w:t>200</w:t>
            </w:r>
            <w:r>
              <w:rPr>
                <w:rFonts w:ascii="Times New Roman" w:hAnsi="Times New Roman" w:eastAsia="Times New Roman" w:cs="Times New Roman"/>
                <w:sz w:val="20"/>
                <w:szCs w:val="20"/>
              </w:rPr>
              <w:t>mm</w:t>
            </w:r>
            <w:r>
              <w:rPr>
                <w:rFonts w:ascii="Times New Roman" w:hAnsi="Times New Roman" w:eastAsia="Times New Roman" w:cs="Times New Roman"/>
                <w:spacing w:val="29"/>
                <w:sz w:val="20"/>
                <w:szCs w:val="20"/>
              </w:rPr>
              <w:t xml:space="preserve"> </w:t>
            </w:r>
            <w:r>
              <w:rPr>
                <w:spacing w:val="1"/>
                <w:sz w:val="20"/>
                <w:szCs w:val="20"/>
              </w:rPr>
              <w:t>的</w:t>
            </w:r>
            <w:r>
              <w:rPr>
                <w:sz w:val="20"/>
                <w:szCs w:val="20"/>
              </w:rPr>
              <w:t xml:space="preserve"> </w:t>
            </w:r>
            <w:r>
              <w:rPr>
                <w:rFonts w:ascii="Times New Roman" w:hAnsi="Times New Roman" w:eastAsia="Times New Roman" w:cs="Times New Roman"/>
                <w:spacing w:val="6"/>
                <w:sz w:val="20"/>
                <w:szCs w:val="20"/>
              </w:rPr>
              <w:t xml:space="preserve">P6 </w:t>
            </w:r>
            <w:r>
              <w:rPr>
                <w:spacing w:val="6"/>
                <w:sz w:val="20"/>
                <w:szCs w:val="20"/>
              </w:rPr>
              <w:t>抗渗混凝土硬化地面，其防渗</w:t>
            </w:r>
          </w:p>
        </w:tc>
        <w:tc>
          <w:tcPr>
            <w:tcW w:w="1061" w:type="dxa"/>
            <w:vMerge w:val="continue"/>
            <w:tcBorders>
              <w:top w:val="nil"/>
              <w:bottom w:val="single" w:color="000000" w:sz="10" w:space="0"/>
              <w:right w:val="single" w:color="000000" w:sz="10" w:space="0"/>
            </w:tcBorders>
            <w:vAlign w:val="top"/>
          </w:tcPr>
          <w:p w14:paraId="4987B174">
            <w:pPr>
              <w:rPr>
                <w:rFonts w:ascii="Arial"/>
                <w:sz w:val="21"/>
              </w:rPr>
            </w:pPr>
          </w:p>
        </w:tc>
      </w:tr>
    </w:tbl>
    <w:p w14:paraId="23EA8AB7">
      <w:pPr>
        <w:pStyle w:val="2"/>
        <w:spacing w:line="118" w:lineRule="exact"/>
        <w:rPr>
          <w:sz w:val="10"/>
        </w:rPr>
      </w:pPr>
    </w:p>
    <w:p w14:paraId="12E51A68">
      <w:pPr>
        <w:spacing w:line="118" w:lineRule="exact"/>
        <w:rPr>
          <w:sz w:val="10"/>
          <w:szCs w:val="10"/>
        </w:rPr>
        <w:sectPr>
          <w:footerReference r:id="rId40" w:type="default"/>
          <w:pgSz w:w="11906" w:h="16839"/>
          <w:pgMar w:top="1270" w:right="1479" w:bottom="1263" w:left="1478" w:header="0" w:footer="1097" w:gutter="0"/>
          <w:cols w:space="720" w:num="1"/>
        </w:sectPr>
      </w:pPr>
    </w:p>
    <w:tbl>
      <w:tblPr>
        <w:tblStyle w:val="5"/>
        <w:tblW w:w="892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94"/>
        <w:gridCol w:w="786"/>
        <w:gridCol w:w="3395"/>
        <w:gridCol w:w="1152"/>
        <w:gridCol w:w="1974"/>
        <w:gridCol w:w="60"/>
        <w:gridCol w:w="1061"/>
      </w:tblGrid>
      <w:tr w14:paraId="59AE0A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74" w:hRule="atLeast"/>
        </w:trPr>
        <w:tc>
          <w:tcPr>
            <w:tcW w:w="494" w:type="dxa"/>
            <w:vMerge w:val="restart"/>
            <w:tcBorders>
              <w:top w:val="single" w:color="000000" w:sz="10" w:space="0"/>
              <w:left w:val="single" w:color="000000" w:sz="10" w:space="0"/>
              <w:bottom w:val="nil"/>
            </w:tcBorders>
            <w:vAlign w:val="top"/>
          </w:tcPr>
          <w:p w14:paraId="0E5A7972">
            <w:pPr>
              <w:rPr>
                <w:rFonts w:ascii="Arial"/>
                <w:sz w:val="21"/>
              </w:rPr>
            </w:pPr>
            <w:r>
              <w:pict>
                <v:shape id="_x0000_s1034" o:spid="_x0000_s1034" style="position:absolute;left:0pt;margin-left:104.1pt;margin-top:764.9pt;height:1.45pt;width:407.4pt;mso-position-horizontal-relative:page;mso-position-vertical-relative:page;z-index:251668480;mso-width-relative:page;mso-height-relative:page;" filled="f" stroked="t" coordsize="8147,29" o:allowincell="f" path="m0,14l8147,14e">
                  <v:fill on="f" focussize="0,0"/>
                  <v:stroke weight="1.44pt" color="#000000" miterlimit="2" joinstyle="bevel"/>
                  <v:imagedata o:title=""/>
                  <o:lock v:ext="edit"/>
                </v:shape>
              </w:pict>
            </w:r>
          </w:p>
        </w:tc>
        <w:tc>
          <w:tcPr>
            <w:tcW w:w="4181" w:type="dxa"/>
            <w:gridSpan w:val="2"/>
            <w:tcBorders>
              <w:top w:val="single" w:color="000000" w:sz="10" w:space="0"/>
            </w:tcBorders>
            <w:vAlign w:val="top"/>
          </w:tcPr>
          <w:p w14:paraId="0D448F33">
            <w:pPr>
              <w:rPr>
                <w:rFonts w:ascii="Arial"/>
                <w:sz w:val="21"/>
              </w:rPr>
            </w:pPr>
          </w:p>
        </w:tc>
        <w:tc>
          <w:tcPr>
            <w:tcW w:w="3186" w:type="dxa"/>
            <w:gridSpan w:val="3"/>
            <w:tcBorders>
              <w:top w:val="single" w:color="000000" w:sz="10" w:space="0"/>
            </w:tcBorders>
            <w:vAlign w:val="top"/>
          </w:tcPr>
          <w:p w14:paraId="6E8E45CE">
            <w:pPr>
              <w:pStyle w:val="6"/>
              <w:spacing w:before="73" w:line="285" w:lineRule="auto"/>
              <w:ind w:left="110" w:right="97" w:firstLine="5"/>
              <w:jc w:val="both"/>
              <w:rPr>
                <w:sz w:val="20"/>
                <w:szCs w:val="20"/>
              </w:rPr>
            </w:pPr>
            <w:r>
              <w:rPr>
                <w:spacing w:val="9"/>
                <w:sz w:val="20"/>
                <w:szCs w:val="20"/>
              </w:rPr>
              <w:t>技术要求可满足等效黏土防渗层</w:t>
            </w:r>
            <w:r>
              <w:rPr>
                <w:spacing w:val="1"/>
                <w:sz w:val="20"/>
                <w:szCs w:val="20"/>
              </w:rPr>
              <w:t xml:space="preserve"> </w:t>
            </w:r>
            <w:r>
              <w:rPr>
                <w:rFonts w:ascii="Times New Roman" w:hAnsi="Times New Roman" w:eastAsia="Times New Roman" w:cs="Times New Roman"/>
                <w:sz w:val="20"/>
                <w:szCs w:val="20"/>
              </w:rPr>
              <w:t>Mb</w:t>
            </w:r>
            <w:r>
              <w:rPr>
                <w:sz w:val="20"/>
                <w:szCs w:val="20"/>
              </w:rPr>
              <w:t>≥</w:t>
            </w:r>
            <w:r>
              <w:rPr>
                <w:rFonts w:ascii="Times New Roman" w:hAnsi="Times New Roman" w:eastAsia="Times New Roman" w:cs="Times New Roman"/>
                <w:sz w:val="20"/>
                <w:szCs w:val="20"/>
              </w:rPr>
              <w:t>1.5m</w:t>
            </w:r>
            <w:r>
              <w:rPr>
                <w:sz w:val="20"/>
                <w:szCs w:val="20"/>
              </w:rPr>
              <w:t>，</w:t>
            </w:r>
            <w:r>
              <w:rPr>
                <w:rFonts w:ascii="Times New Roman" w:hAnsi="Times New Roman" w:eastAsia="Times New Roman" w:cs="Times New Roman"/>
                <w:sz w:val="20"/>
                <w:szCs w:val="20"/>
              </w:rPr>
              <w:t>K</w:t>
            </w:r>
            <w:r>
              <w:rPr>
                <w:sz w:val="20"/>
                <w:szCs w:val="20"/>
              </w:rPr>
              <w:t>≤</w:t>
            </w:r>
            <w:r>
              <w:rPr>
                <w:rFonts w:ascii="Times New Roman" w:hAnsi="Times New Roman" w:eastAsia="Times New Roman" w:cs="Times New Roman"/>
                <w:sz w:val="20"/>
                <w:szCs w:val="20"/>
              </w:rPr>
              <w:t>1</w:t>
            </w:r>
            <w:r>
              <w:rPr>
                <w:sz w:val="20"/>
                <w:szCs w:val="20"/>
              </w:rPr>
              <w:t>×</w:t>
            </w:r>
            <w:r>
              <w:rPr>
                <w:spacing w:val="-76"/>
                <w:sz w:val="20"/>
                <w:szCs w:val="20"/>
              </w:rPr>
              <w:t xml:space="preserve"> </w:t>
            </w:r>
            <w:r>
              <w:rPr>
                <w:rFonts w:ascii="Times New Roman" w:hAnsi="Times New Roman" w:eastAsia="Times New Roman" w:cs="Times New Roman"/>
                <w:sz w:val="20"/>
                <w:szCs w:val="20"/>
              </w:rPr>
              <w:t>10</w:t>
            </w:r>
            <w:r>
              <w:rPr>
                <w:rFonts w:ascii="Times New Roman" w:hAnsi="Times New Roman" w:eastAsia="Times New Roman" w:cs="Times New Roman"/>
                <w:position w:val="6"/>
                <w:sz w:val="13"/>
                <w:szCs w:val="13"/>
              </w:rPr>
              <w:t>-7</w:t>
            </w:r>
            <w:r>
              <w:rPr>
                <w:rFonts w:ascii="Times New Roman" w:hAnsi="Times New Roman" w:eastAsia="Times New Roman" w:cs="Times New Roman"/>
                <w:sz w:val="20"/>
                <w:szCs w:val="20"/>
              </w:rPr>
              <w:t>cm/s</w:t>
            </w:r>
            <w:r>
              <w:rPr>
                <w:rFonts w:ascii="Times New Roman" w:hAnsi="Times New Roman" w:eastAsia="Times New Roman" w:cs="Times New Roman"/>
                <w:spacing w:val="16"/>
                <w:w w:val="101"/>
                <w:sz w:val="20"/>
                <w:szCs w:val="20"/>
              </w:rPr>
              <w:t xml:space="preserve">  </w:t>
            </w:r>
            <w:r>
              <w:rPr>
                <w:sz w:val="20"/>
                <w:szCs w:val="20"/>
              </w:rPr>
              <w:t xml:space="preserve">的要 </w:t>
            </w:r>
            <w:r>
              <w:rPr>
                <w:spacing w:val="2"/>
                <w:sz w:val="20"/>
                <w:szCs w:val="20"/>
              </w:rPr>
              <w:t>求。</w:t>
            </w:r>
          </w:p>
          <w:p w14:paraId="565CF72D">
            <w:pPr>
              <w:pStyle w:val="6"/>
              <w:spacing w:before="31" w:line="282" w:lineRule="auto"/>
              <w:ind w:left="114" w:right="10" w:firstLine="3"/>
              <w:rPr>
                <w:sz w:val="20"/>
                <w:szCs w:val="20"/>
              </w:rPr>
            </w:pPr>
            <w:r>
              <w:rPr>
                <w:spacing w:val="9"/>
                <w:sz w:val="20"/>
                <w:szCs w:val="20"/>
              </w:rPr>
              <w:t>厂区地面、办公区、接待办地面</w:t>
            </w:r>
            <w:r>
              <w:rPr>
                <w:sz w:val="20"/>
                <w:szCs w:val="20"/>
              </w:rPr>
              <w:t xml:space="preserve">  </w:t>
            </w:r>
            <w:r>
              <w:rPr>
                <w:spacing w:val="10"/>
                <w:sz w:val="20"/>
                <w:szCs w:val="20"/>
              </w:rPr>
              <w:t>采取简单防渗措施：地面硬化。</w:t>
            </w:r>
            <w:r>
              <w:rPr>
                <w:spacing w:val="4"/>
                <w:sz w:val="20"/>
                <w:szCs w:val="20"/>
              </w:rPr>
              <w:t xml:space="preserve">  </w:t>
            </w:r>
            <w:r>
              <w:rPr>
                <w:spacing w:val="9"/>
                <w:sz w:val="20"/>
                <w:szCs w:val="20"/>
              </w:rPr>
              <w:t>涉及防渗的工程（拆解区、危险</w:t>
            </w:r>
            <w:r>
              <w:rPr>
                <w:spacing w:val="1"/>
                <w:sz w:val="20"/>
                <w:szCs w:val="20"/>
              </w:rPr>
              <w:t xml:space="preserve">  </w:t>
            </w:r>
            <w:r>
              <w:rPr>
                <w:spacing w:val="3"/>
                <w:sz w:val="20"/>
                <w:szCs w:val="20"/>
              </w:rPr>
              <w:t>废物贮存库、导流槽、收集池等）</w:t>
            </w:r>
            <w:r>
              <w:rPr>
                <w:spacing w:val="10"/>
                <w:sz w:val="20"/>
                <w:szCs w:val="20"/>
              </w:rPr>
              <w:t xml:space="preserve"> </w:t>
            </w:r>
            <w:r>
              <w:rPr>
                <w:spacing w:val="9"/>
                <w:sz w:val="20"/>
                <w:szCs w:val="20"/>
              </w:rPr>
              <w:t>在施工过程中，必须留有影像资</w:t>
            </w:r>
            <w:r>
              <w:rPr>
                <w:spacing w:val="1"/>
                <w:sz w:val="20"/>
                <w:szCs w:val="20"/>
              </w:rPr>
              <w:t xml:space="preserve">  </w:t>
            </w:r>
            <w:r>
              <w:rPr>
                <w:spacing w:val="7"/>
                <w:sz w:val="20"/>
                <w:szCs w:val="20"/>
              </w:rPr>
              <w:t>料备查</w:t>
            </w:r>
          </w:p>
        </w:tc>
        <w:tc>
          <w:tcPr>
            <w:tcW w:w="1061" w:type="dxa"/>
            <w:tcBorders>
              <w:top w:val="single" w:color="000000" w:sz="10" w:space="0"/>
              <w:right w:val="single" w:color="000000" w:sz="10" w:space="0"/>
            </w:tcBorders>
            <w:vAlign w:val="top"/>
          </w:tcPr>
          <w:p w14:paraId="042189A9">
            <w:pPr>
              <w:rPr>
                <w:rFonts w:ascii="Arial"/>
                <w:sz w:val="21"/>
              </w:rPr>
            </w:pPr>
          </w:p>
        </w:tc>
      </w:tr>
      <w:tr w14:paraId="397101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09" w:hRule="atLeast"/>
        </w:trPr>
        <w:tc>
          <w:tcPr>
            <w:tcW w:w="494" w:type="dxa"/>
            <w:vMerge w:val="continue"/>
            <w:tcBorders>
              <w:top w:val="nil"/>
              <w:left w:val="single" w:color="000000" w:sz="10" w:space="0"/>
              <w:bottom w:val="nil"/>
            </w:tcBorders>
            <w:vAlign w:val="top"/>
          </w:tcPr>
          <w:p w14:paraId="0B408141">
            <w:pPr>
              <w:rPr>
                <w:rFonts w:ascii="Arial"/>
                <w:sz w:val="21"/>
              </w:rPr>
            </w:pPr>
          </w:p>
        </w:tc>
        <w:tc>
          <w:tcPr>
            <w:tcW w:w="4181" w:type="dxa"/>
            <w:gridSpan w:val="2"/>
            <w:tcBorders>
              <w:bottom w:val="single" w:color="000000" w:sz="10" w:space="0"/>
            </w:tcBorders>
            <w:vAlign w:val="top"/>
          </w:tcPr>
          <w:p w14:paraId="062552BF">
            <w:pPr>
              <w:spacing w:line="242" w:lineRule="auto"/>
              <w:rPr>
                <w:rFonts w:ascii="Arial"/>
                <w:sz w:val="21"/>
              </w:rPr>
            </w:pPr>
          </w:p>
          <w:p w14:paraId="23DC1631">
            <w:pPr>
              <w:spacing w:line="243" w:lineRule="auto"/>
              <w:rPr>
                <w:rFonts w:ascii="Arial"/>
                <w:sz w:val="21"/>
              </w:rPr>
            </w:pPr>
          </w:p>
          <w:p w14:paraId="1DC67712">
            <w:pPr>
              <w:spacing w:line="243" w:lineRule="auto"/>
              <w:rPr>
                <w:rFonts w:ascii="Arial"/>
                <w:sz w:val="21"/>
              </w:rPr>
            </w:pPr>
          </w:p>
          <w:p w14:paraId="516C135A">
            <w:pPr>
              <w:spacing w:line="243" w:lineRule="auto"/>
              <w:rPr>
                <w:rFonts w:ascii="Arial"/>
                <w:sz w:val="21"/>
              </w:rPr>
            </w:pPr>
          </w:p>
          <w:p w14:paraId="2DA1872C">
            <w:pPr>
              <w:pStyle w:val="6"/>
              <w:spacing w:before="65" w:line="286" w:lineRule="auto"/>
              <w:ind w:left="209" w:right="105"/>
              <w:jc w:val="both"/>
              <w:rPr>
                <w:sz w:val="20"/>
                <w:szCs w:val="20"/>
              </w:rPr>
            </w:pPr>
            <w:r>
              <w:rPr>
                <w:spacing w:val="14"/>
                <w:sz w:val="20"/>
                <w:szCs w:val="20"/>
              </w:rPr>
              <w:t>加强环境风险源头防控。压实企业环境安</w:t>
            </w:r>
            <w:r>
              <w:rPr>
                <w:spacing w:val="7"/>
                <w:sz w:val="20"/>
                <w:szCs w:val="20"/>
              </w:rPr>
              <w:t xml:space="preserve"> </w:t>
            </w:r>
            <w:r>
              <w:rPr>
                <w:spacing w:val="14"/>
                <w:sz w:val="20"/>
                <w:szCs w:val="20"/>
              </w:rPr>
              <w:t>全主体责任，开展环境风险企业突发事件</w:t>
            </w:r>
            <w:r>
              <w:rPr>
                <w:spacing w:val="7"/>
                <w:sz w:val="20"/>
                <w:szCs w:val="20"/>
              </w:rPr>
              <w:t xml:space="preserve"> </w:t>
            </w:r>
            <w:r>
              <w:rPr>
                <w:spacing w:val="14"/>
                <w:sz w:val="20"/>
                <w:szCs w:val="20"/>
              </w:rPr>
              <w:t>生态环境风险隐患排查治理，完善重大环</w:t>
            </w:r>
          </w:p>
          <w:p w14:paraId="6EA41B1A">
            <w:pPr>
              <w:pStyle w:val="6"/>
              <w:spacing w:before="30" w:line="228" w:lineRule="auto"/>
              <w:ind w:left="210"/>
              <w:rPr>
                <w:sz w:val="20"/>
                <w:szCs w:val="20"/>
              </w:rPr>
            </w:pPr>
            <w:r>
              <w:rPr>
                <w:spacing w:val="8"/>
                <w:sz w:val="20"/>
                <w:szCs w:val="20"/>
              </w:rPr>
              <w:t>境风险源企业及环境风险敏感企业名录。</w:t>
            </w:r>
          </w:p>
        </w:tc>
        <w:tc>
          <w:tcPr>
            <w:tcW w:w="3186" w:type="dxa"/>
            <w:gridSpan w:val="3"/>
            <w:tcBorders>
              <w:bottom w:val="single" w:color="000000" w:sz="10" w:space="0"/>
            </w:tcBorders>
            <w:vAlign w:val="top"/>
          </w:tcPr>
          <w:p w14:paraId="078E1ED6">
            <w:pPr>
              <w:pStyle w:val="6"/>
              <w:spacing w:before="81" w:line="291" w:lineRule="auto"/>
              <w:ind w:left="114" w:right="95" w:firstLine="3"/>
              <w:jc w:val="both"/>
              <w:rPr>
                <w:sz w:val="20"/>
                <w:szCs w:val="20"/>
              </w:rPr>
            </w:pPr>
            <w:r>
              <w:rPr>
                <w:spacing w:val="11"/>
                <w:sz w:val="20"/>
                <w:szCs w:val="20"/>
              </w:rPr>
              <w:t>危险废物贮存库、拆解区、导流</w:t>
            </w:r>
            <w:r>
              <w:rPr>
                <w:spacing w:val="12"/>
                <w:sz w:val="20"/>
                <w:szCs w:val="20"/>
              </w:rPr>
              <w:t xml:space="preserve"> 槽、收集池等重点防渗。本项目</w:t>
            </w:r>
            <w:r>
              <w:rPr>
                <w:spacing w:val="2"/>
                <w:sz w:val="20"/>
                <w:szCs w:val="20"/>
              </w:rPr>
              <w:t xml:space="preserve"> </w:t>
            </w:r>
            <w:r>
              <w:rPr>
                <w:spacing w:val="13"/>
                <w:sz w:val="20"/>
                <w:szCs w:val="20"/>
              </w:rPr>
              <w:t>危</w:t>
            </w:r>
            <w:r>
              <w:rPr>
                <w:spacing w:val="-39"/>
                <w:sz w:val="20"/>
                <w:szCs w:val="20"/>
              </w:rPr>
              <w:t xml:space="preserve"> </w:t>
            </w:r>
            <w:r>
              <w:rPr>
                <w:spacing w:val="13"/>
                <w:sz w:val="20"/>
                <w:szCs w:val="20"/>
              </w:rPr>
              <w:t>险废贮存库四周</w:t>
            </w:r>
            <w:r>
              <w:rPr>
                <w:spacing w:val="-14"/>
                <w:sz w:val="20"/>
                <w:szCs w:val="20"/>
              </w:rPr>
              <w:t xml:space="preserve"> </w:t>
            </w:r>
            <w:r>
              <w:rPr>
                <w:spacing w:val="13"/>
                <w:sz w:val="20"/>
                <w:szCs w:val="20"/>
              </w:rPr>
              <w:t>0.4m×0.5m</w:t>
            </w:r>
            <w:r>
              <w:rPr>
                <w:sz w:val="20"/>
                <w:szCs w:val="20"/>
              </w:rPr>
              <w:t xml:space="preserve"> </w:t>
            </w:r>
            <w:r>
              <w:rPr>
                <w:spacing w:val="12"/>
                <w:sz w:val="20"/>
                <w:szCs w:val="20"/>
              </w:rPr>
              <w:t>导流槽，于拆解车间外侧西南角</w:t>
            </w:r>
            <w:r>
              <w:rPr>
                <w:spacing w:val="2"/>
                <w:sz w:val="20"/>
                <w:szCs w:val="20"/>
              </w:rPr>
              <w:t xml:space="preserve"> </w:t>
            </w:r>
            <w:r>
              <w:rPr>
                <w:spacing w:val="7"/>
                <w:sz w:val="20"/>
                <w:szCs w:val="20"/>
              </w:rPr>
              <w:t>建设</w:t>
            </w:r>
            <w:r>
              <w:rPr>
                <w:spacing w:val="-17"/>
                <w:sz w:val="20"/>
                <w:szCs w:val="20"/>
              </w:rPr>
              <w:t xml:space="preserve"> </w:t>
            </w:r>
            <w:r>
              <w:rPr>
                <w:spacing w:val="7"/>
                <w:sz w:val="20"/>
                <w:szCs w:val="20"/>
              </w:rPr>
              <w:t>10m</w:t>
            </w:r>
            <w:r>
              <w:rPr>
                <w:spacing w:val="7"/>
                <w:position w:val="10"/>
                <w:sz w:val="10"/>
                <w:szCs w:val="10"/>
              </w:rPr>
              <w:t>3</w:t>
            </w:r>
            <w:r>
              <w:rPr>
                <w:spacing w:val="-11"/>
                <w:position w:val="10"/>
                <w:sz w:val="10"/>
                <w:szCs w:val="10"/>
              </w:rPr>
              <w:t xml:space="preserve"> </w:t>
            </w:r>
            <w:r>
              <w:rPr>
                <w:spacing w:val="7"/>
                <w:sz w:val="20"/>
                <w:szCs w:val="20"/>
              </w:rPr>
              <w:t>事故收集池，1</w:t>
            </w:r>
            <w:r>
              <w:rPr>
                <w:spacing w:val="-17"/>
                <w:sz w:val="20"/>
                <w:szCs w:val="20"/>
              </w:rPr>
              <w:t xml:space="preserve"> </w:t>
            </w:r>
            <w:r>
              <w:rPr>
                <w:spacing w:val="7"/>
                <w:sz w:val="20"/>
                <w:szCs w:val="20"/>
              </w:rPr>
              <w:t>台移动</w:t>
            </w:r>
            <w:r>
              <w:rPr>
                <w:sz w:val="20"/>
                <w:szCs w:val="20"/>
              </w:rPr>
              <w:t xml:space="preserve"> </w:t>
            </w:r>
            <w:r>
              <w:rPr>
                <w:spacing w:val="7"/>
                <w:sz w:val="20"/>
                <w:szCs w:val="20"/>
              </w:rPr>
              <w:t>式隔油处理设施，</w:t>
            </w:r>
          </w:p>
          <w:p w14:paraId="6FDF442F">
            <w:pPr>
              <w:pStyle w:val="6"/>
              <w:spacing w:before="28" w:line="228" w:lineRule="auto"/>
              <w:ind w:left="115"/>
              <w:rPr>
                <w:sz w:val="20"/>
                <w:szCs w:val="20"/>
              </w:rPr>
            </w:pPr>
            <w:r>
              <w:rPr>
                <w:spacing w:val="8"/>
                <w:sz w:val="20"/>
                <w:szCs w:val="20"/>
              </w:rPr>
              <w:t>配备灭火器、消火栓、消防沙；</w:t>
            </w:r>
          </w:p>
          <w:p w14:paraId="7105C77B">
            <w:pPr>
              <w:pStyle w:val="6"/>
              <w:spacing w:before="72" w:line="270" w:lineRule="auto"/>
              <w:ind w:left="117" w:right="86"/>
              <w:rPr>
                <w:sz w:val="20"/>
                <w:szCs w:val="20"/>
              </w:rPr>
            </w:pPr>
            <w:r>
              <w:rPr>
                <w:spacing w:val="5"/>
                <w:sz w:val="20"/>
                <w:szCs w:val="20"/>
              </w:rPr>
              <w:t>2）编制突发环境事件应急预案；</w:t>
            </w:r>
            <w:r>
              <w:rPr>
                <w:sz w:val="20"/>
                <w:szCs w:val="20"/>
              </w:rPr>
              <w:t xml:space="preserve"> </w:t>
            </w:r>
            <w:r>
              <w:rPr>
                <w:rFonts w:ascii="Calibri" w:hAnsi="Calibri" w:eastAsia="Calibri" w:cs="Calibri"/>
                <w:spacing w:val="4"/>
                <w:sz w:val="20"/>
                <w:szCs w:val="20"/>
              </w:rPr>
              <w:t>3</w:t>
            </w:r>
            <w:r>
              <w:rPr>
                <w:spacing w:val="4"/>
                <w:sz w:val="20"/>
                <w:szCs w:val="20"/>
              </w:rPr>
              <w:t>）定期进行突发环境事件应急演</w:t>
            </w:r>
            <w:r>
              <w:rPr>
                <w:spacing w:val="3"/>
                <w:sz w:val="20"/>
                <w:szCs w:val="20"/>
              </w:rPr>
              <w:t xml:space="preserve"> </w:t>
            </w:r>
            <w:r>
              <w:rPr>
                <w:spacing w:val="-1"/>
                <w:sz w:val="20"/>
                <w:szCs w:val="20"/>
              </w:rPr>
              <w:t>练。</w:t>
            </w:r>
          </w:p>
        </w:tc>
        <w:tc>
          <w:tcPr>
            <w:tcW w:w="1061" w:type="dxa"/>
            <w:tcBorders>
              <w:bottom w:val="single" w:color="000000" w:sz="10" w:space="0"/>
              <w:right w:val="single" w:color="000000" w:sz="10" w:space="0"/>
            </w:tcBorders>
            <w:vAlign w:val="top"/>
          </w:tcPr>
          <w:p w14:paraId="5E8596D2">
            <w:pPr>
              <w:spacing w:line="241" w:lineRule="auto"/>
              <w:rPr>
                <w:rFonts w:ascii="Arial"/>
                <w:sz w:val="21"/>
              </w:rPr>
            </w:pPr>
          </w:p>
          <w:p w14:paraId="2569C5B1">
            <w:pPr>
              <w:spacing w:line="241" w:lineRule="auto"/>
              <w:rPr>
                <w:rFonts w:ascii="Arial"/>
                <w:sz w:val="21"/>
              </w:rPr>
            </w:pPr>
          </w:p>
          <w:p w14:paraId="438C6C3E">
            <w:pPr>
              <w:spacing w:line="241" w:lineRule="auto"/>
              <w:rPr>
                <w:rFonts w:ascii="Arial"/>
                <w:sz w:val="21"/>
              </w:rPr>
            </w:pPr>
          </w:p>
          <w:p w14:paraId="6FABDC04">
            <w:pPr>
              <w:spacing w:line="241" w:lineRule="auto"/>
              <w:rPr>
                <w:rFonts w:ascii="Arial"/>
                <w:sz w:val="21"/>
              </w:rPr>
            </w:pPr>
          </w:p>
          <w:p w14:paraId="2B703691">
            <w:pPr>
              <w:spacing w:line="242" w:lineRule="auto"/>
              <w:rPr>
                <w:rFonts w:ascii="Arial"/>
                <w:sz w:val="21"/>
              </w:rPr>
            </w:pPr>
          </w:p>
          <w:p w14:paraId="0B049000">
            <w:pPr>
              <w:spacing w:line="242" w:lineRule="auto"/>
              <w:rPr>
                <w:rFonts w:ascii="Arial"/>
                <w:sz w:val="21"/>
              </w:rPr>
            </w:pPr>
          </w:p>
          <w:p w14:paraId="2FF8AB88">
            <w:pPr>
              <w:pStyle w:val="6"/>
              <w:spacing w:before="65" w:line="228" w:lineRule="auto"/>
              <w:ind w:left="277"/>
              <w:rPr>
                <w:sz w:val="20"/>
                <w:szCs w:val="20"/>
              </w:rPr>
            </w:pPr>
            <w:r>
              <w:rPr>
                <w:spacing w:val="4"/>
                <w:sz w:val="20"/>
                <w:szCs w:val="20"/>
              </w:rPr>
              <w:t>相符</w:t>
            </w:r>
          </w:p>
        </w:tc>
      </w:tr>
      <w:tr w14:paraId="7CC22C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9" w:hRule="atLeast"/>
        </w:trPr>
        <w:tc>
          <w:tcPr>
            <w:tcW w:w="494" w:type="dxa"/>
            <w:vMerge w:val="continue"/>
            <w:tcBorders>
              <w:top w:val="nil"/>
              <w:left w:val="single" w:color="000000" w:sz="10" w:space="0"/>
              <w:bottom w:val="nil"/>
            </w:tcBorders>
            <w:vAlign w:val="top"/>
          </w:tcPr>
          <w:p w14:paraId="769356E7">
            <w:pPr>
              <w:rPr>
                <w:rFonts w:ascii="Arial"/>
                <w:sz w:val="21"/>
              </w:rPr>
            </w:pPr>
          </w:p>
        </w:tc>
        <w:tc>
          <w:tcPr>
            <w:tcW w:w="8428" w:type="dxa"/>
            <w:gridSpan w:val="6"/>
            <w:tcBorders>
              <w:top w:val="single" w:color="000000" w:sz="10" w:space="0"/>
              <w:bottom w:val="single" w:color="000000" w:sz="10" w:space="0"/>
              <w:right w:val="single" w:color="000000" w:sz="10" w:space="0"/>
            </w:tcBorders>
            <w:vAlign w:val="top"/>
          </w:tcPr>
          <w:p w14:paraId="0F7541C6">
            <w:pPr>
              <w:pStyle w:val="6"/>
              <w:spacing w:before="196" w:line="219" w:lineRule="auto"/>
              <w:ind w:left="589"/>
              <w:outlineLvl w:val="1"/>
            </w:pPr>
            <w:r>
              <w:rPr>
                <w:rFonts w:ascii="Times New Roman" w:hAnsi="Times New Roman" w:eastAsia="Times New Roman" w:cs="Times New Roman"/>
                <w:b/>
                <w:bCs/>
                <w:spacing w:val="-2"/>
              </w:rPr>
              <w:t>14</w:t>
            </w:r>
            <w:r>
              <w:rPr>
                <w:rFonts w:ascii="Times New Roman" w:hAnsi="Times New Roman" w:eastAsia="Times New Roman" w:cs="Times New Roman"/>
                <w:b/>
                <w:bCs/>
                <w:spacing w:val="-34"/>
              </w:rPr>
              <w:t xml:space="preserve"> </w:t>
            </w:r>
            <w:r>
              <w:rPr>
                <w:b/>
                <w:bCs/>
                <w:spacing w:val="-2"/>
              </w:rPr>
              <w:t>、与《大庆市水土保持规划》（</w:t>
            </w:r>
            <w:r>
              <w:rPr>
                <w:rFonts w:ascii="Times New Roman" w:hAnsi="Times New Roman" w:eastAsia="Times New Roman" w:cs="Times New Roman"/>
                <w:b/>
                <w:bCs/>
                <w:spacing w:val="-2"/>
              </w:rPr>
              <w:t>201</w:t>
            </w:r>
            <w:r>
              <w:rPr>
                <w:rFonts w:ascii="Times New Roman" w:hAnsi="Times New Roman" w:eastAsia="Times New Roman" w:cs="Times New Roman"/>
                <w:b/>
                <w:bCs/>
                <w:spacing w:val="-3"/>
              </w:rPr>
              <w:t>5</w:t>
            </w:r>
            <w:r>
              <w:rPr>
                <w:b/>
                <w:bCs/>
                <w:spacing w:val="-3"/>
              </w:rPr>
              <w:t>～</w:t>
            </w:r>
            <w:r>
              <w:rPr>
                <w:rFonts w:ascii="Times New Roman" w:hAnsi="Times New Roman" w:eastAsia="Times New Roman" w:cs="Times New Roman"/>
                <w:b/>
                <w:bCs/>
                <w:spacing w:val="-3"/>
              </w:rPr>
              <w:t xml:space="preserve">2030 </w:t>
            </w:r>
            <w:r>
              <w:rPr>
                <w:b/>
                <w:bCs/>
                <w:spacing w:val="-3"/>
              </w:rPr>
              <w:t>年）符合性分析</w:t>
            </w:r>
          </w:p>
          <w:p w14:paraId="7C2F29A2">
            <w:pPr>
              <w:pStyle w:val="6"/>
              <w:spacing w:before="214" w:line="219" w:lineRule="auto"/>
              <w:ind w:left="582"/>
              <w:outlineLvl w:val="1"/>
            </w:pPr>
            <w:r>
              <w:rPr>
                <w:spacing w:val="-1"/>
              </w:rPr>
              <w:t>根据《大庆市水土保持规划》（</w:t>
            </w:r>
            <w:r>
              <w:rPr>
                <w:rFonts w:ascii="Times New Roman" w:hAnsi="Times New Roman" w:eastAsia="Times New Roman" w:cs="Times New Roman"/>
                <w:spacing w:val="-1"/>
              </w:rPr>
              <w:t>2015</w:t>
            </w:r>
            <w:r>
              <w:rPr>
                <w:spacing w:val="-1"/>
              </w:rPr>
              <w:t>～</w:t>
            </w:r>
            <w:r>
              <w:rPr>
                <w:rFonts w:ascii="Times New Roman" w:hAnsi="Times New Roman" w:eastAsia="Times New Roman" w:cs="Times New Roman"/>
                <w:spacing w:val="-1"/>
              </w:rPr>
              <w:t xml:space="preserve">2030 </w:t>
            </w:r>
            <w:r>
              <w:rPr>
                <w:spacing w:val="-1"/>
              </w:rPr>
              <w:t>年</w:t>
            </w:r>
            <w:r>
              <w:rPr>
                <w:spacing w:val="13"/>
              </w:rPr>
              <w:t>），</w:t>
            </w:r>
            <w:r>
              <w:rPr>
                <w:spacing w:val="-1"/>
              </w:rPr>
              <w:t>大庆市划定了市级水土</w:t>
            </w:r>
          </w:p>
          <w:p w14:paraId="0A91CB57">
            <w:pPr>
              <w:pStyle w:val="6"/>
              <w:spacing w:before="217" w:line="375" w:lineRule="auto"/>
              <w:ind w:left="103" w:right="97"/>
              <w:jc w:val="both"/>
            </w:pPr>
            <w:r>
              <w:rPr>
                <w:spacing w:val="1"/>
              </w:rPr>
              <w:t>流失重点预防区和重点治理区，建设项目位于大庆市林甸县，不属于市级水土</w:t>
            </w:r>
            <w:r>
              <w:rPr>
                <w:spacing w:val="17"/>
              </w:rPr>
              <w:t xml:space="preserve"> </w:t>
            </w:r>
            <w:r>
              <w:rPr>
                <w:spacing w:val="-5"/>
              </w:rPr>
              <w:t>流失重点预防区和重点治理区。建设项目与《大庆市水土保持规划（</w:t>
            </w:r>
            <w:r>
              <w:rPr>
                <w:rFonts w:ascii="Times New Roman" w:hAnsi="Times New Roman" w:eastAsia="Times New Roman" w:cs="Times New Roman"/>
                <w:spacing w:val="-5"/>
              </w:rPr>
              <w:t>2015</w:t>
            </w:r>
            <w:r>
              <w:rPr>
                <w:spacing w:val="-5"/>
              </w:rPr>
              <w:t>～</w:t>
            </w:r>
            <w:r>
              <w:rPr>
                <w:rFonts w:ascii="Times New Roman" w:hAnsi="Times New Roman" w:eastAsia="Times New Roman" w:cs="Times New Roman"/>
                <w:spacing w:val="-5"/>
              </w:rPr>
              <w:t>2030</w:t>
            </w:r>
            <w:r>
              <w:rPr>
                <w:rFonts w:ascii="Times New Roman" w:hAnsi="Times New Roman" w:eastAsia="Times New Roman" w:cs="Times New Roman"/>
                <w:spacing w:val="6"/>
              </w:rPr>
              <w:t xml:space="preserve"> </w:t>
            </w:r>
            <w:r>
              <w:rPr>
                <w:spacing w:val="-3"/>
              </w:rPr>
              <w:t>年）》符合性分析见表</w:t>
            </w:r>
            <w:r>
              <w:rPr>
                <w:spacing w:val="-28"/>
              </w:rPr>
              <w:t xml:space="preserve"> </w:t>
            </w:r>
            <w:r>
              <w:rPr>
                <w:rFonts w:ascii="Times New Roman" w:hAnsi="Times New Roman" w:eastAsia="Times New Roman" w:cs="Times New Roman"/>
                <w:spacing w:val="-3"/>
              </w:rPr>
              <w:t>1-15</w:t>
            </w:r>
            <w:r>
              <w:rPr>
                <w:spacing w:val="-3"/>
              </w:rPr>
              <w:t>。</w:t>
            </w:r>
          </w:p>
          <w:p w14:paraId="1FDF313A">
            <w:pPr>
              <w:pStyle w:val="6"/>
              <w:spacing w:before="37" w:line="219" w:lineRule="auto"/>
              <w:ind w:left="581"/>
            </w:pPr>
            <w:r>
              <w:rPr>
                <w:b/>
                <w:bCs/>
                <w:spacing w:val="-2"/>
              </w:rPr>
              <w:t>表</w:t>
            </w:r>
            <w:r>
              <w:rPr>
                <w:spacing w:val="-28"/>
              </w:rPr>
              <w:t xml:space="preserve"> </w:t>
            </w:r>
            <w:r>
              <w:rPr>
                <w:rFonts w:ascii="Times New Roman" w:hAnsi="Times New Roman" w:eastAsia="Times New Roman" w:cs="Times New Roman"/>
                <w:b/>
                <w:bCs/>
                <w:spacing w:val="-2"/>
              </w:rPr>
              <w:t>1-</w:t>
            </w:r>
            <w:r>
              <w:rPr>
                <w:rFonts w:ascii="Calibri" w:hAnsi="Calibri" w:eastAsia="Calibri" w:cs="Calibri"/>
                <w:b/>
                <w:bCs/>
                <w:spacing w:val="-2"/>
              </w:rPr>
              <w:t xml:space="preserve">15         </w:t>
            </w:r>
            <w:r>
              <w:rPr>
                <w:b/>
                <w:bCs/>
                <w:spacing w:val="-2"/>
              </w:rPr>
              <w:t>与《大庆市水保规划（</w:t>
            </w:r>
            <w:r>
              <w:rPr>
                <w:rFonts w:ascii="Times New Roman" w:hAnsi="Times New Roman" w:eastAsia="Times New Roman" w:cs="Times New Roman"/>
                <w:b/>
                <w:bCs/>
                <w:spacing w:val="-2"/>
              </w:rPr>
              <w:t>2015~2030</w:t>
            </w:r>
            <w:r>
              <w:rPr>
                <w:b/>
                <w:bCs/>
                <w:spacing w:val="-2"/>
              </w:rPr>
              <w:t>）》符合性分析</w:t>
            </w:r>
          </w:p>
        </w:tc>
      </w:tr>
      <w:tr w14:paraId="3A22F8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494" w:type="dxa"/>
            <w:vMerge w:val="continue"/>
            <w:tcBorders>
              <w:top w:val="nil"/>
              <w:left w:val="single" w:color="000000" w:sz="10" w:space="0"/>
              <w:bottom w:val="nil"/>
            </w:tcBorders>
            <w:vAlign w:val="top"/>
          </w:tcPr>
          <w:p w14:paraId="6EE8D01F">
            <w:pPr>
              <w:rPr>
                <w:rFonts w:ascii="Arial"/>
                <w:sz w:val="21"/>
              </w:rPr>
            </w:pPr>
          </w:p>
        </w:tc>
        <w:tc>
          <w:tcPr>
            <w:tcW w:w="786" w:type="dxa"/>
            <w:tcBorders>
              <w:top w:val="single" w:color="000000" w:sz="10" w:space="0"/>
            </w:tcBorders>
            <w:vAlign w:val="top"/>
          </w:tcPr>
          <w:p w14:paraId="725E9F63">
            <w:pPr>
              <w:pStyle w:val="6"/>
              <w:spacing w:before="83" w:line="204" w:lineRule="auto"/>
              <w:ind w:left="230"/>
              <w:rPr>
                <w:sz w:val="20"/>
                <w:szCs w:val="20"/>
              </w:rPr>
            </w:pPr>
            <w:r>
              <w:rPr>
                <w:b/>
                <w:bCs/>
                <w:spacing w:val="4"/>
                <w:sz w:val="20"/>
                <w:szCs w:val="20"/>
              </w:rPr>
              <w:t>序号</w:t>
            </w:r>
          </w:p>
        </w:tc>
        <w:tc>
          <w:tcPr>
            <w:tcW w:w="4547" w:type="dxa"/>
            <w:gridSpan w:val="2"/>
            <w:tcBorders>
              <w:top w:val="single" w:color="000000" w:sz="10" w:space="0"/>
            </w:tcBorders>
            <w:vAlign w:val="top"/>
          </w:tcPr>
          <w:p w14:paraId="7F1C67E9">
            <w:pPr>
              <w:pStyle w:val="6"/>
              <w:spacing w:before="83" w:line="204" w:lineRule="auto"/>
              <w:ind w:left="1856"/>
              <w:rPr>
                <w:sz w:val="20"/>
                <w:szCs w:val="20"/>
              </w:rPr>
            </w:pPr>
            <w:r>
              <w:rPr>
                <w:b/>
                <w:bCs/>
                <w:spacing w:val="6"/>
                <w:sz w:val="20"/>
                <w:szCs w:val="20"/>
              </w:rPr>
              <w:t>文件要求</w:t>
            </w:r>
          </w:p>
        </w:tc>
        <w:tc>
          <w:tcPr>
            <w:tcW w:w="1974" w:type="dxa"/>
            <w:tcBorders>
              <w:top w:val="single" w:color="000000" w:sz="10" w:space="0"/>
            </w:tcBorders>
            <w:vAlign w:val="top"/>
          </w:tcPr>
          <w:p w14:paraId="2888D12F">
            <w:pPr>
              <w:pStyle w:val="6"/>
              <w:spacing w:before="83" w:line="204" w:lineRule="auto"/>
              <w:ind w:left="474"/>
              <w:rPr>
                <w:sz w:val="20"/>
                <w:szCs w:val="20"/>
              </w:rPr>
            </w:pPr>
            <w:r>
              <w:rPr>
                <w:b/>
                <w:bCs/>
                <w:spacing w:val="6"/>
                <w:sz w:val="20"/>
                <w:szCs w:val="20"/>
              </w:rPr>
              <w:t>符合性分析</w:t>
            </w:r>
          </w:p>
        </w:tc>
        <w:tc>
          <w:tcPr>
            <w:tcW w:w="1121" w:type="dxa"/>
            <w:gridSpan w:val="2"/>
            <w:tcBorders>
              <w:top w:val="single" w:color="000000" w:sz="10" w:space="0"/>
              <w:right w:val="single" w:color="000000" w:sz="10" w:space="0"/>
            </w:tcBorders>
            <w:vAlign w:val="top"/>
          </w:tcPr>
          <w:p w14:paraId="642268B3">
            <w:pPr>
              <w:pStyle w:val="6"/>
              <w:spacing w:before="83" w:line="204" w:lineRule="auto"/>
              <w:ind w:left="164"/>
              <w:rPr>
                <w:sz w:val="20"/>
                <w:szCs w:val="20"/>
              </w:rPr>
            </w:pPr>
            <w:r>
              <w:rPr>
                <w:b/>
                <w:bCs/>
                <w:spacing w:val="5"/>
                <w:sz w:val="20"/>
                <w:szCs w:val="20"/>
              </w:rPr>
              <w:t>符合性</w:t>
            </w:r>
          </w:p>
        </w:tc>
      </w:tr>
      <w:tr w14:paraId="68BFB1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60" w:hRule="atLeast"/>
        </w:trPr>
        <w:tc>
          <w:tcPr>
            <w:tcW w:w="494" w:type="dxa"/>
            <w:vMerge w:val="continue"/>
            <w:tcBorders>
              <w:top w:val="nil"/>
              <w:left w:val="single" w:color="000000" w:sz="10" w:space="0"/>
              <w:bottom w:val="nil"/>
            </w:tcBorders>
            <w:vAlign w:val="top"/>
          </w:tcPr>
          <w:p w14:paraId="5B3786A7">
            <w:pPr>
              <w:rPr>
                <w:rFonts w:ascii="Arial"/>
                <w:sz w:val="21"/>
              </w:rPr>
            </w:pPr>
          </w:p>
        </w:tc>
        <w:tc>
          <w:tcPr>
            <w:tcW w:w="786" w:type="dxa"/>
            <w:vAlign w:val="top"/>
          </w:tcPr>
          <w:p w14:paraId="3C265207">
            <w:pPr>
              <w:spacing w:line="298" w:lineRule="auto"/>
              <w:rPr>
                <w:rFonts w:ascii="Arial"/>
                <w:sz w:val="21"/>
              </w:rPr>
            </w:pPr>
          </w:p>
          <w:p w14:paraId="513A3ACB">
            <w:pPr>
              <w:spacing w:line="298" w:lineRule="auto"/>
              <w:rPr>
                <w:rFonts w:ascii="Arial"/>
                <w:sz w:val="21"/>
              </w:rPr>
            </w:pPr>
          </w:p>
          <w:p w14:paraId="1A530F86">
            <w:pPr>
              <w:spacing w:line="298" w:lineRule="auto"/>
              <w:rPr>
                <w:rFonts w:ascii="Arial"/>
                <w:sz w:val="21"/>
              </w:rPr>
            </w:pPr>
          </w:p>
          <w:p w14:paraId="1B377A06">
            <w:pPr>
              <w:spacing w:line="298" w:lineRule="auto"/>
              <w:rPr>
                <w:rFonts w:ascii="Arial"/>
                <w:sz w:val="21"/>
              </w:rPr>
            </w:pPr>
          </w:p>
          <w:p w14:paraId="4F2A294F">
            <w:pPr>
              <w:spacing w:before="61" w:line="185" w:lineRule="auto"/>
              <w:ind w:left="398"/>
              <w:rPr>
                <w:rFonts w:ascii="Calibri" w:hAnsi="Calibri" w:eastAsia="Calibri" w:cs="Calibri"/>
                <w:sz w:val="20"/>
                <w:szCs w:val="20"/>
              </w:rPr>
            </w:pPr>
            <w:r>
              <w:rPr>
                <w:rFonts w:ascii="Calibri" w:hAnsi="Calibri" w:eastAsia="Calibri" w:cs="Calibri"/>
                <w:sz w:val="20"/>
                <w:szCs w:val="20"/>
              </w:rPr>
              <w:t>1</w:t>
            </w:r>
          </w:p>
        </w:tc>
        <w:tc>
          <w:tcPr>
            <w:tcW w:w="4547" w:type="dxa"/>
            <w:gridSpan w:val="2"/>
            <w:vAlign w:val="top"/>
          </w:tcPr>
          <w:p w14:paraId="63CA8E76">
            <w:pPr>
              <w:pStyle w:val="6"/>
              <w:spacing w:before="94" w:line="285" w:lineRule="auto"/>
              <w:ind w:left="104" w:right="71"/>
              <w:jc w:val="both"/>
              <w:rPr>
                <w:sz w:val="20"/>
                <w:szCs w:val="20"/>
              </w:rPr>
            </w:pPr>
            <w:r>
              <w:rPr>
                <w:spacing w:val="6"/>
                <w:sz w:val="20"/>
                <w:szCs w:val="20"/>
              </w:rPr>
              <w:t>根据《大庆市水务局关于划定大庆市水土流失重 点预防区和重点治理区的公告》，根据水土保持</w:t>
            </w:r>
            <w:r>
              <w:rPr>
                <w:spacing w:val="5"/>
                <w:sz w:val="20"/>
                <w:szCs w:val="20"/>
              </w:rPr>
              <w:t xml:space="preserve"> </w:t>
            </w:r>
            <w:r>
              <w:rPr>
                <w:spacing w:val="7"/>
                <w:sz w:val="20"/>
                <w:szCs w:val="20"/>
              </w:rPr>
              <w:t>法第十二条，黑龙江省水土保持条例第十二条、</w:t>
            </w:r>
          </w:p>
          <w:p w14:paraId="73FF6708">
            <w:pPr>
              <w:pStyle w:val="6"/>
              <w:spacing w:before="33" w:line="228" w:lineRule="auto"/>
              <w:ind w:left="105"/>
              <w:outlineLvl w:val="2"/>
              <w:rPr>
                <w:sz w:val="20"/>
                <w:szCs w:val="20"/>
              </w:rPr>
            </w:pPr>
            <w:r>
              <w:rPr>
                <w:spacing w:val="6"/>
                <w:sz w:val="20"/>
                <w:szCs w:val="20"/>
              </w:rPr>
              <w:t>十三条、十四条规定，在国家和省级水土流失重</w:t>
            </w:r>
          </w:p>
          <w:p w14:paraId="679C5E8A">
            <w:pPr>
              <w:pStyle w:val="6"/>
              <w:spacing w:before="72" w:line="280" w:lineRule="auto"/>
              <w:ind w:left="109" w:right="103" w:firstLine="5"/>
              <w:rPr>
                <w:sz w:val="20"/>
                <w:szCs w:val="20"/>
              </w:rPr>
            </w:pPr>
            <w:r>
              <w:rPr>
                <w:spacing w:val="5"/>
                <w:sz w:val="20"/>
                <w:szCs w:val="20"/>
              </w:rPr>
              <w:t>点预防区和重点治理区划定基础上，结合大庆市</w:t>
            </w:r>
            <w:r>
              <w:rPr>
                <w:spacing w:val="16"/>
                <w:sz w:val="20"/>
                <w:szCs w:val="20"/>
              </w:rPr>
              <w:t xml:space="preserve"> </w:t>
            </w:r>
            <w:r>
              <w:rPr>
                <w:spacing w:val="6"/>
                <w:sz w:val="20"/>
                <w:szCs w:val="20"/>
              </w:rPr>
              <w:t>实际，划定市级水土流失重点预防区和重点治理</w:t>
            </w:r>
          </w:p>
          <w:p w14:paraId="5A59881E">
            <w:pPr>
              <w:pStyle w:val="6"/>
              <w:spacing w:before="33" w:line="247" w:lineRule="auto"/>
              <w:ind w:left="722" w:right="103" w:hanging="602"/>
              <w:rPr>
                <w:sz w:val="20"/>
                <w:szCs w:val="20"/>
              </w:rPr>
            </w:pPr>
            <w:r>
              <w:rPr>
                <w:spacing w:val="5"/>
                <w:sz w:val="20"/>
                <w:szCs w:val="20"/>
              </w:rPr>
              <w:t>区公告如下：重点治理区：红岗区杏树岗镇，大</w:t>
            </w:r>
            <w:r>
              <w:rPr>
                <w:spacing w:val="12"/>
                <w:sz w:val="20"/>
                <w:szCs w:val="20"/>
              </w:rPr>
              <w:t xml:space="preserve"> </w:t>
            </w:r>
            <w:r>
              <w:rPr>
                <w:spacing w:val="7"/>
                <w:sz w:val="20"/>
                <w:szCs w:val="20"/>
              </w:rPr>
              <w:t>同区，林甸县，肇源县，杜蒙县。</w:t>
            </w:r>
          </w:p>
        </w:tc>
        <w:tc>
          <w:tcPr>
            <w:tcW w:w="1974" w:type="dxa"/>
            <w:vAlign w:val="top"/>
          </w:tcPr>
          <w:p w14:paraId="784CEC54">
            <w:pPr>
              <w:spacing w:line="348" w:lineRule="auto"/>
              <w:rPr>
                <w:rFonts w:ascii="Arial"/>
                <w:sz w:val="21"/>
              </w:rPr>
            </w:pPr>
          </w:p>
          <w:p w14:paraId="0E61DE47">
            <w:pPr>
              <w:pStyle w:val="6"/>
              <w:spacing w:before="65" w:line="288" w:lineRule="auto"/>
              <w:ind w:left="158" w:right="140" w:firstLine="2"/>
              <w:jc w:val="both"/>
              <w:rPr>
                <w:sz w:val="20"/>
                <w:szCs w:val="20"/>
              </w:rPr>
            </w:pPr>
            <w:r>
              <w:rPr>
                <w:spacing w:val="8"/>
                <w:sz w:val="20"/>
                <w:szCs w:val="20"/>
              </w:rPr>
              <w:t>建设项目位于大庆</w:t>
            </w:r>
            <w:r>
              <w:rPr>
                <w:spacing w:val="2"/>
                <w:sz w:val="20"/>
                <w:szCs w:val="20"/>
              </w:rPr>
              <w:t xml:space="preserve"> </w:t>
            </w:r>
            <w:r>
              <w:rPr>
                <w:spacing w:val="8"/>
                <w:sz w:val="20"/>
                <w:szCs w:val="20"/>
              </w:rPr>
              <w:t>市林甸县红旗镇永</w:t>
            </w:r>
            <w:r>
              <w:rPr>
                <w:spacing w:val="4"/>
                <w:sz w:val="20"/>
                <w:szCs w:val="20"/>
              </w:rPr>
              <w:t xml:space="preserve"> </w:t>
            </w:r>
            <w:r>
              <w:rPr>
                <w:spacing w:val="8"/>
                <w:sz w:val="20"/>
                <w:szCs w:val="20"/>
              </w:rPr>
              <w:t>胜村，根据公告内</w:t>
            </w:r>
            <w:r>
              <w:rPr>
                <w:spacing w:val="4"/>
                <w:sz w:val="20"/>
                <w:szCs w:val="20"/>
              </w:rPr>
              <w:t xml:space="preserve"> </w:t>
            </w:r>
            <w:r>
              <w:rPr>
                <w:spacing w:val="8"/>
                <w:sz w:val="20"/>
                <w:szCs w:val="20"/>
              </w:rPr>
              <w:t>容，建设项目区域</w:t>
            </w:r>
          </w:p>
          <w:p w14:paraId="0289FA1C">
            <w:pPr>
              <w:pStyle w:val="6"/>
              <w:spacing w:before="30" w:line="284" w:lineRule="auto"/>
              <w:ind w:left="370" w:right="140" w:hanging="210"/>
              <w:rPr>
                <w:sz w:val="20"/>
                <w:szCs w:val="20"/>
              </w:rPr>
            </w:pPr>
            <w:r>
              <w:rPr>
                <w:spacing w:val="8"/>
                <w:sz w:val="20"/>
                <w:szCs w:val="20"/>
              </w:rPr>
              <w:t>属于市级水土流失</w:t>
            </w:r>
            <w:r>
              <w:rPr>
                <w:spacing w:val="2"/>
                <w:sz w:val="20"/>
                <w:szCs w:val="20"/>
              </w:rPr>
              <w:t xml:space="preserve"> </w:t>
            </w:r>
            <w:r>
              <w:rPr>
                <w:spacing w:val="6"/>
                <w:sz w:val="20"/>
                <w:szCs w:val="20"/>
              </w:rPr>
              <w:t>重点治理区。</w:t>
            </w:r>
          </w:p>
        </w:tc>
        <w:tc>
          <w:tcPr>
            <w:tcW w:w="1121" w:type="dxa"/>
            <w:gridSpan w:val="2"/>
            <w:tcBorders>
              <w:right w:val="single" w:color="000000" w:sz="10" w:space="0"/>
            </w:tcBorders>
            <w:vAlign w:val="top"/>
          </w:tcPr>
          <w:p w14:paraId="065C797D">
            <w:pPr>
              <w:spacing w:line="285" w:lineRule="auto"/>
              <w:rPr>
                <w:rFonts w:ascii="Arial"/>
                <w:sz w:val="21"/>
              </w:rPr>
            </w:pPr>
          </w:p>
          <w:p w14:paraId="02E8BB7B">
            <w:pPr>
              <w:spacing w:line="285" w:lineRule="auto"/>
              <w:rPr>
                <w:rFonts w:ascii="Arial"/>
                <w:sz w:val="21"/>
              </w:rPr>
            </w:pPr>
          </w:p>
          <w:p w14:paraId="05ADF64D">
            <w:pPr>
              <w:spacing w:line="285" w:lineRule="auto"/>
              <w:rPr>
                <w:rFonts w:ascii="Arial"/>
                <w:sz w:val="21"/>
              </w:rPr>
            </w:pPr>
          </w:p>
          <w:p w14:paraId="1F24A616">
            <w:pPr>
              <w:spacing w:line="286" w:lineRule="auto"/>
              <w:rPr>
                <w:rFonts w:ascii="Arial"/>
                <w:sz w:val="21"/>
              </w:rPr>
            </w:pPr>
          </w:p>
          <w:p w14:paraId="7268A050">
            <w:pPr>
              <w:pStyle w:val="6"/>
              <w:spacing w:before="65" w:line="228" w:lineRule="auto"/>
              <w:ind w:left="272"/>
              <w:rPr>
                <w:sz w:val="20"/>
                <w:szCs w:val="20"/>
              </w:rPr>
            </w:pPr>
            <w:r>
              <w:rPr>
                <w:spacing w:val="3"/>
                <w:sz w:val="20"/>
                <w:szCs w:val="20"/>
              </w:rPr>
              <w:t>符合</w:t>
            </w:r>
          </w:p>
        </w:tc>
      </w:tr>
      <w:tr w14:paraId="2F698B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3" w:hRule="atLeast"/>
        </w:trPr>
        <w:tc>
          <w:tcPr>
            <w:tcW w:w="494" w:type="dxa"/>
            <w:vMerge w:val="continue"/>
            <w:tcBorders>
              <w:top w:val="nil"/>
              <w:left w:val="single" w:color="000000" w:sz="10" w:space="0"/>
              <w:bottom w:val="nil"/>
            </w:tcBorders>
            <w:vAlign w:val="top"/>
          </w:tcPr>
          <w:p w14:paraId="613DCE75">
            <w:pPr>
              <w:rPr>
                <w:rFonts w:ascii="Arial"/>
                <w:sz w:val="21"/>
              </w:rPr>
            </w:pPr>
          </w:p>
        </w:tc>
        <w:tc>
          <w:tcPr>
            <w:tcW w:w="786" w:type="dxa"/>
            <w:vAlign w:val="top"/>
          </w:tcPr>
          <w:p w14:paraId="10787FC4">
            <w:pPr>
              <w:spacing w:line="279" w:lineRule="auto"/>
              <w:rPr>
                <w:rFonts w:ascii="Arial"/>
                <w:sz w:val="21"/>
              </w:rPr>
            </w:pPr>
          </w:p>
          <w:p w14:paraId="14CC6E82">
            <w:pPr>
              <w:spacing w:line="280" w:lineRule="auto"/>
              <w:rPr>
                <w:rFonts w:ascii="Arial"/>
                <w:sz w:val="21"/>
              </w:rPr>
            </w:pPr>
          </w:p>
          <w:p w14:paraId="78FB5A22">
            <w:pPr>
              <w:spacing w:before="61" w:line="187" w:lineRule="auto"/>
              <w:ind w:left="392"/>
              <w:rPr>
                <w:rFonts w:ascii="Calibri" w:hAnsi="Calibri" w:eastAsia="Calibri" w:cs="Calibri"/>
                <w:sz w:val="20"/>
                <w:szCs w:val="20"/>
              </w:rPr>
            </w:pPr>
            <w:r>
              <w:rPr>
                <w:rFonts w:ascii="Calibri" w:hAnsi="Calibri" w:eastAsia="Calibri" w:cs="Calibri"/>
                <w:sz w:val="20"/>
                <w:szCs w:val="20"/>
              </w:rPr>
              <w:t>2</w:t>
            </w:r>
          </w:p>
        </w:tc>
        <w:tc>
          <w:tcPr>
            <w:tcW w:w="4547" w:type="dxa"/>
            <w:gridSpan w:val="2"/>
            <w:vAlign w:val="top"/>
          </w:tcPr>
          <w:p w14:paraId="542B92BA">
            <w:pPr>
              <w:pStyle w:val="6"/>
              <w:spacing w:before="100" w:line="228" w:lineRule="auto"/>
              <w:ind w:left="208"/>
              <w:rPr>
                <w:sz w:val="20"/>
                <w:szCs w:val="20"/>
              </w:rPr>
            </w:pPr>
            <w:r>
              <w:fldChar w:fldCharType="begin"/>
            </w:r>
            <w:r>
              <w:instrText xml:space="preserve"> HYPERLINK "3.3.3.3" </w:instrText>
            </w:r>
            <w:r>
              <w:fldChar w:fldCharType="separate"/>
            </w:r>
            <w:r>
              <w:rPr>
                <w:rFonts w:ascii="Times New Roman" w:hAnsi="Times New Roman" w:eastAsia="Times New Roman" w:cs="Times New Roman"/>
                <w:spacing w:val="7"/>
                <w:sz w:val="20"/>
                <w:szCs w:val="20"/>
              </w:rPr>
              <w:t>3.3.3.3</w:t>
            </w:r>
            <w:r>
              <w:rPr>
                <w:rFonts w:ascii="Times New Roman" w:hAnsi="Times New Roman" w:eastAsia="Times New Roman" w:cs="Times New Roman"/>
                <w:spacing w:val="7"/>
                <w:sz w:val="20"/>
                <w:szCs w:val="20"/>
              </w:rPr>
              <w:fldChar w:fldCharType="end"/>
            </w:r>
            <w:r>
              <w:rPr>
                <w:rFonts w:ascii="Times New Roman" w:hAnsi="Times New Roman" w:eastAsia="Times New Roman" w:cs="Times New Roman"/>
                <w:spacing w:val="7"/>
                <w:sz w:val="20"/>
                <w:szCs w:val="20"/>
              </w:rPr>
              <w:t xml:space="preserve">  </w:t>
            </w:r>
            <w:r>
              <w:rPr>
                <w:spacing w:val="7"/>
                <w:sz w:val="20"/>
                <w:szCs w:val="20"/>
              </w:rPr>
              <w:t>次生盐渍化防治中要求</w:t>
            </w:r>
            <w:r>
              <w:rPr>
                <w:rFonts w:ascii="Times New Roman" w:hAnsi="Times New Roman" w:eastAsia="Times New Roman" w:cs="Times New Roman"/>
                <w:spacing w:val="7"/>
                <w:sz w:val="20"/>
                <w:szCs w:val="20"/>
              </w:rPr>
              <w:t>“</w:t>
            </w:r>
            <w:r>
              <w:rPr>
                <w:spacing w:val="7"/>
                <w:sz w:val="20"/>
                <w:szCs w:val="20"/>
              </w:rPr>
              <w:t>建立完善水利</w:t>
            </w:r>
          </w:p>
          <w:p w14:paraId="03399DB4">
            <w:pPr>
              <w:pStyle w:val="6"/>
              <w:spacing w:before="72" w:line="228" w:lineRule="auto"/>
              <w:ind w:left="104"/>
              <w:outlineLvl w:val="2"/>
              <w:rPr>
                <w:sz w:val="20"/>
                <w:szCs w:val="20"/>
              </w:rPr>
            </w:pPr>
            <w:r>
              <w:rPr>
                <w:spacing w:val="6"/>
                <w:sz w:val="20"/>
                <w:szCs w:val="20"/>
              </w:rPr>
              <w:t>排水工程，避免工业污水浸泡农田；生产工业用</w:t>
            </w:r>
          </w:p>
          <w:p w14:paraId="2F6815CD">
            <w:pPr>
              <w:pStyle w:val="6"/>
              <w:spacing w:before="71" w:line="247" w:lineRule="auto"/>
              <w:ind w:left="1604" w:right="103" w:hanging="1500"/>
              <w:rPr>
                <w:sz w:val="20"/>
                <w:szCs w:val="20"/>
              </w:rPr>
            </w:pPr>
            <w:r>
              <w:rPr>
                <w:spacing w:val="6"/>
                <w:sz w:val="20"/>
                <w:szCs w:val="20"/>
              </w:rPr>
              <w:t xml:space="preserve">地破坏植被应及时采取恢复植被措施，避免造成 </w:t>
            </w:r>
            <w:r>
              <w:rPr>
                <w:spacing w:val="5"/>
                <w:sz w:val="20"/>
                <w:szCs w:val="20"/>
              </w:rPr>
              <w:t>次生盐渍化</w:t>
            </w:r>
            <w:r>
              <w:rPr>
                <w:rFonts w:ascii="Times New Roman" w:hAnsi="Times New Roman" w:eastAsia="Times New Roman" w:cs="Times New Roman"/>
                <w:spacing w:val="5"/>
                <w:sz w:val="20"/>
                <w:szCs w:val="20"/>
              </w:rPr>
              <w:t>”</w:t>
            </w:r>
            <w:r>
              <w:rPr>
                <w:spacing w:val="5"/>
                <w:sz w:val="20"/>
                <w:szCs w:val="20"/>
              </w:rPr>
              <w:t>。</w:t>
            </w:r>
          </w:p>
        </w:tc>
        <w:tc>
          <w:tcPr>
            <w:tcW w:w="1974" w:type="dxa"/>
            <w:vAlign w:val="top"/>
          </w:tcPr>
          <w:p w14:paraId="727B07C7">
            <w:pPr>
              <w:pStyle w:val="6"/>
              <w:spacing w:before="100" w:line="280" w:lineRule="auto"/>
              <w:ind w:left="161" w:right="138" w:firstLine="103"/>
              <w:rPr>
                <w:sz w:val="20"/>
                <w:szCs w:val="20"/>
              </w:rPr>
            </w:pPr>
            <w:r>
              <w:rPr>
                <w:spacing w:val="8"/>
                <w:sz w:val="20"/>
                <w:szCs w:val="20"/>
              </w:rPr>
              <w:t>本项目无生产废</w:t>
            </w:r>
            <w:r>
              <w:rPr>
                <w:spacing w:val="1"/>
                <w:sz w:val="20"/>
                <w:szCs w:val="20"/>
              </w:rPr>
              <w:t xml:space="preserve">  </w:t>
            </w:r>
            <w:r>
              <w:rPr>
                <w:spacing w:val="8"/>
                <w:sz w:val="20"/>
                <w:szCs w:val="20"/>
              </w:rPr>
              <w:t>水，生活污水排入</w:t>
            </w:r>
          </w:p>
          <w:p w14:paraId="03F1D894">
            <w:pPr>
              <w:pStyle w:val="6"/>
              <w:spacing w:before="30" w:line="247" w:lineRule="auto"/>
              <w:ind w:left="369" w:right="140" w:hanging="198"/>
              <w:rPr>
                <w:sz w:val="20"/>
                <w:szCs w:val="20"/>
              </w:rPr>
            </w:pPr>
            <w:r>
              <w:rPr>
                <w:spacing w:val="7"/>
                <w:sz w:val="20"/>
                <w:szCs w:val="20"/>
              </w:rPr>
              <w:t>防渗旱厕，定期清</w:t>
            </w:r>
            <w:r>
              <w:rPr>
                <w:sz w:val="20"/>
                <w:szCs w:val="20"/>
              </w:rPr>
              <w:t xml:space="preserve"> </w:t>
            </w:r>
            <w:r>
              <w:rPr>
                <w:spacing w:val="6"/>
                <w:sz w:val="20"/>
                <w:szCs w:val="20"/>
              </w:rPr>
              <w:t>掏制农家肥。</w:t>
            </w:r>
          </w:p>
        </w:tc>
        <w:tc>
          <w:tcPr>
            <w:tcW w:w="1121" w:type="dxa"/>
            <w:gridSpan w:val="2"/>
            <w:tcBorders>
              <w:right w:val="single" w:color="000000" w:sz="10" w:space="0"/>
            </w:tcBorders>
            <w:vAlign w:val="top"/>
          </w:tcPr>
          <w:p w14:paraId="03E16C81">
            <w:pPr>
              <w:spacing w:line="255" w:lineRule="auto"/>
              <w:rPr>
                <w:rFonts w:ascii="Arial"/>
                <w:sz w:val="21"/>
              </w:rPr>
            </w:pPr>
          </w:p>
          <w:p w14:paraId="3227EB59">
            <w:pPr>
              <w:spacing w:line="256" w:lineRule="auto"/>
              <w:rPr>
                <w:rFonts w:ascii="Arial"/>
                <w:sz w:val="21"/>
              </w:rPr>
            </w:pPr>
          </w:p>
          <w:p w14:paraId="71CE60A8">
            <w:pPr>
              <w:pStyle w:val="6"/>
              <w:spacing w:before="65" w:line="228" w:lineRule="auto"/>
              <w:ind w:left="272"/>
              <w:outlineLvl w:val="2"/>
              <w:rPr>
                <w:sz w:val="20"/>
                <w:szCs w:val="20"/>
              </w:rPr>
            </w:pPr>
            <w:r>
              <w:rPr>
                <w:spacing w:val="3"/>
                <w:sz w:val="20"/>
                <w:szCs w:val="20"/>
              </w:rPr>
              <w:t>符合</w:t>
            </w:r>
          </w:p>
        </w:tc>
      </w:tr>
      <w:tr w14:paraId="36247A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6" w:hRule="atLeast"/>
        </w:trPr>
        <w:tc>
          <w:tcPr>
            <w:tcW w:w="494" w:type="dxa"/>
            <w:vMerge w:val="continue"/>
            <w:tcBorders>
              <w:top w:val="nil"/>
              <w:left w:val="single" w:color="000000" w:sz="10" w:space="0"/>
              <w:bottom w:val="single" w:color="000000" w:sz="10" w:space="0"/>
            </w:tcBorders>
            <w:vAlign w:val="top"/>
          </w:tcPr>
          <w:p w14:paraId="7A1E3638">
            <w:pPr>
              <w:rPr>
                <w:rFonts w:ascii="Arial"/>
                <w:sz w:val="21"/>
              </w:rPr>
            </w:pPr>
          </w:p>
        </w:tc>
        <w:tc>
          <w:tcPr>
            <w:tcW w:w="786" w:type="dxa"/>
            <w:tcBorders>
              <w:bottom w:val="single" w:color="000000" w:sz="10" w:space="0"/>
            </w:tcBorders>
            <w:vAlign w:val="top"/>
          </w:tcPr>
          <w:p w14:paraId="1F6AC4F6">
            <w:pPr>
              <w:spacing w:line="243" w:lineRule="auto"/>
              <w:rPr>
                <w:rFonts w:ascii="Arial"/>
                <w:sz w:val="21"/>
              </w:rPr>
            </w:pPr>
          </w:p>
          <w:p w14:paraId="5466137E">
            <w:pPr>
              <w:spacing w:before="61" w:line="186" w:lineRule="auto"/>
              <w:ind w:left="391"/>
              <w:rPr>
                <w:rFonts w:ascii="Calibri" w:hAnsi="Calibri" w:eastAsia="Calibri" w:cs="Calibri"/>
                <w:sz w:val="20"/>
                <w:szCs w:val="20"/>
              </w:rPr>
            </w:pPr>
            <w:r>
              <w:rPr>
                <w:rFonts w:ascii="Calibri" w:hAnsi="Calibri" w:eastAsia="Calibri" w:cs="Calibri"/>
                <w:sz w:val="20"/>
                <w:szCs w:val="20"/>
              </w:rPr>
              <w:t>3</w:t>
            </w:r>
          </w:p>
        </w:tc>
        <w:tc>
          <w:tcPr>
            <w:tcW w:w="4547" w:type="dxa"/>
            <w:gridSpan w:val="2"/>
            <w:tcBorders>
              <w:bottom w:val="single" w:color="000000" w:sz="10" w:space="0"/>
            </w:tcBorders>
            <w:vAlign w:val="top"/>
          </w:tcPr>
          <w:p w14:paraId="148D6491">
            <w:pPr>
              <w:pStyle w:val="6"/>
              <w:spacing w:before="100" w:line="228" w:lineRule="auto"/>
              <w:ind w:left="308"/>
              <w:outlineLvl w:val="2"/>
              <w:rPr>
                <w:sz w:val="20"/>
                <w:szCs w:val="20"/>
              </w:rPr>
            </w:pPr>
            <w:r>
              <w:rPr>
                <w:rFonts w:ascii="Times New Roman" w:hAnsi="Times New Roman" w:eastAsia="Times New Roman" w:cs="Times New Roman"/>
                <w:spacing w:val="6"/>
                <w:sz w:val="20"/>
                <w:szCs w:val="20"/>
              </w:rPr>
              <w:t>4.</w:t>
            </w:r>
            <w:r>
              <w:rPr>
                <w:rFonts w:ascii="Times New Roman" w:hAnsi="Times New Roman" w:eastAsia="Times New Roman" w:cs="Times New Roman"/>
                <w:spacing w:val="-10"/>
                <w:sz w:val="20"/>
                <w:szCs w:val="20"/>
              </w:rPr>
              <w:t xml:space="preserve"> </w:t>
            </w:r>
            <w:r>
              <w:rPr>
                <w:rFonts w:ascii="Times New Roman" w:hAnsi="Times New Roman" w:eastAsia="Times New Roman" w:cs="Times New Roman"/>
                <w:spacing w:val="6"/>
                <w:sz w:val="20"/>
                <w:szCs w:val="20"/>
              </w:rPr>
              <w:t xml:space="preserve">1.2 </w:t>
            </w:r>
            <w:r>
              <w:rPr>
                <w:spacing w:val="6"/>
                <w:sz w:val="20"/>
                <w:szCs w:val="20"/>
              </w:rPr>
              <w:t>预防对象</w:t>
            </w:r>
            <w:r>
              <w:rPr>
                <w:rFonts w:ascii="Times New Roman" w:hAnsi="Times New Roman" w:eastAsia="Times New Roman" w:cs="Times New Roman"/>
                <w:spacing w:val="6"/>
                <w:sz w:val="20"/>
                <w:szCs w:val="20"/>
              </w:rPr>
              <w:t>“</w:t>
            </w:r>
            <w:r>
              <w:rPr>
                <w:spacing w:val="6"/>
                <w:sz w:val="20"/>
                <w:szCs w:val="20"/>
              </w:rPr>
              <w:t>全市范围的各种开发建设活</w:t>
            </w:r>
          </w:p>
          <w:p w14:paraId="072D0A27">
            <w:pPr>
              <w:pStyle w:val="6"/>
              <w:spacing w:before="72" w:line="228" w:lineRule="auto"/>
              <w:ind w:left="105"/>
              <w:rPr>
                <w:sz w:val="20"/>
                <w:szCs w:val="20"/>
              </w:rPr>
            </w:pPr>
            <w:r>
              <w:rPr>
                <w:spacing w:val="4"/>
                <w:sz w:val="20"/>
                <w:szCs w:val="20"/>
              </w:rPr>
              <w:t>动</w:t>
            </w:r>
            <w:r>
              <w:rPr>
                <w:rFonts w:ascii="Times New Roman" w:hAnsi="Times New Roman" w:eastAsia="Times New Roman" w:cs="Times New Roman"/>
                <w:spacing w:val="4"/>
                <w:sz w:val="20"/>
                <w:szCs w:val="20"/>
              </w:rPr>
              <w:t>”</w:t>
            </w:r>
            <w:r>
              <w:fldChar w:fldCharType="begin"/>
            </w:r>
            <w:r>
              <w:instrText xml:space="preserve"> HYPERLINK "4.2.1.2" </w:instrText>
            </w:r>
            <w:r>
              <w:fldChar w:fldCharType="separate"/>
            </w:r>
            <w:r>
              <w:rPr>
                <w:rFonts w:ascii="Times New Roman" w:hAnsi="Times New Roman" w:eastAsia="Times New Roman" w:cs="Times New Roman"/>
                <w:spacing w:val="4"/>
                <w:sz w:val="20"/>
                <w:szCs w:val="20"/>
              </w:rPr>
              <w:t>4.2.1.2</w:t>
            </w:r>
            <w:r>
              <w:rPr>
                <w:rFonts w:ascii="Times New Roman" w:hAnsi="Times New Roman" w:eastAsia="Times New Roman" w:cs="Times New Roman"/>
                <w:spacing w:val="4"/>
                <w:sz w:val="20"/>
                <w:szCs w:val="20"/>
              </w:rPr>
              <w:fldChar w:fldCharType="end"/>
            </w:r>
            <w:r>
              <w:rPr>
                <w:rFonts w:ascii="Times New Roman" w:hAnsi="Times New Roman" w:eastAsia="Times New Roman" w:cs="Times New Roman"/>
                <w:spacing w:val="4"/>
                <w:sz w:val="20"/>
                <w:szCs w:val="20"/>
              </w:rPr>
              <w:t xml:space="preserve">  </w:t>
            </w:r>
            <w:r>
              <w:rPr>
                <w:spacing w:val="4"/>
                <w:sz w:val="20"/>
                <w:szCs w:val="20"/>
              </w:rPr>
              <w:t>技术措施中要求</w:t>
            </w:r>
            <w:r>
              <w:rPr>
                <w:rFonts w:ascii="Times New Roman" w:hAnsi="Times New Roman" w:eastAsia="Times New Roman" w:cs="Times New Roman"/>
                <w:spacing w:val="4"/>
                <w:sz w:val="20"/>
                <w:szCs w:val="20"/>
              </w:rPr>
              <w:t>“</w:t>
            </w:r>
            <w:r>
              <w:rPr>
                <w:spacing w:val="4"/>
                <w:sz w:val="20"/>
                <w:szCs w:val="20"/>
              </w:rPr>
              <w:t>在</w:t>
            </w:r>
            <w:r>
              <w:rPr>
                <w:spacing w:val="3"/>
                <w:sz w:val="20"/>
                <w:szCs w:val="20"/>
              </w:rPr>
              <w:t>治理工程中，优先</w:t>
            </w:r>
          </w:p>
        </w:tc>
        <w:tc>
          <w:tcPr>
            <w:tcW w:w="1974" w:type="dxa"/>
            <w:tcBorders>
              <w:bottom w:val="single" w:color="000000" w:sz="10" w:space="0"/>
            </w:tcBorders>
            <w:vAlign w:val="top"/>
          </w:tcPr>
          <w:p w14:paraId="30F89447">
            <w:pPr>
              <w:pStyle w:val="6"/>
              <w:spacing w:before="101" w:line="280" w:lineRule="auto"/>
              <w:ind w:left="161" w:right="138"/>
              <w:rPr>
                <w:sz w:val="20"/>
                <w:szCs w:val="20"/>
              </w:rPr>
            </w:pPr>
            <w:r>
              <w:rPr>
                <w:spacing w:val="8"/>
                <w:sz w:val="20"/>
                <w:szCs w:val="20"/>
              </w:rPr>
              <w:t>建设项目施工期较</w:t>
            </w:r>
            <w:r>
              <w:rPr>
                <w:spacing w:val="4"/>
                <w:sz w:val="20"/>
                <w:szCs w:val="20"/>
              </w:rPr>
              <w:t xml:space="preserve"> </w:t>
            </w:r>
            <w:r>
              <w:rPr>
                <w:spacing w:val="7"/>
                <w:sz w:val="20"/>
                <w:szCs w:val="20"/>
              </w:rPr>
              <w:t>短，施工结束后，</w:t>
            </w:r>
          </w:p>
        </w:tc>
        <w:tc>
          <w:tcPr>
            <w:tcW w:w="1121" w:type="dxa"/>
            <w:gridSpan w:val="2"/>
            <w:tcBorders>
              <w:bottom w:val="single" w:color="000000" w:sz="10" w:space="0"/>
              <w:right w:val="single" w:color="000000" w:sz="10" w:space="0"/>
            </w:tcBorders>
            <w:vAlign w:val="top"/>
          </w:tcPr>
          <w:p w14:paraId="05D532A8">
            <w:pPr>
              <w:pStyle w:val="6"/>
              <w:spacing w:before="261" w:line="228" w:lineRule="auto"/>
              <w:ind w:left="272"/>
              <w:outlineLvl w:val="2"/>
              <w:rPr>
                <w:sz w:val="20"/>
                <w:szCs w:val="20"/>
              </w:rPr>
            </w:pPr>
            <w:r>
              <w:rPr>
                <w:spacing w:val="3"/>
                <w:sz w:val="20"/>
                <w:szCs w:val="20"/>
              </w:rPr>
              <w:t>符合</w:t>
            </w:r>
          </w:p>
        </w:tc>
      </w:tr>
    </w:tbl>
    <w:p w14:paraId="00B1C283">
      <w:pPr>
        <w:pStyle w:val="2"/>
        <w:spacing w:line="208" w:lineRule="exact"/>
        <w:rPr>
          <w:sz w:val="18"/>
        </w:rPr>
      </w:pPr>
    </w:p>
    <w:p w14:paraId="1E41DE8D">
      <w:pPr>
        <w:spacing w:line="208" w:lineRule="exact"/>
        <w:rPr>
          <w:sz w:val="18"/>
          <w:szCs w:val="18"/>
        </w:rPr>
        <w:sectPr>
          <w:footerReference r:id="rId41"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2BBC7806">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769" w:hRule="atLeast"/>
        </w:trPr>
        <w:tc>
          <w:tcPr>
            <w:tcW w:w="494" w:type="dxa"/>
            <w:tcBorders>
              <w:right w:val="single" w:color="000000" w:sz="2" w:space="0"/>
            </w:tcBorders>
            <w:vAlign w:val="top"/>
          </w:tcPr>
          <w:p w14:paraId="482F19DF">
            <w:pPr>
              <w:rPr>
                <w:rFonts w:ascii="Arial"/>
                <w:sz w:val="21"/>
              </w:rPr>
            </w:pPr>
          </w:p>
        </w:tc>
        <w:tc>
          <w:tcPr>
            <w:tcW w:w="8428" w:type="dxa"/>
            <w:tcBorders>
              <w:left w:val="single" w:color="000000" w:sz="2" w:space="0"/>
            </w:tcBorders>
            <w:vAlign w:val="top"/>
          </w:tcPr>
          <w:p w14:paraId="58C022B8">
            <w:pPr>
              <w:spacing w:line="144" w:lineRule="auto"/>
              <w:rPr>
                <w:rFonts w:ascii="Arial"/>
                <w:sz w:val="2"/>
              </w:rPr>
            </w:pPr>
          </w:p>
          <w:tbl>
            <w:tblPr>
              <w:tblStyle w:val="5"/>
              <w:tblW w:w="8147" w:type="dxa"/>
              <w:tblInd w:w="9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680"/>
              <w:gridCol w:w="4560"/>
              <w:gridCol w:w="1980"/>
              <w:gridCol w:w="927"/>
            </w:tblGrid>
            <w:tr w14:paraId="65B7BFAC">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25" w:hRule="atLeast"/>
              </w:trPr>
              <w:tc>
                <w:tcPr>
                  <w:tcW w:w="680" w:type="dxa"/>
                  <w:tcBorders>
                    <w:bottom w:val="single" w:color="000000" w:sz="10" w:space="0"/>
                    <w:right w:val="single" w:color="000000" w:sz="2" w:space="0"/>
                  </w:tcBorders>
                  <w:vAlign w:val="top"/>
                </w:tcPr>
                <w:p w14:paraId="2D08E6CF">
                  <w:pPr>
                    <w:rPr>
                      <w:rFonts w:ascii="Arial"/>
                      <w:sz w:val="21"/>
                    </w:rPr>
                  </w:pPr>
                </w:p>
              </w:tc>
              <w:tc>
                <w:tcPr>
                  <w:tcW w:w="4560" w:type="dxa"/>
                  <w:tcBorders>
                    <w:left w:val="single" w:color="000000" w:sz="2" w:space="0"/>
                    <w:bottom w:val="single" w:color="000000" w:sz="10" w:space="0"/>
                    <w:right w:val="single" w:color="000000" w:sz="2" w:space="0"/>
                  </w:tcBorders>
                  <w:vAlign w:val="top"/>
                </w:tcPr>
                <w:p w14:paraId="4C472D0C">
                  <w:pPr>
                    <w:pStyle w:val="6"/>
                    <w:spacing w:before="57" w:line="228" w:lineRule="auto"/>
                    <w:ind w:left="114"/>
                    <w:rPr>
                      <w:sz w:val="20"/>
                      <w:szCs w:val="20"/>
                    </w:rPr>
                  </w:pPr>
                  <w:r>
                    <w:rPr>
                      <w:spacing w:val="6"/>
                      <w:sz w:val="20"/>
                      <w:szCs w:val="20"/>
                    </w:rPr>
                    <w:t>使用封禁等生态修复措施，保护自然植被，恢复</w:t>
                  </w:r>
                </w:p>
                <w:p w14:paraId="5653F719">
                  <w:pPr>
                    <w:pStyle w:val="6"/>
                    <w:spacing w:before="72" w:line="219" w:lineRule="auto"/>
                    <w:ind w:left="1608"/>
                    <w:rPr>
                      <w:rFonts w:ascii="Times New Roman" w:hAnsi="Times New Roman" w:eastAsia="Times New Roman" w:cs="Times New Roman"/>
                      <w:sz w:val="20"/>
                      <w:szCs w:val="20"/>
                    </w:rPr>
                  </w:pPr>
                  <w:r>
                    <w:rPr>
                      <w:spacing w:val="14"/>
                      <w:sz w:val="20"/>
                      <w:szCs w:val="20"/>
                    </w:rPr>
                    <w:t>采伐迹地植被</w:t>
                  </w:r>
                  <w:r>
                    <w:rPr>
                      <w:rFonts w:ascii="Times New Roman" w:hAnsi="Times New Roman" w:eastAsia="Times New Roman" w:cs="Times New Roman"/>
                      <w:spacing w:val="14"/>
                      <w:sz w:val="20"/>
                      <w:szCs w:val="20"/>
                    </w:rPr>
                    <w:t>”</w:t>
                  </w:r>
                </w:p>
              </w:tc>
              <w:tc>
                <w:tcPr>
                  <w:tcW w:w="1980" w:type="dxa"/>
                  <w:tcBorders>
                    <w:left w:val="single" w:color="000000" w:sz="2" w:space="0"/>
                    <w:bottom w:val="single" w:color="000000" w:sz="10" w:space="0"/>
                    <w:right w:val="single" w:color="000000" w:sz="2" w:space="0"/>
                  </w:tcBorders>
                  <w:vAlign w:val="top"/>
                </w:tcPr>
                <w:p w14:paraId="7EEFE404">
                  <w:pPr>
                    <w:pStyle w:val="6"/>
                    <w:spacing w:before="58" w:line="257" w:lineRule="auto"/>
                    <w:ind w:left="785" w:right="253" w:hanging="523"/>
                    <w:rPr>
                      <w:sz w:val="20"/>
                      <w:szCs w:val="20"/>
                    </w:rPr>
                  </w:pPr>
                  <w:r>
                    <w:rPr>
                      <w:spacing w:val="8"/>
                      <w:sz w:val="20"/>
                      <w:szCs w:val="20"/>
                    </w:rPr>
                    <w:t>厂区场地进行平</w:t>
                  </w:r>
                  <w:r>
                    <w:rPr>
                      <w:spacing w:val="1"/>
                      <w:sz w:val="20"/>
                      <w:szCs w:val="20"/>
                    </w:rPr>
                    <w:t xml:space="preserve"> </w:t>
                  </w:r>
                  <w:r>
                    <w:rPr>
                      <w:sz w:val="20"/>
                      <w:szCs w:val="20"/>
                    </w:rPr>
                    <w:t>整。</w:t>
                  </w:r>
                </w:p>
              </w:tc>
              <w:tc>
                <w:tcPr>
                  <w:tcW w:w="927" w:type="dxa"/>
                  <w:tcBorders>
                    <w:left w:val="single" w:color="000000" w:sz="2" w:space="0"/>
                    <w:bottom w:val="single" w:color="000000" w:sz="10" w:space="0"/>
                  </w:tcBorders>
                  <w:vAlign w:val="top"/>
                </w:tcPr>
                <w:p w14:paraId="4677B232">
                  <w:pPr>
                    <w:rPr>
                      <w:rFonts w:ascii="Arial"/>
                      <w:sz w:val="21"/>
                    </w:rPr>
                  </w:pPr>
                </w:p>
              </w:tc>
            </w:tr>
          </w:tbl>
          <w:p w14:paraId="1E76858E">
            <w:pPr>
              <w:pStyle w:val="6"/>
              <w:spacing w:before="37" w:line="219" w:lineRule="auto"/>
              <w:ind w:left="589"/>
            </w:pPr>
            <w:r>
              <w:rPr>
                <w:rFonts w:ascii="Times New Roman" w:hAnsi="Times New Roman" w:eastAsia="Times New Roman" w:cs="Times New Roman"/>
                <w:b/>
                <w:bCs/>
                <w:spacing w:val="-3"/>
              </w:rPr>
              <w:t>15</w:t>
            </w:r>
            <w:r>
              <w:rPr>
                <w:rFonts w:ascii="Times New Roman" w:hAnsi="Times New Roman" w:eastAsia="Times New Roman" w:cs="Times New Roman"/>
                <w:b/>
                <w:bCs/>
                <w:spacing w:val="-34"/>
              </w:rPr>
              <w:t xml:space="preserve"> </w:t>
            </w:r>
            <w:r>
              <w:rPr>
                <w:b/>
                <w:bCs/>
                <w:spacing w:val="-3"/>
              </w:rPr>
              <w:t>、与黑龙江省空气质量持续改善行动计划实施方案符合性分析</w:t>
            </w:r>
          </w:p>
          <w:p w14:paraId="4D66B2B4">
            <w:pPr>
              <w:pStyle w:val="6"/>
              <w:spacing w:before="182" w:line="357" w:lineRule="auto"/>
              <w:ind w:left="95" w:right="95" w:firstLine="487"/>
            </w:pPr>
            <w:r>
              <w:rPr>
                <w:spacing w:val="4"/>
              </w:rPr>
              <w:t>根据《黑龙江省空气质量持续改善行动计划实施方案》</w:t>
            </w:r>
            <w:r>
              <w:rPr>
                <w:spacing w:val="3"/>
              </w:rPr>
              <w:t>（黑政发</w:t>
            </w:r>
            <w:r>
              <w:rPr>
                <w:rFonts w:ascii="Times New Roman" w:hAnsi="Times New Roman" w:eastAsia="Times New Roman" w:cs="Times New Roman"/>
                <w:spacing w:val="3"/>
              </w:rPr>
              <w:t>[2023]19</w:t>
            </w:r>
            <w:r>
              <w:rPr>
                <w:rFonts w:ascii="Times New Roman" w:hAnsi="Times New Roman" w:eastAsia="Times New Roman" w:cs="Times New Roman"/>
              </w:rPr>
              <w:t xml:space="preserve"> </w:t>
            </w:r>
            <w:r>
              <w:rPr>
                <w:spacing w:val="1"/>
              </w:rPr>
              <w:t>号</w:t>
            </w:r>
            <w:r>
              <w:rPr>
                <w:spacing w:val="3"/>
              </w:rPr>
              <w:t>），</w:t>
            </w:r>
            <w:r>
              <w:rPr>
                <w:spacing w:val="1"/>
              </w:rPr>
              <w:t>“积极推进含</w:t>
            </w:r>
            <w:r>
              <w:rPr>
                <w:spacing w:val="-54"/>
              </w:rPr>
              <w:t xml:space="preserve"> </w:t>
            </w:r>
            <w:r>
              <w:rPr>
                <w:rFonts w:ascii="Times New Roman" w:hAnsi="Times New Roman" w:eastAsia="Times New Roman" w:cs="Times New Roman"/>
              </w:rPr>
              <w:t>VOCs</w:t>
            </w:r>
            <w:r>
              <w:rPr>
                <w:rFonts w:ascii="Times New Roman" w:hAnsi="Times New Roman" w:eastAsia="Times New Roman" w:cs="Times New Roman"/>
                <w:spacing w:val="18"/>
              </w:rPr>
              <w:t xml:space="preserve"> </w:t>
            </w:r>
            <w:r>
              <w:rPr>
                <w:spacing w:val="1"/>
              </w:rPr>
              <w:t>原辅材料和产品源头替代。严格控制生产和使用高</w:t>
            </w:r>
            <w:r>
              <w:t xml:space="preserve"> </w:t>
            </w:r>
            <w:r>
              <w:rPr>
                <w:rFonts w:ascii="Times New Roman" w:hAnsi="Times New Roman" w:eastAsia="Times New Roman" w:cs="Times New Roman"/>
                <w:spacing w:val="-3"/>
              </w:rPr>
              <w:t xml:space="preserve">VOCs </w:t>
            </w:r>
            <w:r>
              <w:rPr>
                <w:spacing w:val="-3"/>
              </w:rPr>
              <w:t>含量溶剂型涂料、油墨、胶粘剂、清洗剂等建设项</w:t>
            </w:r>
            <w:r>
              <w:rPr>
                <w:spacing w:val="-4"/>
              </w:rPr>
              <w:t>目。提高水性、高固体</w:t>
            </w:r>
            <w:r>
              <w:t xml:space="preserve"> </w:t>
            </w:r>
            <w:r>
              <w:rPr>
                <w:spacing w:val="-3"/>
              </w:rPr>
              <w:t>分、无溶剂、粉末等低（无）</w:t>
            </w:r>
            <w:r>
              <w:rPr>
                <w:rFonts w:ascii="Times New Roman" w:hAnsi="Times New Roman" w:eastAsia="Times New Roman" w:cs="Times New Roman"/>
                <w:spacing w:val="-3"/>
              </w:rPr>
              <w:t xml:space="preserve">VOCs </w:t>
            </w:r>
            <w:r>
              <w:rPr>
                <w:spacing w:val="-3"/>
              </w:rPr>
              <w:t>含量产品的比重。工</w:t>
            </w:r>
            <w:r>
              <w:rPr>
                <w:spacing w:val="-4"/>
              </w:rPr>
              <w:t>业涂装、包装印刷、电</w:t>
            </w:r>
            <w:r>
              <w:t xml:space="preserve"> </w:t>
            </w:r>
            <w:r>
              <w:rPr>
                <w:spacing w:val="-3"/>
              </w:rPr>
              <w:t>子等行业企业要加大低（无）</w:t>
            </w:r>
            <w:r>
              <w:rPr>
                <w:rFonts w:ascii="Times New Roman" w:hAnsi="Times New Roman" w:eastAsia="Times New Roman" w:cs="Times New Roman"/>
                <w:spacing w:val="-3"/>
              </w:rPr>
              <w:t xml:space="preserve">VOCs </w:t>
            </w:r>
            <w:r>
              <w:rPr>
                <w:spacing w:val="-3"/>
              </w:rPr>
              <w:t>含量原辅材料的源头</w:t>
            </w:r>
            <w:r>
              <w:rPr>
                <w:spacing w:val="-4"/>
              </w:rPr>
              <w:t>替代力度。在房屋建筑</w:t>
            </w:r>
            <w:r>
              <w:t xml:space="preserve"> </w:t>
            </w:r>
            <w:r>
              <w:rPr>
                <w:spacing w:val="-3"/>
              </w:rPr>
              <w:t>和市政工程中，全面推广使用低（无）</w:t>
            </w:r>
            <w:r>
              <w:rPr>
                <w:rFonts w:ascii="Times New Roman" w:hAnsi="Times New Roman" w:eastAsia="Times New Roman" w:cs="Times New Roman"/>
                <w:spacing w:val="-3"/>
              </w:rPr>
              <w:t xml:space="preserve">VOCs </w:t>
            </w:r>
            <w:r>
              <w:rPr>
                <w:spacing w:val="-3"/>
              </w:rPr>
              <w:t>含量涂料和</w:t>
            </w:r>
            <w:r>
              <w:rPr>
                <w:spacing w:val="-4"/>
              </w:rPr>
              <w:t>胶粘剂；推动除特殊功</w:t>
            </w:r>
            <w:r>
              <w:t xml:space="preserve"> </w:t>
            </w:r>
            <w:r>
              <w:rPr>
                <w:spacing w:val="1"/>
              </w:rPr>
              <w:t>能要求外的室内地坪施工、室外构筑物防护和道路交通标志喷涂使用低（无）</w:t>
            </w:r>
            <w:r>
              <w:rPr>
                <w:spacing w:val="9"/>
              </w:rPr>
              <w:t xml:space="preserve"> </w:t>
            </w:r>
            <w:r>
              <w:rPr>
                <w:rFonts w:ascii="Times New Roman" w:hAnsi="Times New Roman" w:eastAsia="Times New Roman" w:cs="Times New Roman"/>
                <w:spacing w:val="-3"/>
              </w:rPr>
              <w:t xml:space="preserve">VOCs </w:t>
            </w:r>
            <w:r>
              <w:rPr>
                <w:spacing w:val="-3"/>
              </w:rPr>
              <w:t>含量涂料。在生产、销售、进口、使用等环节严格执行</w:t>
            </w:r>
            <w:r>
              <w:rPr>
                <w:spacing w:val="-58"/>
              </w:rPr>
              <w:t xml:space="preserve"> </w:t>
            </w:r>
            <w:r>
              <w:rPr>
                <w:rFonts w:ascii="Times New Roman" w:hAnsi="Times New Roman" w:eastAsia="Times New Roman" w:cs="Times New Roman"/>
                <w:spacing w:val="-3"/>
              </w:rPr>
              <w:t>VOC</w:t>
            </w:r>
            <w:r>
              <w:rPr>
                <w:rFonts w:ascii="Times New Roman" w:hAnsi="Times New Roman" w:eastAsia="Times New Roman" w:cs="Times New Roman"/>
                <w:spacing w:val="-4"/>
              </w:rPr>
              <w:t xml:space="preserve">s </w:t>
            </w:r>
            <w:r>
              <w:rPr>
                <w:spacing w:val="-4"/>
              </w:rPr>
              <w:t>含量限值标</w:t>
            </w:r>
            <w:r>
              <w:t xml:space="preserve"> 准</w:t>
            </w:r>
            <w:r>
              <w:rPr>
                <w:spacing w:val="-86"/>
              </w:rPr>
              <w:t xml:space="preserve"> </w:t>
            </w:r>
            <w:r>
              <w:t>”。本项目抽油液工段与危险废物贮存库共用</w:t>
            </w:r>
            <w:r>
              <w:rPr>
                <w:spacing w:val="-29"/>
              </w:rPr>
              <w:t xml:space="preserve"> </w:t>
            </w:r>
            <w:r>
              <w:rPr>
                <w:rFonts w:ascii="Times New Roman" w:hAnsi="Times New Roman" w:eastAsia="Times New Roman" w:cs="Times New Roman"/>
              </w:rPr>
              <w:t xml:space="preserve">1 </w:t>
            </w:r>
            <w:r>
              <w:t>套设置集气装置，</w:t>
            </w:r>
            <w:r>
              <w:rPr>
                <w:spacing w:val="-1"/>
              </w:rPr>
              <w:t>收集的废</w:t>
            </w:r>
            <w:r>
              <w:t xml:space="preserve"> </w:t>
            </w:r>
            <w:r>
              <w:rPr>
                <w:spacing w:val="-2"/>
              </w:rPr>
              <w:t>气经</w:t>
            </w:r>
            <w:r>
              <w:rPr>
                <w:spacing w:val="-31"/>
              </w:rPr>
              <w:t xml:space="preserve"> </w:t>
            </w:r>
            <w:r>
              <w:rPr>
                <w:rFonts w:ascii="Times New Roman" w:hAnsi="Times New Roman" w:eastAsia="Times New Roman" w:cs="Times New Roman"/>
                <w:spacing w:val="-2"/>
              </w:rPr>
              <w:t xml:space="preserve">1 </w:t>
            </w:r>
            <w:r>
              <w:rPr>
                <w:spacing w:val="-2"/>
              </w:rPr>
              <w:t>套活性碳吸附装置处理后由</w:t>
            </w:r>
            <w:r>
              <w:rPr>
                <w:spacing w:val="-29"/>
              </w:rPr>
              <w:t xml:space="preserve"> </w:t>
            </w:r>
            <w:r>
              <w:rPr>
                <w:rFonts w:ascii="Times New Roman" w:hAnsi="Times New Roman" w:eastAsia="Times New Roman" w:cs="Times New Roman"/>
                <w:spacing w:val="-2"/>
              </w:rPr>
              <w:t>15m</w:t>
            </w:r>
            <w:r>
              <w:rPr>
                <w:rFonts w:ascii="Times New Roman" w:hAnsi="Times New Roman" w:eastAsia="Times New Roman" w:cs="Times New Roman"/>
                <w:spacing w:val="16"/>
                <w:w w:val="101"/>
              </w:rPr>
              <w:t xml:space="preserve"> </w:t>
            </w:r>
            <w:r>
              <w:rPr>
                <w:spacing w:val="-2"/>
              </w:rPr>
              <w:t>高排气筒排放</w:t>
            </w:r>
            <w:r>
              <w:rPr>
                <w:spacing w:val="-3"/>
              </w:rPr>
              <w:t>（</w:t>
            </w:r>
            <w:r>
              <w:rPr>
                <w:rFonts w:ascii="Times New Roman" w:hAnsi="Times New Roman" w:eastAsia="Times New Roman" w:cs="Times New Roman"/>
                <w:spacing w:val="-3"/>
              </w:rPr>
              <w:t>DA002</w:t>
            </w:r>
            <w:r>
              <w:rPr>
                <w:spacing w:val="6"/>
              </w:rPr>
              <w:t>），</w:t>
            </w:r>
            <w:r>
              <w:rPr>
                <w:spacing w:val="-3"/>
              </w:rPr>
              <w:t>企业定期开</w:t>
            </w:r>
            <w:r>
              <w:t xml:space="preserve"> 展监测，加强日常管理制度，并根据工艺要求定期对各类设备、电气、</w:t>
            </w:r>
            <w:r>
              <w:rPr>
                <w:spacing w:val="-61"/>
              </w:rPr>
              <w:t xml:space="preserve"> </w:t>
            </w:r>
            <w:r>
              <w:t xml:space="preserve">自控仪 </w:t>
            </w:r>
            <w:r>
              <w:rPr>
                <w:spacing w:val="2"/>
              </w:rPr>
              <w:t>表等进行检修维护，确保设施的稳定运行，确保非甲烷总</w:t>
            </w:r>
            <w:r>
              <w:rPr>
                <w:spacing w:val="1"/>
              </w:rPr>
              <w:t>烃达标排放，满足方</w:t>
            </w:r>
            <w:r>
              <w:t xml:space="preserve"> </w:t>
            </w:r>
            <w:r>
              <w:rPr>
                <w:spacing w:val="-1"/>
              </w:rPr>
              <w:t>案相关要求。</w:t>
            </w:r>
          </w:p>
          <w:p w14:paraId="1BF3262B">
            <w:pPr>
              <w:pStyle w:val="6"/>
              <w:spacing w:before="34" w:line="220" w:lineRule="auto"/>
              <w:ind w:left="589"/>
            </w:pPr>
            <w:r>
              <w:rPr>
                <w:rFonts w:ascii="Times New Roman" w:hAnsi="Times New Roman" w:eastAsia="Times New Roman" w:cs="Times New Roman"/>
                <w:b/>
                <w:bCs/>
                <w:spacing w:val="-6"/>
              </w:rPr>
              <w:t>16</w:t>
            </w:r>
            <w:r>
              <w:rPr>
                <w:rFonts w:ascii="Times New Roman" w:hAnsi="Times New Roman" w:eastAsia="Times New Roman" w:cs="Times New Roman"/>
                <w:b/>
                <w:bCs/>
                <w:spacing w:val="-30"/>
              </w:rPr>
              <w:t xml:space="preserve"> </w:t>
            </w:r>
            <w:r>
              <w:rPr>
                <w:b/>
                <w:bCs/>
                <w:spacing w:val="-6"/>
              </w:rPr>
              <w:t>、选址合理性分析</w:t>
            </w:r>
          </w:p>
          <w:p w14:paraId="26F88914">
            <w:pPr>
              <w:pStyle w:val="6"/>
              <w:spacing w:before="181" w:line="350" w:lineRule="auto"/>
              <w:ind w:left="104" w:right="97" w:firstLine="479"/>
              <w:jc w:val="both"/>
            </w:pPr>
            <w:r>
              <w:rPr>
                <w:spacing w:val="1"/>
              </w:rPr>
              <w:t>本项目土地利用的地类（用途）为工业用地（见附件</w:t>
            </w:r>
            <w:r>
              <w:rPr>
                <w:spacing w:val="10"/>
              </w:rPr>
              <w:t>），</w:t>
            </w:r>
            <w:r>
              <w:rPr>
                <w:spacing w:val="1"/>
              </w:rPr>
              <w:t>符合当地规划及</w:t>
            </w:r>
            <w:r>
              <w:t xml:space="preserve"> 用地要求。项目不属于《限制用地项目目录（</w:t>
            </w:r>
            <w:r>
              <w:rPr>
                <w:rFonts w:ascii="Times New Roman" w:hAnsi="Times New Roman" w:eastAsia="Times New Roman" w:cs="Times New Roman"/>
              </w:rPr>
              <w:t xml:space="preserve">2012 </w:t>
            </w:r>
            <w:r>
              <w:t>年本</w:t>
            </w:r>
            <w:r>
              <w:rPr>
                <w:spacing w:val="-1"/>
              </w:rPr>
              <w:t>）》和《禁止用地项目</w:t>
            </w:r>
            <w:r>
              <w:t xml:space="preserve"> </w:t>
            </w:r>
            <w:r>
              <w:rPr>
                <w:spacing w:val="-1"/>
              </w:rPr>
              <w:t>目录（</w:t>
            </w:r>
            <w:r>
              <w:rPr>
                <w:rFonts w:ascii="Times New Roman" w:hAnsi="Times New Roman" w:eastAsia="Times New Roman" w:cs="Times New Roman"/>
                <w:spacing w:val="-1"/>
              </w:rPr>
              <w:t xml:space="preserve">2012 </w:t>
            </w:r>
            <w:r>
              <w:rPr>
                <w:spacing w:val="-1"/>
              </w:rPr>
              <w:t>年本）》中的限制、禁止用地项目。</w:t>
            </w:r>
          </w:p>
          <w:p w14:paraId="1041269F">
            <w:pPr>
              <w:pStyle w:val="6"/>
              <w:spacing w:before="32" w:line="356" w:lineRule="auto"/>
              <w:ind w:left="100" w:firstLine="477"/>
              <w:jc w:val="both"/>
            </w:pPr>
            <w:r>
              <w:rPr>
                <w:spacing w:val="-1"/>
              </w:rPr>
              <w:t>本项目的选址位于</w:t>
            </w:r>
            <w:r>
              <w:rPr>
                <w:rFonts w:hint="eastAsia"/>
                <w:spacing w:val="-1"/>
                <w:lang w:eastAsia="zh-CN"/>
              </w:rPr>
              <w:t>黑龙江省佳木斯市桦川县新城镇新古街道</w:t>
            </w:r>
            <w:r>
              <w:rPr>
                <w:spacing w:val="-1"/>
              </w:rPr>
              <w:t>。根据《</w:t>
            </w:r>
            <w:r>
              <w:rPr>
                <w:spacing w:val="-2"/>
              </w:rPr>
              <w:t>林甸县红</w:t>
            </w:r>
            <w:r>
              <w:t xml:space="preserve">  旗镇（含巨浪牧场）国土空间总体规划（</w:t>
            </w:r>
            <w:r>
              <w:rPr>
                <w:rFonts w:ascii="Times New Roman" w:hAnsi="Times New Roman" w:eastAsia="Times New Roman" w:cs="Times New Roman"/>
              </w:rPr>
              <w:t>2</w:t>
            </w:r>
            <w:r>
              <w:rPr>
                <w:rFonts w:ascii="Times New Roman" w:hAnsi="Times New Roman" w:eastAsia="Times New Roman" w:cs="Times New Roman"/>
                <w:spacing w:val="-1"/>
              </w:rPr>
              <w:t xml:space="preserve">021-2035 </w:t>
            </w:r>
            <w:r>
              <w:rPr>
                <w:spacing w:val="-1"/>
              </w:rPr>
              <w:t>年）》，项目位于“一轴</w:t>
            </w:r>
            <w:r>
              <w:rPr>
                <w:spacing w:val="-88"/>
              </w:rPr>
              <w:t xml:space="preserve"> </w:t>
            </w:r>
            <w:r>
              <w:rPr>
                <w:spacing w:val="-1"/>
              </w:rPr>
              <w:t>”</w:t>
            </w:r>
            <w:r>
              <w:t xml:space="preserve"> </w:t>
            </w:r>
            <w:r>
              <w:rPr>
                <w:spacing w:val="-5"/>
              </w:rPr>
              <w:t>——沿</w:t>
            </w:r>
            <w:r>
              <w:rPr>
                <w:spacing w:val="-45"/>
              </w:rPr>
              <w:t xml:space="preserve"> </w:t>
            </w:r>
            <w:r>
              <w:rPr>
                <w:rFonts w:ascii="Times New Roman" w:hAnsi="Times New Roman" w:eastAsia="Times New Roman" w:cs="Times New Roman"/>
                <w:spacing w:val="-5"/>
              </w:rPr>
              <w:t xml:space="preserve">S214 </w:t>
            </w:r>
            <w:r>
              <w:rPr>
                <w:spacing w:val="-5"/>
              </w:rPr>
              <w:t>省道促进城乡产业融合一体化发展轴上，为农业发展配套产业</w:t>
            </w:r>
            <w:r>
              <w:rPr>
                <w:spacing w:val="-6"/>
              </w:rPr>
              <w:t>，优</w:t>
            </w:r>
            <w:r>
              <w:t xml:space="preserve">  </w:t>
            </w:r>
            <w:r>
              <w:rPr>
                <w:spacing w:val="-1"/>
              </w:rPr>
              <w:t>化农机设备，该区域既不是饮用水源保护区等经规划确定或县级以</w:t>
            </w:r>
            <w:r>
              <w:rPr>
                <w:spacing w:val="-2"/>
              </w:rPr>
              <w:t>上政府批准</w:t>
            </w:r>
            <w:r>
              <w:t xml:space="preserve">  </w:t>
            </w:r>
            <w:r>
              <w:rPr>
                <w:spacing w:val="-1"/>
              </w:rPr>
              <w:t>的需特殊保护地区，也不是严重缺水区、重要湿地等生态敏感与脆</w:t>
            </w:r>
            <w:r>
              <w:rPr>
                <w:spacing w:val="-2"/>
              </w:rPr>
              <w:t>弱区，同时</w:t>
            </w:r>
            <w:r>
              <w:t xml:space="preserve">  </w:t>
            </w:r>
            <w:r>
              <w:rPr>
                <w:spacing w:val="-1"/>
              </w:rPr>
              <w:t>也不是文教区及具历史、文化、科学、民族意义的保护区等社会关</w:t>
            </w:r>
            <w:r>
              <w:rPr>
                <w:spacing w:val="-2"/>
              </w:rPr>
              <w:t>注区，符合</w:t>
            </w:r>
            <w:r>
              <w:t xml:space="preserve">  </w:t>
            </w:r>
            <w:r>
              <w:rPr>
                <w:spacing w:val="-4"/>
              </w:rPr>
              <w:t>总体规划。</w:t>
            </w:r>
          </w:p>
          <w:p w14:paraId="2B02A98E">
            <w:pPr>
              <w:pStyle w:val="6"/>
              <w:spacing w:before="32" w:line="350" w:lineRule="auto"/>
              <w:ind w:left="101" w:right="38" w:firstLine="481"/>
              <w:jc w:val="both"/>
            </w:pPr>
            <w:r>
              <w:rPr>
                <w:spacing w:val="-1"/>
              </w:rPr>
              <w:t>本项目租用林甸县兴海肉业食品有限公司空地建设（租赁合同见附件</w:t>
            </w:r>
            <w:r>
              <w:rPr>
                <w:spacing w:val="-55"/>
              </w:rPr>
              <w:t xml:space="preserve"> </w:t>
            </w:r>
            <w:r>
              <w:rPr>
                <w:rFonts w:ascii="Times New Roman" w:hAnsi="Times New Roman" w:eastAsia="Times New Roman" w:cs="Times New Roman"/>
                <w:spacing w:val="-1"/>
              </w:rPr>
              <w:t>4</w:t>
            </w:r>
            <w:r>
              <w:rPr>
                <w:spacing w:val="-22"/>
              </w:rPr>
              <w:t>），</w:t>
            </w:r>
            <w:r>
              <w:t xml:space="preserve"> </w:t>
            </w:r>
            <w:r>
              <w:rPr>
                <w:spacing w:val="1"/>
              </w:rPr>
              <w:t>用地性质为工业用地。本项目东侧为林甸兴海肉业有限公司空置库房，距离创</w:t>
            </w:r>
            <w:r>
              <w:rPr>
                <w:spacing w:val="18"/>
              </w:rPr>
              <w:t xml:space="preserve"> </w:t>
            </w:r>
            <w:r>
              <w:rPr>
                <w:spacing w:val="1"/>
              </w:rPr>
              <w:t>造一队约</w:t>
            </w:r>
            <w:r>
              <w:rPr>
                <w:spacing w:val="-23"/>
              </w:rPr>
              <w:t xml:space="preserve"> </w:t>
            </w:r>
            <w:r>
              <w:rPr>
                <w:rFonts w:ascii="Times New Roman" w:hAnsi="Times New Roman" w:eastAsia="Times New Roman" w:cs="Times New Roman"/>
                <w:spacing w:val="1"/>
              </w:rPr>
              <w:t>1.5</w:t>
            </w:r>
            <w:r>
              <w:rPr>
                <w:rFonts w:ascii="Times New Roman" w:hAnsi="Times New Roman" w:eastAsia="Times New Roman" w:cs="Times New Roman"/>
              </w:rPr>
              <w:t>km</w:t>
            </w:r>
            <w:r>
              <w:rPr>
                <w:rFonts w:ascii="Times New Roman" w:hAnsi="Times New Roman" w:eastAsia="Times New Roman" w:cs="Times New Roman"/>
                <w:spacing w:val="-25"/>
              </w:rPr>
              <w:t xml:space="preserve"> </w:t>
            </w:r>
            <w:r>
              <w:rPr>
                <w:spacing w:val="1"/>
              </w:rPr>
              <w:t>，项目北侧为空地，项目西侧为空地，项目南侧为林甸公路管</w:t>
            </w:r>
          </w:p>
        </w:tc>
      </w:tr>
    </w:tbl>
    <w:p w14:paraId="7FB8BDC2">
      <w:pPr>
        <w:pStyle w:val="2"/>
      </w:pPr>
    </w:p>
    <w:p w14:paraId="57D68E60">
      <w:pPr>
        <w:sectPr>
          <w:footerReference r:id="rId42" w:type="default"/>
          <w:pgSz w:w="11906" w:h="16839"/>
          <w:pgMar w:top="1270" w:right="1479" w:bottom="1263" w:left="1478" w:header="0" w:footer="1097" w:gutter="0"/>
          <w:cols w:space="720" w:num="1"/>
        </w:sectPr>
      </w:pPr>
    </w:p>
    <w:tbl>
      <w:tblPr>
        <w:tblStyle w:val="5"/>
        <w:tblW w:w="892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94"/>
        <w:gridCol w:w="8428"/>
      </w:tblGrid>
      <w:tr w14:paraId="60E0A6AD">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1029" w:hRule="atLeast"/>
        </w:trPr>
        <w:tc>
          <w:tcPr>
            <w:tcW w:w="494" w:type="dxa"/>
            <w:tcBorders>
              <w:right w:val="single" w:color="000000" w:sz="2" w:space="0"/>
            </w:tcBorders>
            <w:vAlign w:val="top"/>
          </w:tcPr>
          <w:p w14:paraId="71185F13">
            <w:pPr>
              <w:rPr>
                <w:rFonts w:ascii="Arial"/>
                <w:sz w:val="21"/>
              </w:rPr>
            </w:pPr>
          </w:p>
        </w:tc>
        <w:tc>
          <w:tcPr>
            <w:tcW w:w="8428" w:type="dxa"/>
            <w:tcBorders>
              <w:left w:val="single" w:color="000000" w:sz="2" w:space="0"/>
            </w:tcBorders>
            <w:vAlign w:val="top"/>
          </w:tcPr>
          <w:p w14:paraId="11704B4F">
            <w:pPr>
              <w:pStyle w:val="6"/>
              <w:spacing w:before="18" w:line="354" w:lineRule="auto"/>
              <w:ind w:left="103" w:right="17" w:firstLine="1"/>
              <w:jc w:val="both"/>
            </w:pPr>
            <w:r>
              <w:rPr>
                <w:spacing w:val="1"/>
              </w:rPr>
              <w:t>理站闲置厂房。根据调查，项目东侧林甸兴海肉业有限公司库房已闲置，未进</w:t>
            </w:r>
            <w:r>
              <w:rPr>
                <w:spacing w:val="14"/>
              </w:rPr>
              <w:t xml:space="preserve"> </w:t>
            </w:r>
            <w:r>
              <w:rPr>
                <w:spacing w:val="-3"/>
              </w:rPr>
              <w:t>行过肉类加工生产，目前为空置建筑，库房内未残留设备、原辅材料、</w:t>
            </w:r>
            <w:r>
              <w:rPr>
                <w:spacing w:val="-4"/>
              </w:rPr>
              <w:t>产品等。</w:t>
            </w:r>
            <w:r>
              <w:t xml:space="preserve"> </w:t>
            </w:r>
            <w:r>
              <w:rPr>
                <w:spacing w:val="-2"/>
              </w:rPr>
              <w:t>该公司屠宰车间距离本项目东南侧约</w:t>
            </w:r>
            <w:r>
              <w:rPr>
                <w:spacing w:val="-48"/>
              </w:rPr>
              <w:t xml:space="preserve"> </w:t>
            </w:r>
            <w:r>
              <w:rPr>
                <w:rFonts w:ascii="Times New Roman" w:hAnsi="Times New Roman" w:eastAsia="Times New Roman" w:cs="Times New Roman"/>
                <w:spacing w:val="-2"/>
              </w:rPr>
              <w:t>550m</w:t>
            </w:r>
            <w:r>
              <w:rPr>
                <w:spacing w:val="-3"/>
              </w:rPr>
              <w:t>，本项目不在其防护距离内</w:t>
            </w:r>
            <w:r>
              <w:rPr>
                <w:color w:val="0000FF"/>
                <w:spacing w:val="-3"/>
              </w:rPr>
              <w:t>。</w:t>
            </w:r>
            <w:r>
              <w:rPr>
                <w:spacing w:val="-3"/>
              </w:rPr>
              <w:t>本项目</w:t>
            </w:r>
            <w:r>
              <w:t xml:space="preserve"> </w:t>
            </w:r>
            <w:r>
              <w:rPr>
                <w:spacing w:val="1"/>
              </w:rPr>
              <w:t>空地新建，无原有环境污染问题。项目所在地水、电、道路交通等城市基础配</w:t>
            </w:r>
            <w:r>
              <w:rPr>
                <w:spacing w:val="17"/>
              </w:rPr>
              <w:t xml:space="preserve"> </w:t>
            </w:r>
            <w:r>
              <w:rPr>
                <w:spacing w:val="-1"/>
              </w:rPr>
              <w:t>套齐全，可以满足本项目建设与运营需要。</w:t>
            </w:r>
          </w:p>
          <w:p w14:paraId="73152ED2">
            <w:pPr>
              <w:pStyle w:val="6"/>
              <w:spacing w:before="33" w:line="355" w:lineRule="auto"/>
              <w:ind w:left="104" w:right="97" w:firstLine="477"/>
            </w:pPr>
            <w:r>
              <w:rPr>
                <w:spacing w:val="2"/>
              </w:rPr>
              <w:t>根据生态环境主管部门公开发布的质量数据</w:t>
            </w:r>
            <w:r>
              <w:rPr>
                <w:spacing w:val="1"/>
              </w:rPr>
              <w:t>和本项目补充监测，项目选址</w:t>
            </w:r>
            <w:r>
              <w:t xml:space="preserve"> </w:t>
            </w:r>
            <w:r>
              <w:rPr>
                <w:spacing w:val="1"/>
              </w:rPr>
              <w:t>区域环境空气质量良好，经分析，在采取本报告给出的污染防治措施及环境管</w:t>
            </w:r>
            <w:r>
              <w:rPr>
                <w:spacing w:val="15"/>
              </w:rPr>
              <w:t xml:space="preserve"> </w:t>
            </w:r>
            <w:r>
              <w:rPr>
                <w:spacing w:val="1"/>
              </w:rPr>
              <w:t>理要求后，项目正常运营产生的污染物可以满足污染物排放标准，本项目周边</w:t>
            </w:r>
            <w:r>
              <w:rPr>
                <w:spacing w:val="15"/>
              </w:rPr>
              <w:t xml:space="preserve"> </w:t>
            </w:r>
            <w:r>
              <w:rPr>
                <w:rFonts w:ascii="Times New Roman" w:hAnsi="Times New Roman" w:eastAsia="Times New Roman" w:cs="Times New Roman"/>
                <w:spacing w:val="-3"/>
              </w:rPr>
              <w:t>500m</w:t>
            </w:r>
            <w:r>
              <w:rPr>
                <w:rFonts w:ascii="Times New Roman" w:hAnsi="Times New Roman" w:eastAsia="Times New Roman" w:cs="Times New Roman"/>
                <w:spacing w:val="39"/>
              </w:rPr>
              <w:t xml:space="preserve"> </w:t>
            </w:r>
            <w:r>
              <w:rPr>
                <w:spacing w:val="-3"/>
              </w:rPr>
              <w:t>内的无环境保护目标，经过企业采取有效的环境治理措</w:t>
            </w:r>
            <w:r>
              <w:rPr>
                <w:spacing w:val="-4"/>
              </w:rPr>
              <w:t>施，营运期产生的</w:t>
            </w:r>
            <w:r>
              <w:t xml:space="preserve"> </w:t>
            </w:r>
            <w:r>
              <w:rPr>
                <w:spacing w:val="1"/>
              </w:rPr>
              <w:t>各种污染物能为环境所接受。在认真落实本评价所提出各项污染防治措施、污</w:t>
            </w:r>
            <w:r>
              <w:rPr>
                <w:spacing w:val="15"/>
              </w:rPr>
              <w:t xml:space="preserve"> </w:t>
            </w:r>
            <w:r>
              <w:rPr>
                <w:spacing w:val="-1"/>
              </w:rPr>
              <w:t>染物达标排放的情况下，项目选址可行。</w:t>
            </w:r>
          </w:p>
          <w:p w14:paraId="5598A5EF">
            <w:pPr>
              <w:pStyle w:val="6"/>
              <w:spacing w:before="32" w:line="350" w:lineRule="auto"/>
              <w:ind w:left="102" w:right="97" w:firstLine="480"/>
            </w:pPr>
            <w:r>
              <w:rPr>
                <w:spacing w:val="1"/>
              </w:rPr>
              <w:t>本项目选址区域不涉及自然保护区、森林公园、风景名胜区、世界文化自</w:t>
            </w:r>
            <w:r>
              <w:rPr>
                <w:spacing w:val="18"/>
              </w:rPr>
              <w:t xml:space="preserve"> </w:t>
            </w:r>
            <w:r>
              <w:rPr>
                <w:spacing w:val="1"/>
              </w:rPr>
              <w:t>然遗产、地质公园等，并且不在重要生态功能区生态红线和生态环境敏感区、</w:t>
            </w:r>
            <w:r>
              <w:rPr>
                <w:spacing w:val="17"/>
              </w:rPr>
              <w:t xml:space="preserve"> </w:t>
            </w:r>
            <w:r>
              <w:rPr>
                <w:spacing w:val="-1"/>
              </w:rPr>
              <w:t>脆弱区生态红线内，符合生态保护红线要求。</w:t>
            </w:r>
          </w:p>
          <w:p w14:paraId="64714562">
            <w:pPr>
              <w:pStyle w:val="6"/>
              <w:spacing w:before="36" w:line="219" w:lineRule="auto"/>
              <w:ind w:left="585"/>
            </w:pPr>
            <w:r>
              <w:rPr>
                <w:spacing w:val="-1"/>
              </w:rPr>
              <w:t>综上所述，从环境角度看本项目选址是合理的。</w:t>
            </w:r>
          </w:p>
        </w:tc>
      </w:tr>
    </w:tbl>
    <w:p w14:paraId="7654139C">
      <w:pPr>
        <w:pStyle w:val="2"/>
      </w:pPr>
    </w:p>
    <w:p w14:paraId="6F90EC1E">
      <w:pPr>
        <w:sectPr>
          <w:footerReference r:id="rId43" w:type="default"/>
          <w:pgSz w:w="11906" w:h="16839"/>
          <w:pgMar w:top="1270" w:right="1479" w:bottom="1263" w:left="1478" w:header="0" w:footer="1097" w:gutter="0"/>
          <w:cols w:space="720" w:num="1"/>
        </w:sectPr>
      </w:pPr>
    </w:p>
    <w:p w14:paraId="0E2809A2">
      <w:pPr>
        <w:spacing w:before="55" w:line="221" w:lineRule="auto"/>
        <w:ind w:left="3075"/>
        <w:outlineLvl w:val="0"/>
        <w:rPr>
          <w:rFonts w:ascii="宋体" w:hAnsi="宋体" w:eastAsia="宋体" w:cs="宋体"/>
          <w:sz w:val="28"/>
          <w:szCs w:val="28"/>
        </w:rPr>
      </w:pPr>
      <w:r>
        <w:rPr>
          <w:rFonts w:ascii="宋体" w:hAnsi="宋体" w:eastAsia="宋体" w:cs="宋体"/>
          <w:b/>
          <w:bCs/>
          <w:spacing w:val="-4"/>
          <w:sz w:val="28"/>
          <w:szCs w:val="28"/>
        </w:rPr>
        <w:t>二、建设项目工程分析</w:t>
      </w:r>
    </w:p>
    <w:p w14:paraId="30179F0D">
      <w:pPr>
        <w:spacing w:line="117" w:lineRule="exact"/>
      </w:pPr>
    </w:p>
    <w:tbl>
      <w:tblPr>
        <w:tblStyle w:val="5"/>
        <w:tblW w:w="8904"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64"/>
        <w:gridCol w:w="8240"/>
      </w:tblGrid>
      <w:tr w14:paraId="362FCF45">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326" w:hRule="atLeast"/>
        </w:trPr>
        <w:tc>
          <w:tcPr>
            <w:tcW w:w="664" w:type="dxa"/>
            <w:tcBorders>
              <w:right w:val="single" w:color="000000" w:sz="2" w:space="0"/>
            </w:tcBorders>
            <w:textDirection w:val="tbRlV"/>
            <w:vAlign w:val="top"/>
          </w:tcPr>
          <w:p w14:paraId="45E7D512">
            <w:pPr>
              <w:pStyle w:val="6"/>
              <w:spacing w:before="212" w:line="199" w:lineRule="auto"/>
              <w:ind w:left="5843"/>
            </w:pPr>
            <w:r>
              <w:rPr>
                <w:spacing w:val="-1"/>
              </w:rPr>
              <w:t>建</w:t>
            </w:r>
            <w:r>
              <w:rPr>
                <w:spacing w:val="110"/>
              </w:rPr>
              <w:t xml:space="preserve"> </w:t>
            </w:r>
            <w:r>
              <w:rPr>
                <w:spacing w:val="-1"/>
              </w:rPr>
              <w:t>设</w:t>
            </w:r>
            <w:r>
              <w:rPr>
                <w:spacing w:val="108"/>
              </w:rPr>
              <w:t xml:space="preserve"> </w:t>
            </w:r>
            <w:r>
              <w:rPr>
                <w:spacing w:val="-1"/>
                <w:position w:val="1"/>
              </w:rPr>
              <w:t>内</w:t>
            </w:r>
            <w:r>
              <w:rPr>
                <w:spacing w:val="109"/>
                <w:position w:val="1"/>
              </w:rPr>
              <w:t xml:space="preserve"> </w:t>
            </w:r>
            <w:r>
              <w:rPr>
                <w:spacing w:val="-1"/>
              </w:rPr>
              <w:t>容</w:t>
            </w:r>
          </w:p>
        </w:tc>
        <w:tc>
          <w:tcPr>
            <w:tcW w:w="8240" w:type="dxa"/>
            <w:tcBorders>
              <w:left w:val="single" w:color="000000" w:sz="2" w:space="0"/>
            </w:tcBorders>
            <w:vAlign w:val="top"/>
          </w:tcPr>
          <w:p w14:paraId="75E46800">
            <w:pPr>
              <w:pStyle w:val="6"/>
              <w:spacing w:before="120" w:line="219" w:lineRule="auto"/>
              <w:ind w:left="590"/>
            </w:pPr>
            <w:r>
              <w:rPr>
                <w:rFonts w:ascii="Times New Roman" w:hAnsi="Times New Roman" w:eastAsia="Times New Roman" w:cs="Times New Roman"/>
                <w:b/>
                <w:bCs/>
                <w:spacing w:val="-6"/>
              </w:rPr>
              <w:t>1</w:t>
            </w:r>
            <w:r>
              <w:rPr>
                <w:rFonts w:ascii="Times New Roman" w:hAnsi="Times New Roman" w:eastAsia="Times New Roman" w:cs="Times New Roman"/>
                <w:b/>
                <w:bCs/>
                <w:spacing w:val="-29"/>
              </w:rPr>
              <w:t xml:space="preserve"> </w:t>
            </w:r>
            <w:r>
              <w:rPr>
                <w:b/>
                <w:bCs/>
                <w:spacing w:val="-6"/>
              </w:rPr>
              <w:t>、主要建设内容及规模</w:t>
            </w:r>
          </w:p>
          <w:p w14:paraId="3F1B0376">
            <w:pPr>
              <w:pStyle w:val="6"/>
              <w:spacing w:before="182" w:line="351" w:lineRule="auto"/>
              <w:ind w:left="103" w:right="95" w:firstLine="480"/>
            </w:pPr>
            <w:r>
              <w:rPr>
                <w:rFonts w:hint="eastAsia"/>
                <w:spacing w:val="3"/>
                <w:lang w:eastAsia="zh-CN"/>
              </w:rPr>
              <w:t>桦川县鸿宇报废农机拆解有限公司</w:t>
            </w:r>
            <w:r>
              <w:rPr>
                <w:spacing w:val="3"/>
              </w:rPr>
              <w:t>租用林甸县兴海肉业食品有限公司空</w:t>
            </w:r>
            <w:r>
              <w:rPr>
                <w:spacing w:val="8"/>
              </w:rPr>
              <w:t xml:space="preserve"> </w:t>
            </w:r>
            <w:r>
              <w:rPr>
                <w:spacing w:val="-2"/>
              </w:rPr>
              <w:t>地建设本项目（租赁合同见附件</w:t>
            </w:r>
            <w:r>
              <w:rPr>
                <w:spacing w:val="-56"/>
              </w:rPr>
              <w:t xml:space="preserve"> </w:t>
            </w:r>
            <w:r>
              <w:rPr>
                <w:rFonts w:ascii="Times New Roman" w:hAnsi="Times New Roman" w:eastAsia="Times New Roman" w:cs="Times New Roman"/>
                <w:spacing w:val="-2"/>
              </w:rPr>
              <w:t>4</w:t>
            </w:r>
            <w:r>
              <w:rPr>
                <w:spacing w:val="-8"/>
              </w:rPr>
              <w:t>），</w:t>
            </w:r>
            <w:r>
              <w:rPr>
                <w:spacing w:val="-2"/>
              </w:rPr>
              <w:t>林甸县兴海肉业食品有限公司总占地面</w:t>
            </w:r>
            <w:r>
              <w:t xml:space="preserve"> </w:t>
            </w:r>
            <w:r>
              <w:rPr>
                <w:spacing w:val="-2"/>
              </w:rPr>
              <w:t>积为</w:t>
            </w:r>
            <w:r>
              <w:rPr>
                <w:spacing w:val="-32"/>
              </w:rPr>
              <w:t xml:space="preserve"> </w:t>
            </w:r>
            <w:r>
              <w:rPr>
                <w:rFonts w:ascii="Times New Roman" w:hAnsi="Times New Roman" w:eastAsia="Times New Roman" w:cs="Times New Roman"/>
                <w:spacing w:val="-2"/>
              </w:rPr>
              <w:t>14198.32m</w:t>
            </w:r>
            <w:r>
              <w:rPr>
                <w:rFonts w:ascii="Times New Roman" w:hAnsi="Times New Roman" w:eastAsia="Times New Roman" w:cs="Times New Roman"/>
                <w:spacing w:val="-2"/>
                <w:position w:val="8"/>
                <w:sz w:val="15"/>
                <w:szCs w:val="15"/>
              </w:rPr>
              <w:t>2</w:t>
            </w:r>
            <w:r>
              <w:rPr>
                <w:rFonts w:ascii="Times New Roman" w:hAnsi="Times New Roman" w:eastAsia="Times New Roman" w:cs="Times New Roman"/>
                <w:spacing w:val="-10"/>
                <w:position w:val="8"/>
                <w:sz w:val="15"/>
                <w:szCs w:val="15"/>
              </w:rPr>
              <w:t xml:space="preserve"> </w:t>
            </w:r>
            <w:r>
              <w:rPr>
                <w:spacing w:val="-2"/>
              </w:rPr>
              <w:t>，本项目租用其中</w:t>
            </w:r>
            <w:r>
              <w:rPr>
                <w:spacing w:val="-55"/>
              </w:rPr>
              <w:t xml:space="preserve"> </w:t>
            </w:r>
            <w:r>
              <w:rPr>
                <w:rFonts w:ascii="Times New Roman" w:hAnsi="Times New Roman" w:eastAsia="Times New Roman" w:cs="Times New Roman"/>
                <w:spacing w:val="-2"/>
              </w:rPr>
              <w:t>2500</w:t>
            </w:r>
            <w:r>
              <w:rPr>
                <w:rFonts w:ascii="Times New Roman" w:hAnsi="Times New Roman" w:eastAsia="Times New Roman" w:cs="Times New Roman"/>
                <w:spacing w:val="20"/>
              </w:rPr>
              <w:t xml:space="preserve"> </w:t>
            </w:r>
            <w:r>
              <w:rPr>
                <w:spacing w:val="-2"/>
              </w:rPr>
              <w:t>㎡</w:t>
            </w:r>
            <w:r>
              <w:rPr>
                <w:spacing w:val="-3"/>
              </w:rPr>
              <w:t>空地，用地性质为工业用地。</w:t>
            </w:r>
          </w:p>
          <w:p w14:paraId="1F85EF88">
            <w:pPr>
              <w:pStyle w:val="6"/>
              <w:spacing w:before="32" w:line="355" w:lineRule="auto"/>
              <w:ind w:left="102" w:right="95" w:firstLine="481"/>
            </w:pPr>
            <w:r>
              <w:rPr>
                <w:spacing w:val="-4"/>
              </w:rPr>
              <w:t>本项目占地面积</w:t>
            </w:r>
            <w:r>
              <w:rPr>
                <w:spacing w:val="-55"/>
              </w:rPr>
              <w:t xml:space="preserve"> </w:t>
            </w:r>
            <w:r>
              <w:rPr>
                <w:rFonts w:ascii="Times New Roman" w:hAnsi="Times New Roman" w:eastAsia="Times New Roman" w:cs="Times New Roman"/>
                <w:spacing w:val="-4"/>
              </w:rPr>
              <w:t>2500</w:t>
            </w:r>
            <w:r>
              <w:rPr>
                <w:rFonts w:ascii="Times New Roman" w:hAnsi="Times New Roman" w:eastAsia="Times New Roman" w:cs="Times New Roman"/>
                <w:spacing w:val="20"/>
              </w:rPr>
              <w:t xml:space="preserve"> </w:t>
            </w:r>
            <w:r>
              <w:rPr>
                <w:spacing w:val="-4"/>
              </w:rPr>
              <w:t>㎡</w:t>
            </w:r>
            <w:r>
              <w:rPr>
                <w:spacing w:val="-72"/>
              </w:rPr>
              <w:t xml:space="preserve"> </w:t>
            </w:r>
            <w:r>
              <w:rPr>
                <w:spacing w:val="-4"/>
              </w:rPr>
              <w:t>，</w:t>
            </w:r>
            <w:r>
              <w:rPr>
                <w:spacing w:val="-67"/>
              </w:rPr>
              <w:t xml:space="preserve"> </w:t>
            </w:r>
            <w:r>
              <w:rPr>
                <w:spacing w:val="-4"/>
              </w:rPr>
              <w:t>目前为空地，林甸县</w:t>
            </w:r>
            <w:r>
              <w:rPr>
                <w:spacing w:val="-5"/>
              </w:rPr>
              <w:t>兴海肉业食品有限公司为</w:t>
            </w:r>
            <w:r>
              <w:t xml:space="preserve"> </w:t>
            </w:r>
            <w:r>
              <w:rPr>
                <w:spacing w:val="-1"/>
              </w:rPr>
              <w:t>本项目建设</w:t>
            </w:r>
            <w:r>
              <w:rPr>
                <w:spacing w:val="-27"/>
              </w:rPr>
              <w:t xml:space="preserve"> </w:t>
            </w:r>
            <w:r>
              <w:rPr>
                <w:rFonts w:ascii="Times New Roman" w:hAnsi="Times New Roman" w:eastAsia="Times New Roman" w:cs="Times New Roman"/>
                <w:spacing w:val="-1"/>
              </w:rPr>
              <w:t xml:space="preserve">1 </w:t>
            </w:r>
            <w:r>
              <w:rPr>
                <w:spacing w:val="-1"/>
              </w:rPr>
              <w:t>座</w:t>
            </w:r>
            <w:r>
              <w:rPr>
                <w:spacing w:val="-49"/>
              </w:rPr>
              <w:t xml:space="preserve"> </w:t>
            </w:r>
            <w:r>
              <w:rPr>
                <w:rFonts w:ascii="Times New Roman" w:hAnsi="Times New Roman" w:eastAsia="Times New Roman" w:cs="Times New Roman"/>
                <w:spacing w:val="-1"/>
              </w:rPr>
              <w:t>400m</w:t>
            </w:r>
            <w:r>
              <w:rPr>
                <w:rFonts w:ascii="Times New Roman" w:hAnsi="Times New Roman" w:eastAsia="Times New Roman" w:cs="Times New Roman"/>
                <w:spacing w:val="-1"/>
                <w:position w:val="7"/>
                <w:sz w:val="15"/>
                <w:szCs w:val="15"/>
              </w:rPr>
              <w:t>2</w:t>
            </w:r>
            <w:r>
              <w:rPr>
                <w:rFonts w:ascii="Times New Roman" w:hAnsi="Times New Roman" w:eastAsia="Times New Roman" w:cs="Times New Roman"/>
                <w:spacing w:val="17"/>
                <w:position w:val="7"/>
                <w:sz w:val="15"/>
                <w:szCs w:val="15"/>
              </w:rPr>
              <w:t xml:space="preserve"> </w:t>
            </w:r>
            <w:r>
              <w:rPr>
                <w:spacing w:val="-1"/>
              </w:rPr>
              <w:t>厂房及</w:t>
            </w:r>
            <w:r>
              <w:rPr>
                <w:spacing w:val="-27"/>
              </w:rPr>
              <w:t xml:space="preserve"> </w:t>
            </w:r>
            <w:r>
              <w:rPr>
                <w:rFonts w:ascii="Times New Roman" w:hAnsi="Times New Roman" w:eastAsia="Times New Roman" w:cs="Times New Roman"/>
                <w:spacing w:val="-1"/>
              </w:rPr>
              <w:t>1400m</w:t>
            </w:r>
            <w:r>
              <w:rPr>
                <w:rFonts w:ascii="Times New Roman" w:hAnsi="Times New Roman" w:eastAsia="Times New Roman" w:cs="Times New Roman"/>
                <w:spacing w:val="-1"/>
                <w:position w:val="7"/>
                <w:sz w:val="15"/>
                <w:szCs w:val="15"/>
              </w:rPr>
              <w:t>2</w:t>
            </w:r>
            <w:r>
              <w:rPr>
                <w:rFonts w:ascii="Times New Roman" w:hAnsi="Times New Roman" w:eastAsia="Times New Roman" w:cs="Times New Roman"/>
                <w:spacing w:val="13"/>
                <w:w w:val="102"/>
                <w:position w:val="7"/>
                <w:sz w:val="15"/>
                <w:szCs w:val="15"/>
              </w:rPr>
              <w:t xml:space="preserve"> </w:t>
            </w:r>
            <w:r>
              <w:rPr>
                <w:spacing w:val="-1"/>
              </w:rPr>
              <w:t>地面硬</w:t>
            </w:r>
            <w:r>
              <w:rPr>
                <w:spacing w:val="-2"/>
              </w:rPr>
              <w:t>化（在</w:t>
            </w:r>
            <w:r>
              <w:rPr>
                <w:spacing w:val="-50"/>
              </w:rPr>
              <w:t xml:space="preserve"> </w:t>
            </w:r>
            <w:r>
              <w:rPr>
                <w:rFonts w:ascii="Times New Roman" w:hAnsi="Times New Roman" w:eastAsia="Times New Roman" w:cs="Times New Roman"/>
                <w:spacing w:val="-2"/>
              </w:rPr>
              <w:t>2500m</w:t>
            </w:r>
            <w:r>
              <w:rPr>
                <w:rFonts w:ascii="Times New Roman" w:hAnsi="Times New Roman" w:eastAsia="Times New Roman" w:cs="Times New Roman"/>
                <w:spacing w:val="-2"/>
                <w:position w:val="7"/>
                <w:sz w:val="15"/>
                <w:szCs w:val="15"/>
              </w:rPr>
              <w:t xml:space="preserve">2  </w:t>
            </w:r>
            <w:r>
              <w:rPr>
                <w:spacing w:val="-2"/>
              </w:rPr>
              <w:t>占地范围内</w:t>
            </w:r>
            <w:r>
              <w:rPr>
                <w:spacing w:val="5"/>
              </w:rPr>
              <w:t>），</w:t>
            </w:r>
            <w:r>
              <w:t xml:space="preserve"> </w:t>
            </w:r>
            <w:r>
              <w:rPr>
                <w:spacing w:val="-4"/>
              </w:rPr>
              <w:t>建设拆解车间</w:t>
            </w:r>
            <w:r>
              <w:rPr>
                <w:spacing w:val="-51"/>
              </w:rPr>
              <w:t xml:space="preserve"> </w:t>
            </w:r>
            <w:r>
              <w:rPr>
                <w:rFonts w:ascii="Times New Roman" w:hAnsi="Times New Roman" w:eastAsia="Times New Roman" w:cs="Times New Roman"/>
                <w:spacing w:val="-4"/>
              </w:rPr>
              <w:t>400</w:t>
            </w:r>
            <w:r>
              <w:rPr>
                <w:rFonts w:ascii="Times New Roman" w:hAnsi="Times New Roman" w:eastAsia="Times New Roman" w:cs="Times New Roman"/>
                <w:spacing w:val="25"/>
              </w:rPr>
              <w:t xml:space="preserve"> </w:t>
            </w:r>
            <w:r>
              <w:rPr>
                <w:spacing w:val="-4"/>
              </w:rPr>
              <w:t>㎡</w:t>
            </w:r>
            <w:r>
              <w:rPr>
                <w:spacing w:val="-67"/>
              </w:rPr>
              <w:t xml:space="preserve"> </w:t>
            </w:r>
            <w:r>
              <w:rPr>
                <w:spacing w:val="-4"/>
              </w:rPr>
              <w:t>，待拆解暂存区</w:t>
            </w:r>
            <w:r>
              <w:rPr>
                <w:spacing w:val="-50"/>
              </w:rPr>
              <w:t xml:space="preserve"> </w:t>
            </w:r>
            <w:r>
              <w:rPr>
                <w:rFonts w:ascii="Times New Roman" w:hAnsi="Times New Roman" w:eastAsia="Times New Roman" w:cs="Times New Roman"/>
                <w:spacing w:val="-4"/>
              </w:rPr>
              <w:t>200</w:t>
            </w:r>
            <w:r>
              <w:rPr>
                <w:rFonts w:ascii="Times New Roman" w:hAnsi="Times New Roman" w:eastAsia="Times New Roman" w:cs="Times New Roman"/>
                <w:spacing w:val="22"/>
              </w:rPr>
              <w:t xml:space="preserve"> </w:t>
            </w:r>
            <w:r>
              <w:rPr>
                <w:spacing w:val="-4"/>
              </w:rPr>
              <w:t>㎡</w:t>
            </w:r>
            <w:r>
              <w:rPr>
                <w:spacing w:val="-66"/>
              </w:rPr>
              <w:t xml:space="preserve"> </w:t>
            </w:r>
            <w:r>
              <w:rPr>
                <w:spacing w:val="-5"/>
              </w:rPr>
              <w:t>，拆解后物料储存区</w:t>
            </w:r>
            <w:r>
              <w:rPr>
                <w:spacing w:val="-47"/>
              </w:rPr>
              <w:t xml:space="preserve"> </w:t>
            </w:r>
            <w:r>
              <w:rPr>
                <w:rFonts w:ascii="Times New Roman" w:hAnsi="Times New Roman" w:eastAsia="Times New Roman" w:cs="Times New Roman"/>
                <w:spacing w:val="-5"/>
              </w:rPr>
              <w:t>750</w:t>
            </w:r>
            <w:r>
              <w:rPr>
                <w:rFonts w:ascii="Times New Roman" w:hAnsi="Times New Roman" w:eastAsia="Times New Roman" w:cs="Times New Roman"/>
                <w:spacing w:val="22"/>
                <w:w w:val="101"/>
              </w:rPr>
              <w:t xml:space="preserve"> </w:t>
            </w:r>
            <w:r>
              <w:rPr>
                <w:spacing w:val="-5"/>
              </w:rPr>
              <w:t>㎡</w:t>
            </w:r>
            <w:r>
              <w:rPr>
                <w:spacing w:val="-67"/>
              </w:rPr>
              <w:t xml:space="preserve"> </w:t>
            </w:r>
            <w:r>
              <w:rPr>
                <w:spacing w:val="-5"/>
              </w:rPr>
              <w:t>，报</w:t>
            </w:r>
            <w:r>
              <w:t xml:space="preserve"> </w:t>
            </w:r>
            <w:r>
              <w:rPr>
                <w:spacing w:val="-1"/>
              </w:rPr>
              <w:t>废农机暂存区</w:t>
            </w:r>
            <w:r>
              <w:rPr>
                <w:spacing w:val="-47"/>
              </w:rPr>
              <w:t xml:space="preserve"> </w:t>
            </w:r>
            <w:r>
              <w:rPr>
                <w:rFonts w:ascii="Times New Roman" w:hAnsi="Times New Roman" w:eastAsia="Times New Roman" w:cs="Times New Roman"/>
                <w:spacing w:val="-1"/>
              </w:rPr>
              <w:t>760</w:t>
            </w:r>
            <w:r>
              <w:rPr>
                <w:rFonts w:ascii="Times New Roman" w:hAnsi="Times New Roman" w:eastAsia="Times New Roman" w:cs="Times New Roman"/>
                <w:spacing w:val="22"/>
                <w:w w:val="101"/>
              </w:rPr>
              <w:t xml:space="preserve"> </w:t>
            </w:r>
            <w:r>
              <w:rPr>
                <w:spacing w:val="-1"/>
              </w:rPr>
              <w:t>㎡</w:t>
            </w:r>
            <w:r>
              <w:rPr>
                <w:spacing w:val="-63"/>
              </w:rPr>
              <w:t xml:space="preserve"> </w:t>
            </w:r>
            <w:r>
              <w:rPr>
                <w:spacing w:val="-1"/>
              </w:rPr>
              <w:t>。建成后，每年回收及拆解废旧农机</w:t>
            </w:r>
            <w:r>
              <w:rPr>
                <w:spacing w:val="-40"/>
              </w:rPr>
              <w:t xml:space="preserve"> </w:t>
            </w:r>
            <w:r>
              <w:rPr>
                <w:rFonts w:ascii="Times New Roman" w:hAnsi="Times New Roman" w:eastAsia="Times New Roman" w:cs="Times New Roman"/>
                <w:spacing w:val="-1"/>
              </w:rPr>
              <w:t>800</w:t>
            </w:r>
            <w:r>
              <w:rPr>
                <w:rFonts w:ascii="Times New Roman" w:hAnsi="Times New Roman" w:eastAsia="Times New Roman" w:cs="Times New Roman"/>
                <w:spacing w:val="33"/>
              </w:rPr>
              <w:t xml:space="preserve"> </w:t>
            </w:r>
            <w:r>
              <w:rPr>
                <w:spacing w:val="-1"/>
              </w:rPr>
              <w:t>台</w:t>
            </w:r>
            <w:r>
              <w:rPr>
                <w:spacing w:val="-2"/>
              </w:rPr>
              <w:t>。本项目不</w:t>
            </w:r>
            <w:r>
              <w:t xml:space="preserve"> </w:t>
            </w:r>
            <w:r>
              <w:rPr>
                <w:spacing w:val="-1"/>
              </w:rPr>
              <w:t>拆解电动农业机械，不拆解电动汽车，不拆解新能源农用车。</w:t>
            </w:r>
          </w:p>
          <w:p w14:paraId="64EB6E9B">
            <w:pPr>
              <w:pStyle w:val="6"/>
              <w:spacing w:before="37" w:line="353" w:lineRule="auto"/>
              <w:ind w:left="102" w:right="95" w:firstLine="481"/>
            </w:pPr>
            <w:r>
              <w:rPr>
                <w:spacing w:val="3"/>
              </w:rPr>
              <w:t>本项目设备及车辆不在厂区内清洗；本项目收购来的报废农机运至报废</w:t>
            </w:r>
            <w:r>
              <w:rPr>
                <w:spacing w:val="8"/>
              </w:rPr>
              <w:t xml:space="preserve"> </w:t>
            </w:r>
            <w:r>
              <w:rPr>
                <w:spacing w:val="3"/>
              </w:rPr>
              <w:t>农机暂存区内暂存，不进行露天停放，不单独设置停车坪；本项目车间地面</w:t>
            </w:r>
            <w:r>
              <w:rPr>
                <w:spacing w:val="4"/>
              </w:rPr>
              <w:t xml:space="preserve"> </w:t>
            </w:r>
            <w:r>
              <w:rPr>
                <w:spacing w:val="-1"/>
              </w:rPr>
              <w:t>不清洗，地面如有油渍，采用抹布</w:t>
            </w:r>
            <w:r>
              <w:rPr>
                <w:rFonts w:ascii="Times New Roman" w:hAnsi="Times New Roman" w:eastAsia="Times New Roman" w:cs="Times New Roman"/>
                <w:spacing w:val="-1"/>
              </w:rPr>
              <w:t>/</w:t>
            </w:r>
            <w:r>
              <w:rPr>
                <w:spacing w:val="-1"/>
              </w:rPr>
              <w:t>拖布擦干，废抹布</w:t>
            </w:r>
            <w:r>
              <w:rPr>
                <w:rFonts w:ascii="Times New Roman" w:hAnsi="Times New Roman" w:eastAsia="Times New Roman" w:cs="Times New Roman"/>
                <w:spacing w:val="-1"/>
              </w:rPr>
              <w:t>/</w:t>
            </w:r>
            <w:r>
              <w:rPr>
                <w:spacing w:val="-1"/>
              </w:rPr>
              <w:t>拖布作为危险废物暂存</w:t>
            </w:r>
            <w:r>
              <w:rPr>
                <w:spacing w:val="7"/>
              </w:rPr>
              <w:t xml:space="preserve"> </w:t>
            </w:r>
            <w:r>
              <w:rPr>
                <w:spacing w:val="-1"/>
              </w:rPr>
              <w:t>在危险废物贮存库，由有资质单位处理。</w:t>
            </w:r>
          </w:p>
          <w:p w14:paraId="01144ECC">
            <w:pPr>
              <w:pStyle w:val="6"/>
              <w:spacing w:before="34" w:line="219" w:lineRule="auto"/>
              <w:ind w:left="584"/>
            </w:pPr>
            <w:r>
              <w:rPr>
                <w:spacing w:val="-2"/>
              </w:rPr>
              <w:t>本项目组成见下表。</w:t>
            </w:r>
          </w:p>
          <w:p w14:paraId="36154941">
            <w:pPr>
              <w:pStyle w:val="6"/>
              <w:spacing w:before="184" w:line="219" w:lineRule="auto"/>
              <w:ind w:left="2814"/>
            </w:pPr>
            <w:r>
              <w:rPr>
                <w:b/>
                <w:bCs/>
                <w:spacing w:val="-3"/>
              </w:rPr>
              <w:t>表</w:t>
            </w:r>
            <w:r>
              <w:rPr>
                <w:spacing w:val="-45"/>
              </w:rPr>
              <w:t xml:space="preserve"> </w:t>
            </w:r>
            <w:r>
              <w:rPr>
                <w:rFonts w:ascii="Times New Roman" w:hAnsi="Times New Roman" w:eastAsia="Times New Roman" w:cs="Times New Roman"/>
                <w:b/>
                <w:bCs/>
                <w:spacing w:val="-3"/>
              </w:rPr>
              <w:t xml:space="preserve">2-1 </w:t>
            </w:r>
            <w:r>
              <w:rPr>
                <w:b/>
                <w:bCs/>
                <w:spacing w:val="-3"/>
              </w:rPr>
              <w:t>工程主要建设内容</w:t>
            </w:r>
          </w:p>
          <w:p w14:paraId="7FB34508">
            <w:pPr>
              <w:spacing w:line="68" w:lineRule="exact"/>
            </w:pPr>
          </w:p>
          <w:tbl>
            <w:tblPr>
              <w:tblStyle w:val="5"/>
              <w:tblW w:w="8032" w:type="dxa"/>
              <w:tblInd w:w="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99"/>
              <w:gridCol w:w="581"/>
              <w:gridCol w:w="7052"/>
            </w:tblGrid>
            <w:tr w14:paraId="483E60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6" w:hRule="atLeast"/>
              </w:trPr>
              <w:tc>
                <w:tcPr>
                  <w:tcW w:w="399" w:type="dxa"/>
                  <w:tcBorders>
                    <w:top w:val="single" w:color="000000" w:sz="10" w:space="0"/>
                    <w:left w:val="nil"/>
                  </w:tcBorders>
                  <w:textDirection w:val="tbRlV"/>
                  <w:vAlign w:val="top"/>
                </w:tcPr>
                <w:p w14:paraId="76653474">
                  <w:pPr>
                    <w:pStyle w:val="6"/>
                    <w:spacing w:before="81" w:line="216" w:lineRule="auto"/>
                    <w:ind w:left="56"/>
                    <w:rPr>
                      <w:sz w:val="20"/>
                      <w:szCs w:val="20"/>
                    </w:rPr>
                  </w:pPr>
                  <w:r>
                    <w:rPr>
                      <w:b/>
                      <w:bCs/>
                      <w:spacing w:val="4"/>
                      <w:sz w:val="20"/>
                      <w:szCs w:val="20"/>
                    </w:rPr>
                    <w:t>工</w:t>
                  </w:r>
                  <w:r>
                    <w:rPr>
                      <w:spacing w:val="4"/>
                      <w:sz w:val="20"/>
                      <w:szCs w:val="20"/>
                    </w:rPr>
                    <w:t xml:space="preserve"> </w:t>
                  </w:r>
                  <w:r>
                    <w:rPr>
                      <w:b/>
                      <w:bCs/>
                      <w:spacing w:val="4"/>
                      <w:sz w:val="20"/>
                      <w:szCs w:val="20"/>
                    </w:rPr>
                    <w:t>程</w:t>
                  </w:r>
                  <w:r>
                    <w:rPr>
                      <w:spacing w:val="4"/>
                      <w:sz w:val="20"/>
                      <w:szCs w:val="20"/>
                    </w:rPr>
                    <w:t xml:space="preserve"> </w:t>
                  </w:r>
                  <w:r>
                    <w:rPr>
                      <w:b/>
                      <w:bCs/>
                      <w:spacing w:val="4"/>
                      <w:sz w:val="20"/>
                      <w:szCs w:val="20"/>
                    </w:rPr>
                    <w:t>类</w:t>
                  </w:r>
                  <w:r>
                    <w:rPr>
                      <w:spacing w:val="4"/>
                      <w:sz w:val="20"/>
                      <w:szCs w:val="20"/>
                    </w:rPr>
                    <w:t xml:space="preserve"> </w:t>
                  </w:r>
                  <w:r>
                    <w:rPr>
                      <w:b/>
                      <w:bCs/>
                      <w:spacing w:val="4"/>
                      <w:sz w:val="20"/>
                      <w:szCs w:val="20"/>
                    </w:rPr>
                    <w:t>型</w:t>
                  </w:r>
                </w:p>
              </w:tc>
              <w:tc>
                <w:tcPr>
                  <w:tcW w:w="581" w:type="dxa"/>
                  <w:tcBorders>
                    <w:top w:val="single" w:color="000000" w:sz="10" w:space="0"/>
                  </w:tcBorders>
                  <w:textDirection w:val="tbRlV"/>
                  <w:vAlign w:val="top"/>
                </w:tcPr>
                <w:p w14:paraId="72DF17E8">
                  <w:pPr>
                    <w:pStyle w:val="6"/>
                    <w:spacing w:before="184" w:line="208" w:lineRule="auto"/>
                    <w:ind w:left="56"/>
                    <w:rPr>
                      <w:sz w:val="20"/>
                      <w:szCs w:val="20"/>
                    </w:rPr>
                  </w:pPr>
                  <w:r>
                    <w:rPr>
                      <w:b/>
                      <w:bCs/>
                      <w:spacing w:val="4"/>
                      <w:sz w:val="20"/>
                      <w:szCs w:val="20"/>
                    </w:rPr>
                    <w:t>项</w:t>
                  </w:r>
                  <w:r>
                    <w:rPr>
                      <w:spacing w:val="4"/>
                      <w:sz w:val="20"/>
                      <w:szCs w:val="20"/>
                    </w:rPr>
                    <w:t xml:space="preserve"> </w:t>
                  </w:r>
                  <w:r>
                    <w:rPr>
                      <w:b/>
                      <w:bCs/>
                      <w:spacing w:val="4"/>
                      <w:position w:val="1"/>
                      <w:sz w:val="20"/>
                      <w:szCs w:val="20"/>
                    </w:rPr>
                    <w:t>目</w:t>
                  </w:r>
                  <w:r>
                    <w:rPr>
                      <w:spacing w:val="4"/>
                      <w:position w:val="1"/>
                      <w:sz w:val="20"/>
                      <w:szCs w:val="20"/>
                    </w:rPr>
                    <w:t xml:space="preserve"> </w:t>
                  </w:r>
                  <w:r>
                    <w:rPr>
                      <w:b/>
                      <w:bCs/>
                      <w:spacing w:val="4"/>
                      <w:sz w:val="20"/>
                      <w:szCs w:val="20"/>
                    </w:rPr>
                    <w:t>名</w:t>
                  </w:r>
                  <w:r>
                    <w:rPr>
                      <w:spacing w:val="4"/>
                      <w:sz w:val="20"/>
                      <w:szCs w:val="20"/>
                    </w:rPr>
                    <w:t xml:space="preserve"> </w:t>
                  </w:r>
                  <w:r>
                    <w:rPr>
                      <w:b/>
                      <w:bCs/>
                      <w:spacing w:val="4"/>
                      <w:sz w:val="20"/>
                      <w:szCs w:val="20"/>
                    </w:rPr>
                    <w:t>称</w:t>
                  </w:r>
                </w:p>
              </w:tc>
              <w:tc>
                <w:tcPr>
                  <w:tcW w:w="7052" w:type="dxa"/>
                  <w:tcBorders>
                    <w:top w:val="single" w:color="000000" w:sz="10" w:space="0"/>
                    <w:right w:val="nil"/>
                  </w:tcBorders>
                  <w:vAlign w:val="top"/>
                </w:tcPr>
                <w:p w14:paraId="0C37B470">
                  <w:pPr>
                    <w:spacing w:line="456" w:lineRule="auto"/>
                    <w:rPr>
                      <w:rFonts w:ascii="Arial"/>
                      <w:sz w:val="21"/>
                    </w:rPr>
                  </w:pPr>
                </w:p>
                <w:p w14:paraId="3807667B">
                  <w:pPr>
                    <w:pStyle w:val="6"/>
                    <w:spacing w:before="65" w:line="227" w:lineRule="auto"/>
                    <w:ind w:left="3114"/>
                    <w:rPr>
                      <w:sz w:val="20"/>
                      <w:szCs w:val="20"/>
                    </w:rPr>
                  </w:pPr>
                  <w:r>
                    <w:rPr>
                      <w:b/>
                      <w:bCs/>
                      <w:spacing w:val="5"/>
                      <w:sz w:val="20"/>
                      <w:szCs w:val="20"/>
                    </w:rPr>
                    <w:t>项目内容</w:t>
                  </w:r>
                </w:p>
              </w:tc>
            </w:tr>
            <w:tr w14:paraId="4ED2405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1" w:hRule="atLeast"/>
              </w:trPr>
              <w:tc>
                <w:tcPr>
                  <w:tcW w:w="399" w:type="dxa"/>
                  <w:tcBorders>
                    <w:left w:val="nil"/>
                    <w:bottom w:val="nil"/>
                  </w:tcBorders>
                  <w:vAlign w:val="top"/>
                </w:tcPr>
                <w:p w14:paraId="09E9B28D">
                  <w:pPr>
                    <w:rPr>
                      <w:rFonts w:ascii="Arial"/>
                      <w:sz w:val="21"/>
                    </w:rPr>
                  </w:pPr>
                </w:p>
              </w:tc>
              <w:tc>
                <w:tcPr>
                  <w:tcW w:w="581" w:type="dxa"/>
                  <w:textDirection w:val="tbRlV"/>
                  <w:vAlign w:val="top"/>
                </w:tcPr>
                <w:p w14:paraId="73BE10A0">
                  <w:pPr>
                    <w:pStyle w:val="6"/>
                    <w:spacing w:before="184" w:line="216" w:lineRule="auto"/>
                    <w:ind w:left="51"/>
                    <w:rPr>
                      <w:sz w:val="20"/>
                      <w:szCs w:val="20"/>
                    </w:rPr>
                  </w:pPr>
                  <w:r>
                    <w:rPr>
                      <w:spacing w:val="6"/>
                      <w:sz w:val="20"/>
                      <w:szCs w:val="20"/>
                    </w:rPr>
                    <w:t>拆 解 车 间</w:t>
                  </w:r>
                </w:p>
              </w:tc>
              <w:tc>
                <w:tcPr>
                  <w:tcW w:w="7052" w:type="dxa"/>
                  <w:tcBorders>
                    <w:right w:val="nil"/>
                  </w:tcBorders>
                  <w:vAlign w:val="top"/>
                </w:tcPr>
                <w:p w14:paraId="126B5160">
                  <w:pPr>
                    <w:pStyle w:val="6"/>
                    <w:spacing w:before="205" w:line="278" w:lineRule="auto"/>
                    <w:ind w:left="112" w:right="108" w:firstLine="2"/>
                    <w:jc w:val="both"/>
                    <w:rPr>
                      <w:sz w:val="20"/>
                      <w:szCs w:val="20"/>
                    </w:rPr>
                  </w:pPr>
                  <w:r>
                    <w:rPr>
                      <w:spacing w:val="3"/>
                      <w:sz w:val="20"/>
                      <w:szCs w:val="20"/>
                    </w:rPr>
                    <w:t>新建，长</w:t>
                  </w:r>
                  <w:r>
                    <w:rPr>
                      <w:spacing w:val="-32"/>
                      <w:sz w:val="20"/>
                      <w:szCs w:val="20"/>
                    </w:rPr>
                    <w:t xml:space="preserve"> </w:t>
                  </w:r>
                  <w:r>
                    <w:rPr>
                      <w:rFonts w:ascii="Times New Roman" w:hAnsi="Times New Roman" w:eastAsia="Times New Roman" w:cs="Times New Roman"/>
                      <w:spacing w:val="3"/>
                      <w:sz w:val="20"/>
                      <w:szCs w:val="20"/>
                    </w:rPr>
                    <w:t>25m</w:t>
                  </w:r>
                  <w:r>
                    <w:rPr>
                      <w:rFonts w:ascii="Times New Roman" w:hAnsi="Times New Roman" w:eastAsia="Times New Roman" w:cs="Times New Roman"/>
                      <w:spacing w:val="-27"/>
                      <w:sz w:val="20"/>
                      <w:szCs w:val="20"/>
                    </w:rPr>
                    <w:t xml:space="preserve"> </w:t>
                  </w:r>
                  <w:r>
                    <w:rPr>
                      <w:spacing w:val="3"/>
                      <w:sz w:val="20"/>
                      <w:szCs w:val="20"/>
                    </w:rPr>
                    <w:t>，宽</w:t>
                  </w:r>
                  <w:r>
                    <w:rPr>
                      <w:spacing w:val="-23"/>
                      <w:sz w:val="20"/>
                      <w:szCs w:val="20"/>
                    </w:rPr>
                    <w:t xml:space="preserve"> </w:t>
                  </w:r>
                  <w:r>
                    <w:rPr>
                      <w:rFonts w:ascii="Times New Roman" w:hAnsi="Times New Roman" w:eastAsia="Times New Roman" w:cs="Times New Roman"/>
                      <w:spacing w:val="3"/>
                      <w:sz w:val="20"/>
                      <w:szCs w:val="20"/>
                    </w:rPr>
                    <w:t>16m</w:t>
                  </w:r>
                  <w:r>
                    <w:rPr>
                      <w:rFonts w:ascii="Times New Roman" w:hAnsi="Times New Roman" w:eastAsia="Times New Roman" w:cs="Times New Roman"/>
                      <w:spacing w:val="-23"/>
                      <w:sz w:val="20"/>
                      <w:szCs w:val="20"/>
                    </w:rPr>
                    <w:t xml:space="preserve"> </w:t>
                  </w:r>
                  <w:r>
                    <w:rPr>
                      <w:spacing w:val="3"/>
                      <w:sz w:val="20"/>
                      <w:szCs w:val="20"/>
                    </w:rPr>
                    <w:t>，高</w:t>
                  </w:r>
                  <w:r>
                    <w:rPr>
                      <w:spacing w:val="-40"/>
                      <w:sz w:val="20"/>
                      <w:szCs w:val="20"/>
                    </w:rPr>
                    <w:t xml:space="preserve"> </w:t>
                  </w:r>
                  <w:r>
                    <w:rPr>
                      <w:rFonts w:ascii="Times New Roman" w:hAnsi="Times New Roman" w:eastAsia="Times New Roman" w:cs="Times New Roman"/>
                      <w:spacing w:val="3"/>
                      <w:sz w:val="20"/>
                      <w:szCs w:val="20"/>
                    </w:rPr>
                    <w:t>7m</w:t>
                  </w:r>
                  <w:r>
                    <w:rPr>
                      <w:rFonts w:ascii="Times New Roman" w:hAnsi="Times New Roman" w:eastAsia="Times New Roman" w:cs="Times New Roman"/>
                      <w:spacing w:val="-24"/>
                      <w:sz w:val="20"/>
                      <w:szCs w:val="20"/>
                    </w:rPr>
                    <w:t xml:space="preserve"> </w:t>
                  </w:r>
                  <w:r>
                    <w:rPr>
                      <w:spacing w:val="3"/>
                      <w:sz w:val="20"/>
                      <w:szCs w:val="20"/>
                    </w:rPr>
                    <w:t>，建筑面积</w:t>
                  </w:r>
                  <w:r>
                    <w:rPr>
                      <w:spacing w:val="-42"/>
                      <w:sz w:val="20"/>
                      <w:szCs w:val="20"/>
                    </w:rPr>
                    <w:t xml:space="preserve"> </w:t>
                  </w:r>
                  <w:r>
                    <w:rPr>
                      <w:rFonts w:ascii="Times New Roman" w:hAnsi="Times New Roman" w:eastAsia="Times New Roman" w:cs="Times New Roman"/>
                      <w:spacing w:val="3"/>
                      <w:sz w:val="20"/>
                      <w:szCs w:val="20"/>
                    </w:rPr>
                    <w:t>400</w:t>
                  </w:r>
                  <w:r>
                    <w:rPr>
                      <w:rFonts w:ascii="Times New Roman" w:hAnsi="Times New Roman" w:eastAsia="Times New Roman" w:cs="Times New Roman"/>
                      <w:spacing w:val="19"/>
                      <w:sz w:val="20"/>
                      <w:szCs w:val="20"/>
                    </w:rPr>
                    <w:t xml:space="preserve"> </w:t>
                  </w:r>
                  <w:r>
                    <w:rPr>
                      <w:spacing w:val="3"/>
                      <w:sz w:val="20"/>
                      <w:szCs w:val="20"/>
                    </w:rPr>
                    <w:t>㎡</w:t>
                  </w:r>
                  <w:r>
                    <w:rPr>
                      <w:spacing w:val="-58"/>
                      <w:sz w:val="20"/>
                      <w:szCs w:val="20"/>
                    </w:rPr>
                    <w:t xml:space="preserve"> </w:t>
                  </w:r>
                  <w:r>
                    <w:rPr>
                      <w:spacing w:val="3"/>
                      <w:sz w:val="20"/>
                      <w:szCs w:val="20"/>
                    </w:rPr>
                    <w:t>，用于废旧农机的拆解作</w:t>
                  </w:r>
                  <w:r>
                    <w:rPr>
                      <w:sz w:val="20"/>
                      <w:szCs w:val="20"/>
                    </w:rPr>
                    <w:t xml:space="preserve"> </w:t>
                  </w:r>
                  <w:r>
                    <w:rPr>
                      <w:spacing w:val="10"/>
                      <w:sz w:val="20"/>
                      <w:szCs w:val="20"/>
                    </w:rPr>
                    <w:t>业，拆解后分类存放。拆解区四周设置</w:t>
                  </w:r>
                  <w:r>
                    <w:rPr>
                      <w:spacing w:val="-28"/>
                      <w:sz w:val="20"/>
                      <w:szCs w:val="20"/>
                    </w:rPr>
                    <w:t xml:space="preserve"> </w:t>
                  </w:r>
                  <w:r>
                    <w:rPr>
                      <w:rFonts w:ascii="Times New Roman" w:hAnsi="Times New Roman" w:eastAsia="Times New Roman" w:cs="Times New Roman"/>
                      <w:spacing w:val="10"/>
                      <w:sz w:val="20"/>
                      <w:szCs w:val="20"/>
                    </w:rPr>
                    <w:t>0.4m</w:t>
                  </w:r>
                  <w:r>
                    <w:rPr>
                      <w:rFonts w:ascii="Arial" w:hAnsi="Arial" w:eastAsia="Arial" w:cs="Arial"/>
                      <w:spacing w:val="10"/>
                      <w:sz w:val="20"/>
                      <w:szCs w:val="20"/>
                    </w:rPr>
                    <w:t>×</w:t>
                  </w:r>
                  <w:r>
                    <w:rPr>
                      <w:rFonts w:ascii="Times New Roman" w:hAnsi="Times New Roman" w:eastAsia="Times New Roman" w:cs="Times New Roman"/>
                      <w:spacing w:val="10"/>
                      <w:sz w:val="20"/>
                      <w:szCs w:val="20"/>
                    </w:rPr>
                    <w:t>0.5m</w:t>
                  </w:r>
                  <w:r>
                    <w:rPr>
                      <w:rFonts w:ascii="Times New Roman" w:hAnsi="Times New Roman" w:eastAsia="Times New Roman" w:cs="Times New Roman"/>
                      <w:spacing w:val="17"/>
                      <w:w w:val="101"/>
                      <w:sz w:val="20"/>
                      <w:szCs w:val="20"/>
                    </w:rPr>
                    <w:t xml:space="preserve"> </w:t>
                  </w:r>
                  <w:r>
                    <w:rPr>
                      <w:spacing w:val="10"/>
                      <w:sz w:val="20"/>
                      <w:szCs w:val="20"/>
                    </w:rPr>
                    <w:t>导流槽，于拆解车间外</w:t>
                  </w:r>
                  <w:r>
                    <w:rPr>
                      <w:sz w:val="20"/>
                      <w:szCs w:val="20"/>
                    </w:rPr>
                    <w:t xml:space="preserve"> </w:t>
                  </w:r>
                  <w:r>
                    <w:rPr>
                      <w:spacing w:val="6"/>
                      <w:sz w:val="20"/>
                      <w:szCs w:val="20"/>
                    </w:rPr>
                    <w:t>侧西南角建设</w:t>
                  </w:r>
                  <w:r>
                    <w:rPr>
                      <w:spacing w:val="-17"/>
                      <w:sz w:val="20"/>
                      <w:szCs w:val="20"/>
                    </w:rPr>
                    <w:t xml:space="preserve"> </w:t>
                  </w:r>
                  <w:r>
                    <w:rPr>
                      <w:rFonts w:ascii="Times New Roman" w:hAnsi="Times New Roman" w:eastAsia="Times New Roman" w:cs="Times New Roman"/>
                      <w:spacing w:val="6"/>
                      <w:sz w:val="20"/>
                      <w:szCs w:val="20"/>
                    </w:rPr>
                    <w:t>10m</w:t>
                  </w:r>
                  <w:r>
                    <w:rPr>
                      <w:rFonts w:ascii="Times New Roman" w:hAnsi="Times New Roman" w:eastAsia="Times New Roman" w:cs="Times New Roman"/>
                      <w:spacing w:val="6"/>
                      <w:position w:val="6"/>
                      <w:sz w:val="13"/>
                      <w:szCs w:val="13"/>
                    </w:rPr>
                    <w:t xml:space="preserve">3 </w:t>
                  </w:r>
                  <w:r>
                    <w:rPr>
                      <w:spacing w:val="6"/>
                      <w:sz w:val="20"/>
                      <w:szCs w:val="20"/>
                    </w:rPr>
                    <w:t>事故收集池。每年回收及拆解废旧农机</w:t>
                  </w:r>
                  <w:r>
                    <w:rPr>
                      <w:spacing w:val="-32"/>
                      <w:sz w:val="20"/>
                      <w:szCs w:val="20"/>
                    </w:rPr>
                    <w:t xml:space="preserve"> </w:t>
                  </w:r>
                  <w:r>
                    <w:rPr>
                      <w:rFonts w:ascii="Times New Roman" w:hAnsi="Times New Roman" w:eastAsia="Times New Roman" w:cs="Times New Roman"/>
                      <w:spacing w:val="6"/>
                      <w:sz w:val="20"/>
                      <w:szCs w:val="20"/>
                    </w:rPr>
                    <w:t>800</w:t>
                  </w:r>
                  <w:r>
                    <w:rPr>
                      <w:rFonts w:ascii="Times New Roman" w:hAnsi="Times New Roman" w:eastAsia="Times New Roman" w:cs="Times New Roman"/>
                      <w:spacing w:val="26"/>
                      <w:sz w:val="20"/>
                      <w:szCs w:val="20"/>
                    </w:rPr>
                    <w:t xml:space="preserve"> </w:t>
                  </w:r>
                  <w:r>
                    <w:rPr>
                      <w:spacing w:val="6"/>
                      <w:sz w:val="20"/>
                      <w:szCs w:val="20"/>
                    </w:rPr>
                    <w:t>台。</w:t>
                  </w:r>
                </w:p>
              </w:tc>
            </w:tr>
            <w:tr w14:paraId="17AC95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6" w:hRule="atLeast"/>
              </w:trPr>
              <w:tc>
                <w:tcPr>
                  <w:tcW w:w="399" w:type="dxa"/>
                  <w:tcBorders>
                    <w:top w:val="nil"/>
                    <w:left w:val="nil"/>
                    <w:bottom w:val="nil"/>
                  </w:tcBorders>
                  <w:textDirection w:val="tbRlV"/>
                  <w:vAlign w:val="top"/>
                </w:tcPr>
                <w:p w14:paraId="11AED70F">
                  <w:pPr>
                    <w:pStyle w:val="6"/>
                    <w:spacing w:before="80" w:line="217" w:lineRule="auto"/>
                    <w:ind w:left="674"/>
                    <w:rPr>
                      <w:sz w:val="20"/>
                      <w:szCs w:val="20"/>
                    </w:rPr>
                  </w:pPr>
                  <w:r>
                    <w:rPr>
                      <w:spacing w:val="6"/>
                      <w:sz w:val="20"/>
                      <w:szCs w:val="20"/>
                    </w:rPr>
                    <w:t>主 体 工 程</w:t>
                  </w:r>
                </w:p>
              </w:tc>
              <w:tc>
                <w:tcPr>
                  <w:tcW w:w="581" w:type="dxa"/>
                  <w:textDirection w:val="tbRlV"/>
                  <w:vAlign w:val="top"/>
                </w:tcPr>
                <w:p w14:paraId="70CCA202">
                  <w:pPr>
                    <w:pStyle w:val="6"/>
                    <w:spacing w:before="184" w:line="216" w:lineRule="auto"/>
                    <w:ind w:left="51"/>
                    <w:rPr>
                      <w:sz w:val="20"/>
                      <w:szCs w:val="20"/>
                    </w:rPr>
                  </w:pPr>
                  <w:r>
                    <w:rPr>
                      <w:spacing w:val="6"/>
                      <w:sz w:val="20"/>
                      <w:szCs w:val="20"/>
                    </w:rPr>
                    <w:t>报 废 农 机 暂 存 区</w:t>
                  </w:r>
                </w:p>
              </w:tc>
              <w:tc>
                <w:tcPr>
                  <w:tcW w:w="7052" w:type="dxa"/>
                  <w:tcBorders>
                    <w:right w:val="nil"/>
                  </w:tcBorders>
                  <w:vAlign w:val="top"/>
                </w:tcPr>
                <w:p w14:paraId="59ED61CA">
                  <w:pPr>
                    <w:spacing w:line="304" w:lineRule="auto"/>
                    <w:rPr>
                      <w:rFonts w:ascii="Arial"/>
                      <w:sz w:val="21"/>
                    </w:rPr>
                  </w:pPr>
                </w:p>
                <w:p w14:paraId="5D76211B">
                  <w:pPr>
                    <w:spacing w:line="305" w:lineRule="auto"/>
                    <w:rPr>
                      <w:rFonts w:ascii="Arial"/>
                      <w:sz w:val="21"/>
                    </w:rPr>
                  </w:pPr>
                </w:p>
                <w:p w14:paraId="31C04529">
                  <w:pPr>
                    <w:spacing w:line="305" w:lineRule="auto"/>
                    <w:rPr>
                      <w:rFonts w:ascii="Arial"/>
                      <w:sz w:val="21"/>
                    </w:rPr>
                  </w:pPr>
                </w:p>
                <w:p w14:paraId="487021AA">
                  <w:pPr>
                    <w:pStyle w:val="6"/>
                    <w:spacing w:before="65" w:line="227" w:lineRule="auto"/>
                    <w:ind w:left="114"/>
                    <w:rPr>
                      <w:sz w:val="20"/>
                      <w:szCs w:val="20"/>
                    </w:rPr>
                  </w:pPr>
                  <w:r>
                    <w:rPr>
                      <w:spacing w:val="6"/>
                      <w:sz w:val="20"/>
                      <w:szCs w:val="20"/>
                    </w:rPr>
                    <w:t>新建，位于厂区东侧，面积</w:t>
                  </w:r>
                  <w:r>
                    <w:rPr>
                      <w:spacing w:val="-37"/>
                      <w:sz w:val="20"/>
                      <w:szCs w:val="20"/>
                    </w:rPr>
                    <w:t xml:space="preserve"> </w:t>
                  </w:r>
                  <w:r>
                    <w:rPr>
                      <w:rFonts w:ascii="Times New Roman" w:hAnsi="Times New Roman" w:eastAsia="Times New Roman" w:cs="Times New Roman"/>
                      <w:spacing w:val="6"/>
                      <w:sz w:val="20"/>
                      <w:szCs w:val="20"/>
                    </w:rPr>
                    <w:t>760</w:t>
                  </w:r>
                  <w:r>
                    <w:rPr>
                      <w:rFonts w:ascii="Times New Roman" w:hAnsi="Times New Roman" w:eastAsia="Times New Roman" w:cs="Times New Roman"/>
                      <w:spacing w:val="21"/>
                      <w:w w:val="101"/>
                      <w:sz w:val="20"/>
                      <w:szCs w:val="20"/>
                    </w:rPr>
                    <w:t xml:space="preserve"> </w:t>
                  </w:r>
                  <w:r>
                    <w:rPr>
                      <w:spacing w:val="6"/>
                      <w:sz w:val="20"/>
                      <w:szCs w:val="20"/>
                    </w:rPr>
                    <w:t>㎡</w:t>
                  </w:r>
                  <w:r>
                    <w:rPr>
                      <w:spacing w:val="-58"/>
                      <w:sz w:val="20"/>
                      <w:szCs w:val="20"/>
                    </w:rPr>
                    <w:t xml:space="preserve"> </w:t>
                  </w:r>
                  <w:r>
                    <w:rPr>
                      <w:spacing w:val="6"/>
                      <w:sz w:val="20"/>
                      <w:szCs w:val="20"/>
                    </w:rPr>
                    <w:t>，用于报废农机暂存区。</w:t>
                  </w:r>
                </w:p>
              </w:tc>
            </w:tr>
            <w:tr w14:paraId="5D36F0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6" w:hRule="atLeast"/>
              </w:trPr>
              <w:tc>
                <w:tcPr>
                  <w:tcW w:w="399" w:type="dxa"/>
                  <w:tcBorders>
                    <w:top w:val="nil"/>
                    <w:left w:val="nil"/>
                    <w:bottom w:val="nil"/>
                  </w:tcBorders>
                  <w:vAlign w:val="top"/>
                </w:tcPr>
                <w:p w14:paraId="600422A8">
                  <w:pPr>
                    <w:rPr>
                      <w:rFonts w:ascii="Arial"/>
                      <w:sz w:val="21"/>
                    </w:rPr>
                  </w:pPr>
                </w:p>
              </w:tc>
              <w:tc>
                <w:tcPr>
                  <w:tcW w:w="581" w:type="dxa"/>
                  <w:tcBorders>
                    <w:bottom w:val="nil"/>
                  </w:tcBorders>
                  <w:textDirection w:val="tbRlV"/>
                  <w:vAlign w:val="top"/>
                </w:tcPr>
                <w:p w14:paraId="1457849B">
                  <w:pPr>
                    <w:pStyle w:val="6"/>
                    <w:spacing w:before="184" w:line="217" w:lineRule="auto"/>
                    <w:ind w:left="50"/>
                    <w:rPr>
                      <w:sz w:val="20"/>
                      <w:szCs w:val="20"/>
                    </w:rPr>
                  </w:pPr>
                  <w:r>
                    <w:rPr>
                      <w:spacing w:val="6"/>
                      <w:sz w:val="20"/>
                      <w:szCs w:val="20"/>
                    </w:rPr>
                    <w:t>拆 解 后 物 料</w:t>
                  </w:r>
                </w:p>
              </w:tc>
              <w:tc>
                <w:tcPr>
                  <w:tcW w:w="7052" w:type="dxa"/>
                  <w:tcBorders>
                    <w:bottom w:val="nil"/>
                    <w:right w:val="nil"/>
                  </w:tcBorders>
                  <w:vAlign w:val="top"/>
                </w:tcPr>
                <w:p w14:paraId="15C8CC4C">
                  <w:pPr>
                    <w:spacing w:line="295" w:lineRule="auto"/>
                    <w:rPr>
                      <w:rFonts w:ascii="Arial"/>
                      <w:sz w:val="21"/>
                    </w:rPr>
                  </w:pPr>
                </w:p>
                <w:p w14:paraId="1BBD0C45">
                  <w:pPr>
                    <w:pStyle w:val="6"/>
                    <w:spacing w:before="65" w:line="278" w:lineRule="auto"/>
                    <w:ind w:left="113" w:right="108" w:firstLine="1"/>
                    <w:jc w:val="both"/>
                    <w:rPr>
                      <w:sz w:val="20"/>
                      <w:szCs w:val="20"/>
                    </w:rPr>
                  </w:pPr>
                  <w:r>
                    <w:rPr>
                      <w:spacing w:val="4"/>
                      <w:sz w:val="20"/>
                      <w:szCs w:val="20"/>
                    </w:rPr>
                    <w:t>新建，位于厂区北侧，面积</w:t>
                  </w:r>
                  <w:r>
                    <w:rPr>
                      <w:spacing w:val="-24"/>
                      <w:sz w:val="20"/>
                      <w:szCs w:val="20"/>
                    </w:rPr>
                    <w:t xml:space="preserve"> </w:t>
                  </w:r>
                  <w:r>
                    <w:rPr>
                      <w:rFonts w:ascii="Times New Roman" w:hAnsi="Times New Roman" w:eastAsia="Times New Roman" w:cs="Times New Roman"/>
                      <w:spacing w:val="4"/>
                      <w:sz w:val="20"/>
                      <w:szCs w:val="20"/>
                    </w:rPr>
                    <w:t>750</w:t>
                  </w:r>
                  <w:r>
                    <w:rPr>
                      <w:rFonts w:ascii="Times New Roman" w:hAnsi="Times New Roman" w:eastAsia="Times New Roman" w:cs="Times New Roman"/>
                      <w:spacing w:val="18"/>
                      <w:w w:val="101"/>
                      <w:sz w:val="20"/>
                      <w:szCs w:val="20"/>
                    </w:rPr>
                    <w:t xml:space="preserve"> </w:t>
                  </w:r>
                  <w:r>
                    <w:rPr>
                      <w:spacing w:val="4"/>
                      <w:sz w:val="20"/>
                      <w:szCs w:val="20"/>
                    </w:rPr>
                    <w:t>㎡</w:t>
                  </w:r>
                  <w:r>
                    <w:rPr>
                      <w:spacing w:val="-56"/>
                      <w:sz w:val="20"/>
                      <w:szCs w:val="20"/>
                    </w:rPr>
                    <w:t xml:space="preserve"> </w:t>
                  </w:r>
                  <w:r>
                    <w:rPr>
                      <w:spacing w:val="4"/>
                      <w:sz w:val="20"/>
                      <w:szCs w:val="20"/>
                    </w:rPr>
                    <w:t>，用于拆解后的物料分类储存</w:t>
                  </w:r>
                  <w:r>
                    <w:rPr>
                      <w:color w:val="0000FF"/>
                      <w:spacing w:val="4"/>
                      <w:sz w:val="20"/>
                      <w:szCs w:val="20"/>
                    </w:rPr>
                    <w:t>，</w:t>
                  </w:r>
                  <w:r>
                    <w:rPr>
                      <w:spacing w:val="4"/>
                      <w:sz w:val="20"/>
                      <w:szCs w:val="20"/>
                    </w:rPr>
                    <w:t>暂存拆解</w:t>
                  </w:r>
                  <w:r>
                    <w:rPr>
                      <w:sz w:val="20"/>
                      <w:szCs w:val="20"/>
                    </w:rPr>
                    <w:t xml:space="preserve"> </w:t>
                  </w:r>
                  <w:r>
                    <w:rPr>
                      <w:spacing w:val="11"/>
                      <w:sz w:val="20"/>
                      <w:szCs w:val="20"/>
                    </w:rPr>
                    <w:t>后的一般固废废物，如电子电器产品</w:t>
                  </w:r>
                  <w:r>
                    <w:rPr>
                      <w:rFonts w:ascii="Times New Roman" w:hAnsi="Times New Roman" w:eastAsia="Times New Roman" w:cs="Times New Roman"/>
                      <w:spacing w:val="11"/>
                      <w:sz w:val="20"/>
                      <w:szCs w:val="20"/>
                    </w:rPr>
                    <w:t>/</w:t>
                  </w:r>
                  <w:r>
                    <w:rPr>
                      <w:spacing w:val="11"/>
                      <w:sz w:val="20"/>
                      <w:szCs w:val="20"/>
                    </w:rPr>
                    <w:t>元器件、玻璃、废旧轮胎、塑料、密</w:t>
                  </w:r>
                  <w:r>
                    <w:rPr>
                      <w:spacing w:val="8"/>
                      <w:sz w:val="20"/>
                      <w:szCs w:val="20"/>
                    </w:rPr>
                    <w:t xml:space="preserve"> 封胶条、金属类拆解物。</w:t>
                  </w:r>
                </w:p>
              </w:tc>
            </w:tr>
          </w:tbl>
          <w:p w14:paraId="7D5D0358">
            <w:pPr>
              <w:spacing w:line="14" w:lineRule="auto"/>
              <w:rPr>
                <w:rFonts w:ascii="Arial"/>
                <w:sz w:val="2"/>
              </w:rPr>
            </w:pPr>
          </w:p>
        </w:tc>
      </w:tr>
    </w:tbl>
    <w:p w14:paraId="35C7A20C">
      <w:pPr>
        <w:pStyle w:val="2"/>
      </w:pPr>
    </w:p>
    <w:p w14:paraId="33200F0A">
      <w:pPr>
        <w:sectPr>
          <w:footerReference r:id="rId44" w:type="default"/>
          <w:pgSz w:w="11906" w:h="16839"/>
          <w:pgMar w:top="1385" w:right="1488" w:bottom="1263" w:left="1487" w:header="0" w:footer="1097" w:gutter="0"/>
          <w:cols w:space="720" w:num="1"/>
        </w:sectPr>
      </w:pPr>
    </w:p>
    <w:tbl>
      <w:tblPr>
        <w:tblStyle w:val="5"/>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4"/>
        <w:gridCol w:w="506"/>
        <w:gridCol w:w="579"/>
        <w:gridCol w:w="7155"/>
      </w:tblGrid>
      <w:tr w14:paraId="45B696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4" w:hRule="atLeast"/>
        </w:trPr>
        <w:tc>
          <w:tcPr>
            <w:tcW w:w="664" w:type="dxa"/>
            <w:vMerge w:val="restart"/>
            <w:tcBorders>
              <w:top w:val="single" w:color="000000" w:sz="10" w:space="0"/>
              <w:left w:val="single" w:color="000000" w:sz="10" w:space="0"/>
              <w:bottom w:val="nil"/>
            </w:tcBorders>
            <w:vAlign w:val="top"/>
          </w:tcPr>
          <w:p w14:paraId="7A173570">
            <w:pPr>
              <w:rPr>
                <w:rFonts w:ascii="Arial"/>
                <w:sz w:val="21"/>
              </w:rPr>
            </w:pPr>
          </w:p>
        </w:tc>
        <w:tc>
          <w:tcPr>
            <w:tcW w:w="506" w:type="dxa"/>
            <w:tcBorders>
              <w:top w:val="single" w:color="000000" w:sz="10" w:space="0"/>
            </w:tcBorders>
            <w:vAlign w:val="top"/>
          </w:tcPr>
          <w:p w14:paraId="6475988F">
            <w:pPr>
              <w:rPr>
                <w:rFonts w:ascii="Arial"/>
                <w:sz w:val="21"/>
              </w:rPr>
            </w:pPr>
          </w:p>
        </w:tc>
        <w:tc>
          <w:tcPr>
            <w:tcW w:w="579" w:type="dxa"/>
            <w:tcBorders>
              <w:top w:val="single" w:color="000000" w:sz="10" w:space="0"/>
            </w:tcBorders>
            <w:textDirection w:val="tbRlV"/>
            <w:vAlign w:val="top"/>
          </w:tcPr>
          <w:p w14:paraId="4709F32F">
            <w:pPr>
              <w:pStyle w:val="6"/>
              <w:spacing w:before="191" w:line="216" w:lineRule="auto"/>
              <w:ind w:left="67"/>
              <w:rPr>
                <w:sz w:val="20"/>
                <w:szCs w:val="20"/>
              </w:rPr>
            </w:pPr>
            <w:r>
              <w:rPr>
                <w:spacing w:val="6"/>
                <w:sz w:val="20"/>
                <w:szCs w:val="20"/>
              </w:rPr>
              <w:t>储 存 区</w:t>
            </w:r>
          </w:p>
        </w:tc>
        <w:tc>
          <w:tcPr>
            <w:tcW w:w="7155" w:type="dxa"/>
            <w:tcBorders>
              <w:top w:val="single" w:color="000000" w:sz="10" w:space="0"/>
              <w:right w:val="single" w:color="000000" w:sz="10" w:space="0"/>
            </w:tcBorders>
            <w:vAlign w:val="top"/>
          </w:tcPr>
          <w:p w14:paraId="738BDBEF">
            <w:pPr>
              <w:rPr>
                <w:rFonts w:ascii="Arial"/>
                <w:sz w:val="21"/>
              </w:rPr>
            </w:pPr>
          </w:p>
        </w:tc>
      </w:tr>
      <w:tr w14:paraId="7E4FBE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64" w:type="dxa"/>
            <w:vMerge w:val="continue"/>
            <w:tcBorders>
              <w:top w:val="nil"/>
              <w:left w:val="single" w:color="000000" w:sz="10" w:space="0"/>
              <w:bottom w:val="nil"/>
            </w:tcBorders>
            <w:vAlign w:val="top"/>
          </w:tcPr>
          <w:p w14:paraId="5DD62587">
            <w:pPr>
              <w:rPr>
                <w:rFonts w:ascii="Arial"/>
                <w:sz w:val="21"/>
              </w:rPr>
            </w:pPr>
          </w:p>
        </w:tc>
        <w:tc>
          <w:tcPr>
            <w:tcW w:w="506" w:type="dxa"/>
            <w:vMerge w:val="restart"/>
            <w:tcBorders>
              <w:bottom w:val="nil"/>
            </w:tcBorders>
            <w:textDirection w:val="tbRlV"/>
            <w:vAlign w:val="top"/>
          </w:tcPr>
          <w:p w14:paraId="16987F4E">
            <w:pPr>
              <w:pStyle w:val="6"/>
              <w:spacing w:before="89" w:line="217" w:lineRule="auto"/>
              <w:ind w:left="2564"/>
              <w:rPr>
                <w:sz w:val="20"/>
                <w:szCs w:val="20"/>
              </w:rPr>
            </w:pPr>
            <w:r>
              <w:rPr>
                <w:spacing w:val="6"/>
                <w:sz w:val="20"/>
                <w:szCs w:val="20"/>
              </w:rPr>
              <w:t>辅 助 工 程</w:t>
            </w:r>
          </w:p>
        </w:tc>
        <w:tc>
          <w:tcPr>
            <w:tcW w:w="579" w:type="dxa"/>
            <w:textDirection w:val="tbRlV"/>
            <w:vAlign w:val="top"/>
          </w:tcPr>
          <w:p w14:paraId="5976B715">
            <w:pPr>
              <w:pStyle w:val="6"/>
              <w:spacing w:before="190" w:line="213" w:lineRule="auto"/>
              <w:ind w:left="53"/>
              <w:rPr>
                <w:sz w:val="20"/>
                <w:szCs w:val="20"/>
              </w:rPr>
            </w:pPr>
            <w:r>
              <w:rPr>
                <w:spacing w:val="6"/>
                <w:sz w:val="20"/>
                <w:szCs w:val="20"/>
              </w:rPr>
              <w:t>办 公 室</w:t>
            </w:r>
          </w:p>
        </w:tc>
        <w:tc>
          <w:tcPr>
            <w:tcW w:w="7155" w:type="dxa"/>
            <w:tcBorders>
              <w:right w:val="single" w:color="000000" w:sz="10" w:space="0"/>
            </w:tcBorders>
            <w:vAlign w:val="top"/>
          </w:tcPr>
          <w:p w14:paraId="77E48362">
            <w:pPr>
              <w:spacing w:line="298" w:lineRule="auto"/>
              <w:rPr>
                <w:rFonts w:ascii="Arial"/>
                <w:sz w:val="21"/>
              </w:rPr>
            </w:pPr>
          </w:p>
          <w:p w14:paraId="0C5EAF84">
            <w:pPr>
              <w:pStyle w:val="6"/>
              <w:spacing w:before="65" w:line="227" w:lineRule="auto"/>
              <w:ind w:left="107"/>
              <w:rPr>
                <w:sz w:val="20"/>
                <w:szCs w:val="20"/>
              </w:rPr>
            </w:pPr>
            <w:r>
              <w:rPr>
                <w:spacing w:val="7"/>
                <w:sz w:val="20"/>
                <w:szCs w:val="20"/>
              </w:rPr>
              <w:t>新建，位于厂区北侧，一层移动式板房，建筑面积</w:t>
            </w:r>
            <w:r>
              <w:rPr>
                <w:spacing w:val="-39"/>
                <w:sz w:val="20"/>
                <w:szCs w:val="20"/>
              </w:rPr>
              <w:t xml:space="preserve"> </w:t>
            </w:r>
            <w:r>
              <w:rPr>
                <w:rFonts w:ascii="Times New Roman" w:hAnsi="Times New Roman" w:eastAsia="Times New Roman" w:cs="Times New Roman"/>
                <w:spacing w:val="7"/>
                <w:sz w:val="20"/>
                <w:szCs w:val="20"/>
              </w:rPr>
              <w:t>60</w:t>
            </w:r>
            <w:r>
              <w:rPr>
                <w:rFonts w:ascii="Times New Roman" w:hAnsi="Times New Roman" w:eastAsia="Times New Roman" w:cs="Times New Roman"/>
                <w:spacing w:val="21"/>
                <w:w w:val="101"/>
                <w:sz w:val="20"/>
                <w:szCs w:val="20"/>
              </w:rPr>
              <w:t xml:space="preserve"> </w:t>
            </w:r>
            <w:r>
              <w:rPr>
                <w:spacing w:val="7"/>
                <w:sz w:val="20"/>
                <w:szCs w:val="20"/>
              </w:rPr>
              <w:t>㎡</w:t>
            </w:r>
            <w:r>
              <w:rPr>
                <w:spacing w:val="-58"/>
                <w:sz w:val="20"/>
                <w:szCs w:val="20"/>
              </w:rPr>
              <w:t xml:space="preserve"> </w:t>
            </w:r>
            <w:r>
              <w:rPr>
                <w:spacing w:val="7"/>
                <w:sz w:val="20"/>
                <w:szCs w:val="20"/>
              </w:rPr>
              <w:t>，用作日</w:t>
            </w:r>
            <w:r>
              <w:rPr>
                <w:spacing w:val="6"/>
                <w:sz w:val="20"/>
                <w:szCs w:val="20"/>
              </w:rPr>
              <w:t>常办公。</w:t>
            </w:r>
          </w:p>
        </w:tc>
      </w:tr>
      <w:tr w14:paraId="3007E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64" w:type="dxa"/>
            <w:vMerge w:val="continue"/>
            <w:tcBorders>
              <w:top w:val="nil"/>
              <w:left w:val="single" w:color="000000" w:sz="10" w:space="0"/>
              <w:bottom w:val="nil"/>
            </w:tcBorders>
            <w:vAlign w:val="top"/>
          </w:tcPr>
          <w:p w14:paraId="452CBC58">
            <w:pPr>
              <w:rPr>
                <w:rFonts w:ascii="Arial"/>
                <w:sz w:val="21"/>
              </w:rPr>
            </w:pPr>
          </w:p>
        </w:tc>
        <w:tc>
          <w:tcPr>
            <w:tcW w:w="506" w:type="dxa"/>
            <w:vMerge w:val="continue"/>
            <w:tcBorders>
              <w:top w:val="nil"/>
              <w:bottom w:val="nil"/>
            </w:tcBorders>
            <w:textDirection w:val="tbRlV"/>
            <w:vAlign w:val="top"/>
          </w:tcPr>
          <w:p w14:paraId="06A36A48">
            <w:pPr>
              <w:rPr>
                <w:rFonts w:ascii="Arial"/>
                <w:sz w:val="21"/>
              </w:rPr>
            </w:pPr>
          </w:p>
        </w:tc>
        <w:tc>
          <w:tcPr>
            <w:tcW w:w="579" w:type="dxa"/>
            <w:textDirection w:val="tbRlV"/>
            <w:vAlign w:val="top"/>
          </w:tcPr>
          <w:p w14:paraId="043D5ED8">
            <w:pPr>
              <w:pStyle w:val="6"/>
              <w:spacing w:before="191" w:line="216" w:lineRule="auto"/>
              <w:ind w:left="55"/>
              <w:rPr>
                <w:sz w:val="20"/>
                <w:szCs w:val="20"/>
              </w:rPr>
            </w:pPr>
            <w:r>
              <w:rPr>
                <w:spacing w:val="6"/>
                <w:sz w:val="20"/>
                <w:szCs w:val="20"/>
              </w:rPr>
              <w:t>接 待 办</w:t>
            </w:r>
          </w:p>
        </w:tc>
        <w:tc>
          <w:tcPr>
            <w:tcW w:w="7155" w:type="dxa"/>
            <w:tcBorders>
              <w:right w:val="single" w:color="000000" w:sz="10" w:space="0"/>
            </w:tcBorders>
            <w:vAlign w:val="top"/>
          </w:tcPr>
          <w:p w14:paraId="19142794">
            <w:pPr>
              <w:spacing w:line="300" w:lineRule="auto"/>
              <w:rPr>
                <w:rFonts w:ascii="Arial"/>
                <w:sz w:val="21"/>
              </w:rPr>
            </w:pPr>
          </w:p>
          <w:p w14:paraId="22C82BAE">
            <w:pPr>
              <w:pStyle w:val="6"/>
              <w:spacing w:before="65" w:line="227" w:lineRule="auto"/>
              <w:ind w:left="107"/>
              <w:rPr>
                <w:sz w:val="20"/>
                <w:szCs w:val="20"/>
              </w:rPr>
            </w:pPr>
            <w:r>
              <w:rPr>
                <w:spacing w:val="8"/>
                <w:sz w:val="20"/>
                <w:szCs w:val="20"/>
              </w:rPr>
              <w:t>新建，位于厂区北侧，一层移动式板房，建筑面积</w:t>
            </w:r>
            <w:r>
              <w:rPr>
                <w:spacing w:val="-30"/>
                <w:sz w:val="20"/>
                <w:szCs w:val="20"/>
              </w:rPr>
              <w:t xml:space="preserve"> </w:t>
            </w:r>
            <w:r>
              <w:rPr>
                <w:rFonts w:ascii="Times New Roman" w:hAnsi="Times New Roman" w:eastAsia="Times New Roman" w:cs="Times New Roman"/>
                <w:spacing w:val="8"/>
                <w:sz w:val="20"/>
                <w:szCs w:val="20"/>
              </w:rPr>
              <w:t>48</w:t>
            </w:r>
            <w:r>
              <w:rPr>
                <w:rFonts w:ascii="Times New Roman" w:hAnsi="Times New Roman" w:eastAsia="Times New Roman" w:cs="Times New Roman"/>
                <w:spacing w:val="21"/>
                <w:w w:val="101"/>
                <w:sz w:val="20"/>
                <w:szCs w:val="20"/>
              </w:rPr>
              <w:t xml:space="preserve"> </w:t>
            </w:r>
            <w:r>
              <w:rPr>
                <w:spacing w:val="8"/>
                <w:sz w:val="20"/>
                <w:szCs w:val="20"/>
              </w:rPr>
              <w:t>㎡</w:t>
            </w:r>
          </w:p>
        </w:tc>
      </w:tr>
      <w:tr w14:paraId="5A1D2A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3" w:hRule="atLeast"/>
        </w:trPr>
        <w:tc>
          <w:tcPr>
            <w:tcW w:w="664" w:type="dxa"/>
            <w:vMerge w:val="continue"/>
            <w:tcBorders>
              <w:top w:val="nil"/>
              <w:left w:val="single" w:color="000000" w:sz="10" w:space="0"/>
              <w:bottom w:val="nil"/>
            </w:tcBorders>
            <w:vAlign w:val="top"/>
          </w:tcPr>
          <w:p w14:paraId="23D3965C">
            <w:pPr>
              <w:rPr>
                <w:rFonts w:ascii="Arial"/>
                <w:sz w:val="21"/>
              </w:rPr>
            </w:pPr>
          </w:p>
        </w:tc>
        <w:tc>
          <w:tcPr>
            <w:tcW w:w="506" w:type="dxa"/>
            <w:vMerge w:val="continue"/>
            <w:tcBorders>
              <w:top w:val="nil"/>
              <w:bottom w:val="nil"/>
            </w:tcBorders>
            <w:textDirection w:val="tbRlV"/>
            <w:vAlign w:val="top"/>
          </w:tcPr>
          <w:p w14:paraId="7171F405">
            <w:pPr>
              <w:rPr>
                <w:rFonts w:ascii="Arial"/>
                <w:sz w:val="21"/>
              </w:rPr>
            </w:pPr>
          </w:p>
        </w:tc>
        <w:tc>
          <w:tcPr>
            <w:tcW w:w="579" w:type="dxa"/>
            <w:textDirection w:val="tbRlV"/>
            <w:vAlign w:val="top"/>
          </w:tcPr>
          <w:p w14:paraId="7EB55B80">
            <w:pPr>
              <w:pStyle w:val="6"/>
              <w:spacing w:before="191" w:line="216" w:lineRule="auto"/>
              <w:ind w:left="57"/>
              <w:rPr>
                <w:sz w:val="20"/>
                <w:szCs w:val="20"/>
              </w:rPr>
            </w:pPr>
            <w:r>
              <w:rPr>
                <w:spacing w:val="6"/>
                <w:sz w:val="20"/>
                <w:szCs w:val="20"/>
              </w:rPr>
              <w:t>待 拆 解 暂 存 区</w:t>
            </w:r>
          </w:p>
        </w:tc>
        <w:tc>
          <w:tcPr>
            <w:tcW w:w="7155" w:type="dxa"/>
            <w:tcBorders>
              <w:right w:val="single" w:color="000000" w:sz="10" w:space="0"/>
            </w:tcBorders>
            <w:vAlign w:val="top"/>
          </w:tcPr>
          <w:p w14:paraId="0F4A2E75">
            <w:pPr>
              <w:spacing w:line="306" w:lineRule="auto"/>
              <w:rPr>
                <w:rFonts w:ascii="Arial"/>
                <w:sz w:val="21"/>
              </w:rPr>
            </w:pPr>
          </w:p>
          <w:p w14:paraId="31E351AA">
            <w:pPr>
              <w:spacing w:line="306" w:lineRule="auto"/>
              <w:rPr>
                <w:rFonts w:ascii="Arial"/>
                <w:sz w:val="21"/>
              </w:rPr>
            </w:pPr>
          </w:p>
          <w:p w14:paraId="5D7BDBAD">
            <w:pPr>
              <w:pStyle w:val="6"/>
              <w:spacing w:before="65" w:line="273" w:lineRule="auto"/>
              <w:ind w:left="106" w:right="163" w:firstLine="1"/>
              <w:rPr>
                <w:sz w:val="20"/>
                <w:szCs w:val="20"/>
              </w:rPr>
            </w:pPr>
            <w:r>
              <w:rPr>
                <w:spacing w:val="6"/>
                <w:sz w:val="20"/>
                <w:szCs w:val="20"/>
              </w:rPr>
              <w:t>新建，位于拆解车间内，建筑面积</w:t>
            </w:r>
            <w:r>
              <w:rPr>
                <w:spacing w:val="-40"/>
                <w:sz w:val="20"/>
                <w:szCs w:val="20"/>
              </w:rPr>
              <w:t xml:space="preserve"> </w:t>
            </w:r>
            <w:r>
              <w:rPr>
                <w:rFonts w:ascii="Times New Roman" w:hAnsi="Times New Roman" w:eastAsia="Times New Roman" w:cs="Times New Roman"/>
                <w:spacing w:val="6"/>
                <w:sz w:val="20"/>
                <w:szCs w:val="20"/>
              </w:rPr>
              <w:t>200</w:t>
            </w:r>
            <w:r>
              <w:rPr>
                <w:rFonts w:ascii="Times New Roman" w:hAnsi="Times New Roman" w:eastAsia="Times New Roman" w:cs="Times New Roman"/>
                <w:spacing w:val="18"/>
                <w:w w:val="101"/>
                <w:sz w:val="20"/>
                <w:szCs w:val="20"/>
              </w:rPr>
              <w:t xml:space="preserve"> </w:t>
            </w:r>
            <w:r>
              <w:rPr>
                <w:spacing w:val="6"/>
                <w:sz w:val="20"/>
                <w:szCs w:val="20"/>
              </w:rPr>
              <w:t>㎡</w:t>
            </w:r>
            <w:r>
              <w:rPr>
                <w:spacing w:val="-58"/>
                <w:sz w:val="20"/>
                <w:szCs w:val="20"/>
              </w:rPr>
              <w:t xml:space="preserve"> </w:t>
            </w:r>
            <w:r>
              <w:rPr>
                <w:spacing w:val="6"/>
                <w:sz w:val="20"/>
                <w:szCs w:val="20"/>
              </w:rPr>
              <w:t>，作为废农机装卸</w:t>
            </w:r>
            <w:r>
              <w:rPr>
                <w:spacing w:val="5"/>
                <w:sz w:val="20"/>
                <w:szCs w:val="20"/>
              </w:rPr>
              <w:t>、验收暂存点，</w:t>
            </w:r>
            <w:r>
              <w:rPr>
                <w:sz w:val="20"/>
                <w:szCs w:val="20"/>
              </w:rPr>
              <w:t xml:space="preserve"> </w:t>
            </w:r>
            <w:r>
              <w:rPr>
                <w:spacing w:val="9"/>
                <w:sz w:val="20"/>
                <w:szCs w:val="20"/>
              </w:rPr>
              <w:t>废农机拆解在车间内进行，暂存区不进行拆解。</w:t>
            </w:r>
          </w:p>
        </w:tc>
      </w:tr>
      <w:tr w14:paraId="3A2B14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96" w:hRule="atLeast"/>
        </w:trPr>
        <w:tc>
          <w:tcPr>
            <w:tcW w:w="664" w:type="dxa"/>
            <w:vMerge w:val="continue"/>
            <w:tcBorders>
              <w:top w:val="nil"/>
              <w:left w:val="single" w:color="000000" w:sz="10" w:space="0"/>
              <w:bottom w:val="nil"/>
            </w:tcBorders>
            <w:vAlign w:val="top"/>
          </w:tcPr>
          <w:p w14:paraId="426AC478">
            <w:pPr>
              <w:rPr>
                <w:rFonts w:ascii="Arial"/>
                <w:sz w:val="21"/>
              </w:rPr>
            </w:pPr>
          </w:p>
        </w:tc>
        <w:tc>
          <w:tcPr>
            <w:tcW w:w="506" w:type="dxa"/>
            <w:vMerge w:val="continue"/>
            <w:tcBorders>
              <w:top w:val="nil"/>
            </w:tcBorders>
            <w:textDirection w:val="tbRlV"/>
            <w:vAlign w:val="top"/>
          </w:tcPr>
          <w:p w14:paraId="62A02C89">
            <w:pPr>
              <w:rPr>
                <w:rFonts w:ascii="Arial"/>
                <w:sz w:val="21"/>
              </w:rPr>
            </w:pPr>
          </w:p>
        </w:tc>
        <w:tc>
          <w:tcPr>
            <w:tcW w:w="579" w:type="dxa"/>
            <w:textDirection w:val="tbRlV"/>
            <w:vAlign w:val="top"/>
          </w:tcPr>
          <w:p w14:paraId="5DC21009">
            <w:pPr>
              <w:pStyle w:val="6"/>
              <w:spacing w:before="191" w:line="216" w:lineRule="auto"/>
              <w:ind w:left="216"/>
              <w:rPr>
                <w:sz w:val="20"/>
                <w:szCs w:val="20"/>
              </w:rPr>
            </w:pPr>
            <w:r>
              <w:rPr>
                <w:spacing w:val="6"/>
                <w:sz w:val="20"/>
                <w:szCs w:val="20"/>
              </w:rPr>
              <w:t>危 险 废 物 贮 存 库</w:t>
            </w:r>
          </w:p>
        </w:tc>
        <w:tc>
          <w:tcPr>
            <w:tcW w:w="7155" w:type="dxa"/>
            <w:tcBorders>
              <w:right w:val="single" w:color="000000" w:sz="10" w:space="0"/>
            </w:tcBorders>
            <w:vAlign w:val="top"/>
          </w:tcPr>
          <w:p w14:paraId="2FC30BC9">
            <w:pPr>
              <w:pStyle w:val="6"/>
              <w:spacing w:before="59" w:line="280" w:lineRule="auto"/>
              <w:ind w:left="106" w:right="112" w:firstLine="1"/>
              <w:rPr>
                <w:sz w:val="20"/>
                <w:szCs w:val="20"/>
              </w:rPr>
            </w:pPr>
            <w:r>
              <w:rPr>
                <w:spacing w:val="9"/>
                <w:sz w:val="20"/>
                <w:szCs w:val="20"/>
              </w:rPr>
              <w:t>新建，在拆解车间南侧设置</w:t>
            </w:r>
            <w:r>
              <w:rPr>
                <w:spacing w:val="-27"/>
                <w:sz w:val="20"/>
                <w:szCs w:val="20"/>
              </w:rPr>
              <w:t xml:space="preserve"> </w:t>
            </w:r>
            <w:r>
              <w:rPr>
                <w:rFonts w:ascii="Times New Roman" w:hAnsi="Times New Roman" w:eastAsia="Times New Roman" w:cs="Times New Roman"/>
                <w:spacing w:val="9"/>
                <w:sz w:val="20"/>
                <w:szCs w:val="20"/>
              </w:rPr>
              <w:t>60</w:t>
            </w:r>
            <w:r>
              <w:rPr>
                <w:rFonts w:ascii="Times New Roman" w:hAnsi="Times New Roman" w:eastAsia="Times New Roman" w:cs="Times New Roman"/>
                <w:spacing w:val="19"/>
                <w:sz w:val="20"/>
                <w:szCs w:val="20"/>
              </w:rPr>
              <w:t xml:space="preserve"> </w:t>
            </w:r>
            <w:r>
              <w:rPr>
                <w:spacing w:val="9"/>
                <w:sz w:val="20"/>
                <w:szCs w:val="20"/>
              </w:rPr>
              <w:t>㎡的危险废物贮存库，用于暂存废蓄电池、</w:t>
            </w:r>
            <w:r>
              <w:rPr>
                <w:sz w:val="20"/>
                <w:szCs w:val="20"/>
              </w:rPr>
              <w:t xml:space="preserve"> </w:t>
            </w:r>
            <w:r>
              <w:rPr>
                <w:spacing w:val="7"/>
                <w:sz w:val="20"/>
                <w:szCs w:val="20"/>
              </w:rPr>
              <w:t>废矿物油等危险品。分为</w:t>
            </w:r>
            <w:r>
              <w:rPr>
                <w:spacing w:val="-39"/>
                <w:sz w:val="20"/>
                <w:szCs w:val="20"/>
              </w:rPr>
              <w:t xml:space="preserve"> </w:t>
            </w:r>
            <w:r>
              <w:rPr>
                <w:rFonts w:ascii="Times New Roman" w:hAnsi="Times New Roman" w:eastAsia="Times New Roman" w:cs="Times New Roman"/>
                <w:spacing w:val="7"/>
                <w:sz w:val="20"/>
                <w:szCs w:val="20"/>
              </w:rPr>
              <w:t xml:space="preserve">3 </w:t>
            </w:r>
            <w:r>
              <w:rPr>
                <w:spacing w:val="7"/>
                <w:sz w:val="20"/>
                <w:szCs w:val="20"/>
              </w:rPr>
              <w:t>个区，</w:t>
            </w:r>
            <w:r>
              <w:rPr>
                <w:rFonts w:ascii="Times New Roman" w:hAnsi="Times New Roman" w:eastAsia="Times New Roman" w:cs="Times New Roman"/>
                <w:spacing w:val="7"/>
                <w:sz w:val="20"/>
                <w:szCs w:val="20"/>
              </w:rPr>
              <w:t>1#</w:t>
            </w:r>
            <w:r>
              <w:rPr>
                <w:spacing w:val="7"/>
                <w:sz w:val="20"/>
                <w:szCs w:val="20"/>
              </w:rPr>
              <w:t>其他危险废物暂存区</w:t>
            </w:r>
            <w:r>
              <w:rPr>
                <w:spacing w:val="-43"/>
                <w:sz w:val="20"/>
                <w:szCs w:val="20"/>
              </w:rPr>
              <w:t xml:space="preserve"> </w:t>
            </w:r>
            <w:r>
              <w:rPr>
                <w:rFonts w:ascii="Times New Roman" w:hAnsi="Times New Roman" w:eastAsia="Times New Roman" w:cs="Times New Roman"/>
                <w:spacing w:val="7"/>
                <w:sz w:val="20"/>
                <w:szCs w:val="20"/>
              </w:rPr>
              <w:t>20</w:t>
            </w:r>
            <w:r>
              <w:rPr>
                <w:rFonts w:ascii="Times New Roman" w:hAnsi="Times New Roman" w:eastAsia="Times New Roman" w:cs="Times New Roman"/>
                <w:spacing w:val="21"/>
                <w:sz w:val="20"/>
                <w:szCs w:val="20"/>
              </w:rPr>
              <w:t xml:space="preserve"> </w:t>
            </w:r>
            <w:r>
              <w:rPr>
                <w:spacing w:val="7"/>
                <w:sz w:val="20"/>
                <w:szCs w:val="20"/>
              </w:rPr>
              <w:t>㎡</w:t>
            </w:r>
            <w:r>
              <w:rPr>
                <w:spacing w:val="-55"/>
                <w:sz w:val="20"/>
                <w:szCs w:val="20"/>
              </w:rPr>
              <w:t xml:space="preserve"> </w:t>
            </w:r>
            <w:r>
              <w:rPr>
                <w:spacing w:val="7"/>
                <w:sz w:val="20"/>
                <w:szCs w:val="20"/>
              </w:rPr>
              <w:t>，用于</w:t>
            </w:r>
            <w:r>
              <w:rPr>
                <w:spacing w:val="6"/>
                <w:sz w:val="20"/>
                <w:szCs w:val="20"/>
              </w:rPr>
              <w:t>储存</w:t>
            </w:r>
            <w:r>
              <w:rPr>
                <w:sz w:val="20"/>
                <w:szCs w:val="20"/>
              </w:rPr>
              <w:t xml:space="preserve">  </w:t>
            </w:r>
            <w:r>
              <w:rPr>
                <w:spacing w:val="7"/>
                <w:sz w:val="20"/>
                <w:szCs w:val="20"/>
              </w:rPr>
              <w:t>燃料箱、液压油管、催化器、废活性碳、含油抹布、</w:t>
            </w:r>
            <w:r>
              <w:rPr>
                <w:spacing w:val="6"/>
                <w:sz w:val="20"/>
                <w:szCs w:val="20"/>
              </w:rPr>
              <w:t>拖布和手套等；</w:t>
            </w:r>
            <w:r>
              <w:rPr>
                <w:rFonts w:ascii="Times New Roman" w:hAnsi="Times New Roman" w:eastAsia="Times New Roman" w:cs="Times New Roman"/>
                <w:spacing w:val="6"/>
                <w:sz w:val="20"/>
                <w:szCs w:val="20"/>
              </w:rPr>
              <w:t>2#</w:t>
            </w:r>
            <w:r>
              <w:rPr>
                <w:spacing w:val="6"/>
                <w:sz w:val="20"/>
                <w:szCs w:val="20"/>
              </w:rPr>
              <w:t>废蓄</w:t>
            </w:r>
            <w:r>
              <w:rPr>
                <w:sz w:val="20"/>
                <w:szCs w:val="20"/>
              </w:rPr>
              <w:t xml:space="preserve">  </w:t>
            </w:r>
            <w:r>
              <w:rPr>
                <w:spacing w:val="5"/>
                <w:sz w:val="20"/>
                <w:szCs w:val="20"/>
              </w:rPr>
              <w:t>电池暂存区</w:t>
            </w:r>
            <w:r>
              <w:rPr>
                <w:spacing w:val="-43"/>
                <w:sz w:val="20"/>
                <w:szCs w:val="20"/>
              </w:rPr>
              <w:t xml:space="preserve"> </w:t>
            </w:r>
            <w:r>
              <w:rPr>
                <w:rFonts w:ascii="Times New Roman" w:hAnsi="Times New Roman" w:eastAsia="Times New Roman" w:cs="Times New Roman"/>
                <w:spacing w:val="5"/>
                <w:sz w:val="20"/>
                <w:szCs w:val="20"/>
              </w:rPr>
              <w:t>20</w:t>
            </w:r>
            <w:r>
              <w:rPr>
                <w:rFonts w:ascii="Times New Roman" w:hAnsi="Times New Roman" w:eastAsia="Times New Roman" w:cs="Times New Roman"/>
                <w:spacing w:val="21"/>
                <w:sz w:val="20"/>
                <w:szCs w:val="20"/>
              </w:rPr>
              <w:t xml:space="preserve"> </w:t>
            </w:r>
            <w:r>
              <w:rPr>
                <w:spacing w:val="5"/>
                <w:sz w:val="20"/>
                <w:szCs w:val="20"/>
              </w:rPr>
              <w:t>㎡，用于储存废蓄电池；</w:t>
            </w:r>
            <w:r>
              <w:rPr>
                <w:rFonts w:ascii="Times New Roman" w:hAnsi="Times New Roman" w:eastAsia="Times New Roman" w:cs="Times New Roman"/>
                <w:spacing w:val="5"/>
                <w:sz w:val="20"/>
                <w:szCs w:val="20"/>
              </w:rPr>
              <w:t>3#</w:t>
            </w:r>
            <w:r>
              <w:rPr>
                <w:spacing w:val="5"/>
                <w:sz w:val="20"/>
                <w:szCs w:val="20"/>
              </w:rPr>
              <w:t>废矿物油暂存区</w:t>
            </w:r>
            <w:r>
              <w:rPr>
                <w:spacing w:val="-43"/>
                <w:sz w:val="20"/>
                <w:szCs w:val="20"/>
              </w:rPr>
              <w:t xml:space="preserve"> </w:t>
            </w:r>
            <w:r>
              <w:rPr>
                <w:rFonts w:ascii="Times New Roman" w:hAnsi="Times New Roman" w:eastAsia="Times New Roman" w:cs="Times New Roman"/>
                <w:spacing w:val="5"/>
                <w:sz w:val="20"/>
                <w:szCs w:val="20"/>
              </w:rPr>
              <w:t>20</w:t>
            </w:r>
            <w:r>
              <w:rPr>
                <w:rFonts w:ascii="Times New Roman" w:hAnsi="Times New Roman" w:eastAsia="Times New Roman" w:cs="Times New Roman"/>
                <w:spacing w:val="19"/>
                <w:sz w:val="20"/>
                <w:szCs w:val="20"/>
              </w:rPr>
              <w:t xml:space="preserve"> </w:t>
            </w:r>
            <w:r>
              <w:rPr>
                <w:spacing w:val="5"/>
                <w:sz w:val="20"/>
                <w:szCs w:val="20"/>
              </w:rPr>
              <w:t>㎡，用于</w:t>
            </w:r>
            <w:r>
              <w:rPr>
                <w:spacing w:val="4"/>
                <w:sz w:val="20"/>
                <w:szCs w:val="20"/>
              </w:rPr>
              <w:t>储存</w:t>
            </w:r>
            <w:r>
              <w:rPr>
                <w:sz w:val="20"/>
                <w:szCs w:val="20"/>
              </w:rPr>
              <w:t xml:space="preserve">  </w:t>
            </w:r>
            <w:r>
              <w:rPr>
                <w:spacing w:val="3"/>
                <w:sz w:val="20"/>
                <w:szCs w:val="20"/>
              </w:rPr>
              <w:t>废矿物油。为封闭区域，危险废物贮存库按照《危险废物贮存污染控制标准》</w:t>
            </w:r>
            <w:r>
              <w:rPr>
                <w:spacing w:val="18"/>
                <w:sz w:val="20"/>
                <w:szCs w:val="20"/>
              </w:rPr>
              <w:t xml:space="preserve"> </w:t>
            </w:r>
            <w:r>
              <w:rPr>
                <w:spacing w:val="10"/>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10"/>
                <w:sz w:val="20"/>
                <w:szCs w:val="20"/>
              </w:rPr>
              <w:t>18597</w:t>
            </w:r>
            <w:r>
              <w:rPr>
                <w:spacing w:val="10"/>
                <w:sz w:val="20"/>
                <w:szCs w:val="20"/>
              </w:rPr>
              <w:t>—</w:t>
            </w:r>
            <w:r>
              <w:rPr>
                <w:rFonts w:ascii="Times New Roman" w:hAnsi="Times New Roman" w:eastAsia="Times New Roman" w:cs="Times New Roman"/>
                <w:spacing w:val="10"/>
                <w:sz w:val="20"/>
                <w:szCs w:val="20"/>
              </w:rPr>
              <w:t>2023</w:t>
            </w:r>
            <w:r>
              <w:rPr>
                <w:spacing w:val="10"/>
                <w:sz w:val="20"/>
                <w:szCs w:val="20"/>
              </w:rPr>
              <w:t>）</w:t>
            </w:r>
            <w:r>
              <w:rPr>
                <w:spacing w:val="-55"/>
                <w:sz w:val="20"/>
                <w:szCs w:val="20"/>
              </w:rPr>
              <w:t xml:space="preserve"> </w:t>
            </w:r>
            <w:r>
              <w:rPr>
                <w:spacing w:val="10"/>
                <w:sz w:val="20"/>
                <w:szCs w:val="20"/>
              </w:rPr>
              <w:t>中的相关要求，混凝土表面</w:t>
            </w:r>
            <w:r>
              <w:rPr>
                <w:spacing w:val="9"/>
                <w:sz w:val="20"/>
                <w:szCs w:val="20"/>
              </w:rPr>
              <w:t>硬化，基础防渗采用</w:t>
            </w:r>
            <w:r>
              <w:rPr>
                <w:spacing w:val="-38"/>
                <w:sz w:val="20"/>
                <w:szCs w:val="20"/>
              </w:rPr>
              <w:t xml:space="preserve"> </w:t>
            </w:r>
            <w:r>
              <w:rPr>
                <w:rFonts w:ascii="Times New Roman" w:hAnsi="Times New Roman" w:eastAsia="Times New Roman" w:cs="Times New Roman"/>
                <w:spacing w:val="9"/>
                <w:sz w:val="20"/>
                <w:szCs w:val="20"/>
              </w:rPr>
              <w:t>2</w:t>
            </w:r>
            <w:r>
              <w:rPr>
                <w:rFonts w:ascii="Times New Roman" w:hAnsi="Times New Roman" w:eastAsia="Times New Roman" w:cs="Times New Roman"/>
                <w:sz w:val="20"/>
                <w:szCs w:val="20"/>
              </w:rPr>
              <w:t xml:space="preserve">mm   </w:t>
            </w:r>
            <w:r>
              <w:rPr>
                <w:spacing w:val="7"/>
                <w:sz w:val="20"/>
                <w:szCs w:val="20"/>
              </w:rPr>
              <w:t>后的高密度聚乙烯或其他人工材料，渗透系数≤</w:t>
            </w:r>
            <w:r>
              <w:rPr>
                <w:rFonts w:ascii="Times New Roman" w:hAnsi="Times New Roman" w:eastAsia="Times New Roman" w:cs="Times New Roman"/>
                <w:spacing w:val="7"/>
                <w:sz w:val="20"/>
                <w:szCs w:val="20"/>
              </w:rPr>
              <w:t>10</w:t>
            </w:r>
            <w:r>
              <w:rPr>
                <w:rFonts w:ascii="Times New Roman" w:hAnsi="Times New Roman" w:eastAsia="Times New Roman" w:cs="Times New Roman"/>
                <w:spacing w:val="7"/>
                <w:position w:val="6"/>
                <w:sz w:val="13"/>
                <w:szCs w:val="13"/>
              </w:rPr>
              <w:t>-10</w:t>
            </w:r>
            <w:r>
              <w:rPr>
                <w:rFonts w:ascii="Times New Roman" w:hAnsi="Times New Roman" w:eastAsia="Times New Roman" w:cs="Times New Roman"/>
                <w:sz w:val="20"/>
                <w:szCs w:val="20"/>
              </w:rPr>
              <w:t>cm</w:t>
            </w:r>
            <w:r>
              <w:rPr>
                <w:rFonts w:ascii="Times New Roman" w:hAnsi="Times New Roman" w:eastAsia="Times New Roman" w:cs="Times New Roman"/>
                <w:spacing w:val="7"/>
                <w:sz w:val="20"/>
                <w:szCs w:val="20"/>
              </w:rPr>
              <w:t>/s</w:t>
            </w:r>
            <w:r>
              <w:rPr>
                <w:rFonts w:ascii="Times New Roman" w:hAnsi="Times New Roman" w:eastAsia="Times New Roman" w:cs="Times New Roman"/>
                <w:spacing w:val="-18"/>
                <w:sz w:val="20"/>
                <w:szCs w:val="20"/>
              </w:rPr>
              <w:t xml:space="preserve"> </w:t>
            </w:r>
            <w:r>
              <w:rPr>
                <w:spacing w:val="6"/>
                <w:sz w:val="20"/>
                <w:szCs w:val="20"/>
              </w:rPr>
              <w:t>。危废储存场所必</w:t>
            </w:r>
            <w:r>
              <w:rPr>
                <w:sz w:val="20"/>
                <w:szCs w:val="20"/>
              </w:rPr>
              <w:t xml:space="preserve">  </w:t>
            </w:r>
            <w:r>
              <w:rPr>
                <w:spacing w:val="9"/>
                <w:sz w:val="20"/>
                <w:szCs w:val="20"/>
              </w:rPr>
              <w:t>须防风、防雨、防晒、地面必须高于厂房的基准地面，各类危废分类存放。</w:t>
            </w:r>
          </w:p>
        </w:tc>
      </w:tr>
      <w:tr w14:paraId="65E0A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64" w:type="dxa"/>
            <w:vMerge w:val="continue"/>
            <w:tcBorders>
              <w:top w:val="nil"/>
              <w:left w:val="single" w:color="000000" w:sz="10" w:space="0"/>
              <w:bottom w:val="nil"/>
            </w:tcBorders>
            <w:vAlign w:val="top"/>
          </w:tcPr>
          <w:p w14:paraId="3CACABF3">
            <w:pPr>
              <w:rPr>
                <w:rFonts w:ascii="Arial"/>
                <w:sz w:val="21"/>
              </w:rPr>
            </w:pPr>
          </w:p>
        </w:tc>
        <w:tc>
          <w:tcPr>
            <w:tcW w:w="506" w:type="dxa"/>
            <w:vMerge w:val="restart"/>
            <w:tcBorders>
              <w:bottom w:val="nil"/>
            </w:tcBorders>
            <w:textDirection w:val="tbRlV"/>
            <w:vAlign w:val="top"/>
          </w:tcPr>
          <w:p w14:paraId="3B10A219">
            <w:pPr>
              <w:pStyle w:val="6"/>
              <w:spacing w:before="89" w:line="217" w:lineRule="auto"/>
              <w:ind w:left="706"/>
              <w:rPr>
                <w:sz w:val="20"/>
                <w:szCs w:val="20"/>
              </w:rPr>
            </w:pPr>
            <w:r>
              <w:rPr>
                <w:spacing w:val="6"/>
                <w:sz w:val="20"/>
                <w:szCs w:val="20"/>
              </w:rPr>
              <w:t>公 用 工 程</w:t>
            </w:r>
          </w:p>
        </w:tc>
        <w:tc>
          <w:tcPr>
            <w:tcW w:w="579" w:type="dxa"/>
            <w:textDirection w:val="tbRlV"/>
            <w:vAlign w:val="top"/>
          </w:tcPr>
          <w:p w14:paraId="6D251F2F">
            <w:pPr>
              <w:pStyle w:val="6"/>
              <w:spacing w:before="191" w:line="215" w:lineRule="auto"/>
              <w:ind w:left="65"/>
              <w:rPr>
                <w:sz w:val="20"/>
                <w:szCs w:val="20"/>
              </w:rPr>
            </w:pPr>
            <w:r>
              <w:rPr>
                <w:spacing w:val="6"/>
                <w:sz w:val="20"/>
                <w:szCs w:val="20"/>
              </w:rPr>
              <w:t>供 电</w:t>
            </w:r>
          </w:p>
        </w:tc>
        <w:tc>
          <w:tcPr>
            <w:tcW w:w="7155" w:type="dxa"/>
            <w:tcBorders>
              <w:right w:val="single" w:color="000000" w:sz="10" w:space="0"/>
            </w:tcBorders>
            <w:vAlign w:val="top"/>
          </w:tcPr>
          <w:p w14:paraId="393AE051">
            <w:pPr>
              <w:pStyle w:val="6"/>
              <w:spacing w:before="221" w:line="227" w:lineRule="auto"/>
              <w:ind w:left="132"/>
              <w:rPr>
                <w:sz w:val="20"/>
                <w:szCs w:val="20"/>
              </w:rPr>
            </w:pPr>
            <w:r>
              <w:rPr>
                <w:spacing w:val="7"/>
                <w:sz w:val="20"/>
                <w:szCs w:val="20"/>
              </w:rPr>
              <w:t>由市政电网统一供给，可满足项目用电要求。</w:t>
            </w:r>
          </w:p>
        </w:tc>
      </w:tr>
      <w:tr w14:paraId="6F0751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64" w:type="dxa"/>
            <w:vMerge w:val="continue"/>
            <w:tcBorders>
              <w:top w:val="nil"/>
              <w:left w:val="single" w:color="000000" w:sz="10" w:space="0"/>
              <w:bottom w:val="nil"/>
            </w:tcBorders>
            <w:vAlign w:val="top"/>
          </w:tcPr>
          <w:p w14:paraId="53A684C5">
            <w:pPr>
              <w:rPr>
                <w:rFonts w:ascii="Arial"/>
                <w:sz w:val="21"/>
              </w:rPr>
            </w:pPr>
          </w:p>
        </w:tc>
        <w:tc>
          <w:tcPr>
            <w:tcW w:w="506" w:type="dxa"/>
            <w:vMerge w:val="continue"/>
            <w:tcBorders>
              <w:top w:val="nil"/>
              <w:bottom w:val="nil"/>
            </w:tcBorders>
            <w:textDirection w:val="tbRlV"/>
            <w:vAlign w:val="top"/>
          </w:tcPr>
          <w:p w14:paraId="256ABD39">
            <w:pPr>
              <w:rPr>
                <w:rFonts w:ascii="Arial"/>
                <w:sz w:val="21"/>
              </w:rPr>
            </w:pPr>
          </w:p>
        </w:tc>
        <w:tc>
          <w:tcPr>
            <w:tcW w:w="579" w:type="dxa"/>
            <w:textDirection w:val="tbRlV"/>
            <w:vAlign w:val="top"/>
          </w:tcPr>
          <w:p w14:paraId="251BA3DC">
            <w:pPr>
              <w:pStyle w:val="6"/>
              <w:spacing w:before="190" w:line="215" w:lineRule="auto"/>
              <w:ind w:left="68"/>
              <w:rPr>
                <w:sz w:val="20"/>
                <w:szCs w:val="20"/>
              </w:rPr>
            </w:pPr>
            <w:r>
              <w:rPr>
                <w:spacing w:val="6"/>
                <w:sz w:val="20"/>
                <w:szCs w:val="20"/>
              </w:rPr>
              <w:t>给 水</w:t>
            </w:r>
          </w:p>
        </w:tc>
        <w:tc>
          <w:tcPr>
            <w:tcW w:w="7155" w:type="dxa"/>
            <w:tcBorders>
              <w:right w:val="single" w:color="000000" w:sz="10" w:space="0"/>
            </w:tcBorders>
            <w:vAlign w:val="top"/>
          </w:tcPr>
          <w:p w14:paraId="4900C65E">
            <w:pPr>
              <w:pStyle w:val="6"/>
              <w:spacing w:before="224" w:line="227" w:lineRule="auto"/>
              <w:ind w:left="108"/>
              <w:rPr>
                <w:sz w:val="20"/>
                <w:szCs w:val="20"/>
              </w:rPr>
            </w:pPr>
            <w:r>
              <w:rPr>
                <w:spacing w:val="8"/>
                <w:sz w:val="20"/>
                <w:szCs w:val="20"/>
              </w:rPr>
              <w:t>生活用水由市政管网提供，生产不需用水。</w:t>
            </w:r>
          </w:p>
        </w:tc>
      </w:tr>
      <w:tr w14:paraId="2A011F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64" w:type="dxa"/>
            <w:vMerge w:val="continue"/>
            <w:tcBorders>
              <w:top w:val="nil"/>
              <w:left w:val="single" w:color="000000" w:sz="10" w:space="0"/>
              <w:bottom w:val="nil"/>
            </w:tcBorders>
            <w:vAlign w:val="top"/>
          </w:tcPr>
          <w:p w14:paraId="09A04567">
            <w:pPr>
              <w:rPr>
                <w:rFonts w:ascii="Arial"/>
                <w:sz w:val="21"/>
              </w:rPr>
            </w:pPr>
          </w:p>
        </w:tc>
        <w:tc>
          <w:tcPr>
            <w:tcW w:w="506" w:type="dxa"/>
            <w:vMerge w:val="continue"/>
            <w:tcBorders>
              <w:top w:val="nil"/>
              <w:bottom w:val="nil"/>
            </w:tcBorders>
            <w:textDirection w:val="tbRlV"/>
            <w:vAlign w:val="top"/>
          </w:tcPr>
          <w:p w14:paraId="1A3DD5D7">
            <w:pPr>
              <w:rPr>
                <w:rFonts w:ascii="Arial"/>
                <w:sz w:val="21"/>
              </w:rPr>
            </w:pPr>
          </w:p>
        </w:tc>
        <w:tc>
          <w:tcPr>
            <w:tcW w:w="579" w:type="dxa"/>
            <w:textDirection w:val="tbRlV"/>
            <w:vAlign w:val="top"/>
          </w:tcPr>
          <w:p w14:paraId="40397897">
            <w:pPr>
              <w:pStyle w:val="6"/>
              <w:spacing w:before="190" w:line="216" w:lineRule="auto"/>
              <w:ind w:left="68"/>
              <w:rPr>
                <w:sz w:val="20"/>
                <w:szCs w:val="20"/>
              </w:rPr>
            </w:pPr>
            <w:r>
              <w:rPr>
                <w:spacing w:val="6"/>
                <w:sz w:val="20"/>
                <w:szCs w:val="20"/>
              </w:rPr>
              <w:t>排 水</w:t>
            </w:r>
          </w:p>
        </w:tc>
        <w:tc>
          <w:tcPr>
            <w:tcW w:w="7155" w:type="dxa"/>
            <w:tcBorders>
              <w:right w:val="single" w:color="000000" w:sz="10" w:space="0"/>
            </w:tcBorders>
            <w:vAlign w:val="top"/>
          </w:tcPr>
          <w:p w14:paraId="72F913E8">
            <w:pPr>
              <w:pStyle w:val="6"/>
              <w:spacing w:before="224" w:line="227" w:lineRule="auto"/>
              <w:ind w:left="108"/>
              <w:rPr>
                <w:sz w:val="20"/>
                <w:szCs w:val="20"/>
              </w:rPr>
            </w:pPr>
            <w:r>
              <w:rPr>
                <w:spacing w:val="9"/>
                <w:sz w:val="20"/>
                <w:szCs w:val="20"/>
              </w:rPr>
              <w:t>生活污水排入防渗旱厕，定期清掏作农肥。无生产废水产生。</w:t>
            </w:r>
          </w:p>
        </w:tc>
      </w:tr>
      <w:tr w14:paraId="29477E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64" w:type="dxa"/>
            <w:vMerge w:val="continue"/>
            <w:tcBorders>
              <w:top w:val="nil"/>
              <w:left w:val="single" w:color="000000" w:sz="10" w:space="0"/>
              <w:bottom w:val="nil"/>
            </w:tcBorders>
            <w:vAlign w:val="top"/>
          </w:tcPr>
          <w:p w14:paraId="7C4E5406">
            <w:pPr>
              <w:rPr>
                <w:rFonts w:ascii="Arial"/>
                <w:sz w:val="21"/>
              </w:rPr>
            </w:pPr>
          </w:p>
        </w:tc>
        <w:tc>
          <w:tcPr>
            <w:tcW w:w="506" w:type="dxa"/>
            <w:vMerge w:val="continue"/>
            <w:tcBorders>
              <w:top w:val="nil"/>
            </w:tcBorders>
            <w:textDirection w:val="tbRlV"/>
            <w:vAlign w:val="top"/>
          </w:tcPr>
          <w:p w14:paraId="35288104">
            <w:pPr>
              <w:rPr>
                <w:rFonts w:ascii="Arial"/>
                <w:sz w:val="21"/>
              </w:rPr>
            </w:pPr>
          </w:p>
        </w:tc>
        <w:tc>
          <w:tcPr>
            <w:tcW w:w="579" w:type="dxa"/>
            <w:textDirection w:val="tbRlV"/>
            <w:vAlign w:val="top"/>
          </w:tcPr>
          <w:p w14:paraId="119B7419">
            <w:pPr>
              <w:pStyle w:val="6"/>
              <w:spacing w:before="191" w:line="215" w:lineRule="auto"/>
              <w:ind w:left="69"/>
              <w:rPr>
                <w:sz w:val="20"/>
                <w:szCs w:val="20"/>
              </w:rPr>
            </w:pPr>
            <w:r>
              <w:rPr>
                <w:spacing w:val="6"/>
                <w:sz w:val="20"/>
                <w:szCs w:val="20"/>
              </w:rPr>
              <w:t>供 暖</w:t>
            </w:r>
          </w:p>
        </w:tc>
        <w:tc>
          <w:tcPr>
            <w:tcW w:w="7155" w:type="dxa"/>
            <w:tcBorders>
              <w:right w:val="single" w:color="000000" w:sz="10" w:space="0"/>
            </w:tcBorders>
            <w:vAlign w:val="top"/>
          </w:tcPr>
          <w:p w14:paraId="057520B0">
            <w:pPr>
              <w:pStyle w:val="6"/>
              <w:spacing w:before="225" w:line="227" w:lineRule="auto"/>
              <w:ind w:left="111"/>
              <w:rPr>
                <w:sz w:val="20"/>
                <w:szCs w:val="20"/>
              </w:rPr>
            </w:pPr>
            <w:r>
              <w:rPr>
                <w:spacing w:val="6"/>
                <w:sz w:val="20"/>
                <w:szCs w:val="20"/>
              </w:rPr>
              <w:t>冬季采用电取暖。</w:t>
            </w:r>
          </w:p>
        </w:tc>
      </w:tr>
      <w:tr w14:paraId="3A9C4C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4" w:hRule="atLeast"/>
        </w:trPr>
        <w:tc>
          <w:tcPr>
            <w:tcW w:w="664" w:type="dxa"/>
            <w:vMerge w:val="continue"/>
            <w:tcBorders>
              <w:top w:val="nil"/>
              <w:left w:val="single" w:color="000000" w:sz="10" w:space="0"/>
              <w:bottom w:val="nil"/>
            </w:tcBorders>
            <w:vAlign w:val="top"/>
          </w:tcPr>
          <w:p w14:paraId="4F06C390">
            <w:pPr>
              <w:rPr>
                <w:rFonts w:ascii="Arial"/>
                <w:sz w:val="21"/>
              </w:rPr>
            </w:pPr>
          </w:p>
        </w:tc>
        <w:tc>
          <w:tcPr>
            <w:tcW w:w="506" w:type="dxa"/>
            <w:vMerge w:val="restart"/>
            <w:tcBorders>
              <w:bottom w:val="nil"/>
            </w:tcBorders>
            <w:textDirection w:val="tbRlV"/>
            <w:vAlign w:val="top"/>
          </w:tcPr>
          <w:p w14:paraId="768557DB">
            <w:pPr>
              <w:pStyle w:val="6"/>
              <w:spacing w:before="89" w:line="217" w:lineRule="auto"/>
              <w:ind w:left="1505"/>
              <w:rPr>
                <w:sz w:val="20"/>
                <w:szCs w:val="20"/>
              </w:rPr>
            </w:pPr>
            <w:r>
              <w:rPr>
                <w:spacing w:val="6"/>
                <w:sz w:val="20"/>
                <w:szCs w:val="20"/>
              </w:rPr>
              <w:t>环 保 工 程</w:t>
            </w:r>
          </w:p>
        </w:tc>
        <w:tc>
          <w:tcPr>
            <w:tcW w:w="579" w:type="dxa"/>
            <w:textDirection w:val="tbRlV"/>
            <w:vAlign w:val="top"/>
          </w:tcPr>
          <w:p w14:paraId="4550F430">
            <w:pPr>
              <w:pStyle w:val="6"/>
              <w:spacing w:before="191" w:line="216" w:lineRule="auto"/>
              <w:ind w:left="694"/>
              <w:rPr>
                <w:sz w:val="20"/>
                <w:szCs w:val="20"/>
              </w:rPr>
            </w:pPr>
            <w:r>
              <w:rPr>
                <w:spacing w:val="6"/>
                <w:sz w:val="20"/>
                <w:szCs w:val="20"/>
              </w:rPr>
              <w:t>废 水</w:t>
            </w:r>
          </w:p>
        </w:tc>
        <w:tc>
          <w:tcPr>
            <w:tcW w:w="7155" w:type="dxa"/>
            <w:tcBorders>
              <w:right w:val="single" w:color="000000" w:sz="10" w:space="0"/>
            </w:tcBorders>
            <w:vAlign w:val="top"/>
          </w:tcPr>
          <w:p w14:paraId="415F907A">
            <w:pPr>
              <w:pStyle w:val="6"/>
              <w:spacing w:before="69" w:line="227" w:lineRule="auto"/>
              <w:ind w:left="108"/>
              <w:rPr>
                <w:sz w:val="20"/>
                <w:szCs w:val="20"/>
              </w:rPr>
            </w:pPr>
            <w:r>
              <w:rPr>
                <w:spacing w:val="8"/>
                <w:sz w:val="20"/>
                <w:szCs w:val="20"/>
              </w:rPr>
              <w:t>生活污水排入防渗旱厕，定期清掏作农肥。</w:t>
            </w:r>
          </w:p>
          <w:p w14:paraId="3E156ADA">
            <w:pPr>
              <w:pStyle w:val="6"/>
              <w:spacing w:before="63" w:line="274" w:lineRule="auto"/>
              <w:ind w:left="109" w:right="205" w:hanging="2"/>
              <w:rPr>
                <w:sz w:val="20"/>
                <w:szCs w:val="20"/>
              </w:rPr>
            </w:pPr>
            <w:r>
              <w:rPr>
                <w:spacing w:val="7"/>
                <w:sz w:val="20"/>
                <w:szCs w:val="20"/>
              </w:rPr>
              <w:t>本项目设备及车辆不在厂区内清洗；本项目收购来的报废农机</w:t>
            </w:r>
            <w:r>
              <w:rPr>
                <w:spacing w:val="6"/>
                <w:sz w:val="20"/>
                <w:szCs w:val="20"/>
              </w:rPr>
              <w:t>运至报废农机</w:t>
            </w:r>
            <w:r>
              <w:rPr>
                <w:sz w:val="20"/>
                <w:szCs w:val="20"/>
              </w:rPr>
              <w:t xml:space="preserve"> </w:t>
            </w:r>
            <w:r>
              <w:rPr>
                <w:spacing w:val="7"/>
                <w:sz w:val="20"/>
                <w:szCs w:val="20"/>
              </w:rPr>
              <w:t>暂存区内暂存，不进行露天停放，不单独设置停车坪，</w:t>
            </w:r>
            <w:r>
              <w:rPr>
                <w:spacing w:val="6"/>
                <w:sz w:val="20"/>
                <w:szCs w:val="20"/>
              </w:rPr>
              <w:t>雨水收集池位于厂区</w:t>
            </w:r>
            <w:r>
              <w:rPr>
                <w:sz w:val="20"/>
                <w:szCs w:val="20"/>
              </w:rPr>
              <w:t xml:space="preserve"> </w:t>
            </w:r>
            <w:r>
              <w:rPr>
                <w:spacing w:val="7"/>
                <w:sz w:val="20"/>
                <w:szCs w:val="20"/>
              </w:rPr>
              <w:t>西北侧，35m</w:t>
            </w:r>
            <w:r>
              <w:rPr>
                <w:spacing w:val="7"/>
                <w:position w:val="10"/>
                <w:sz w:val="10"/>
                <w:szCs w:val="10"/>
              </w:rPr>
              <w:t>3</w:t>
            </w:r>
            <w:r>
              <w:rPr>
                <w:spacing w:val="-23"/>
                <w:position w:val="10"/>
                <w:sz w:val="10"/>
                <w:szCs w:val="10"/>
              </w:rPr>
              <w:t xml:space="preserve"> </w:t>
            </w:r>
            <w:r>
              <w:rPr>
                <w:spacing w:val="7"/>
                <w:sz w:val="20"/>
                <w:szCs w:val="20"/>
              </w:rPr>
              <w:t>，利用厂区坡降收集雨水；本项目车间地面不清洗，地面如有</w:t>
            </w:r>
            <w:r>
              <w:rPr>
                <w:sz w:val="20"/>
                <w:szCs w:val="20"/>
              </w:rPr>
              <w:t xml:space="preserve"> </w:t>
            </w:r>
            <w:r>
              <w:rPr>
                <w:spacing w:val="6"/>
                <w:sz w:val="20"/>
                <w:szCs w:val="20"/>
              </w:rPr>
              <w:t>油渍，采用抹布/拖布擦干，废抹布/拖布作为危险废物暂存在危险废物暂存</w:t>
            </w:r>
            <w:r>
              <w:rPr>
                <w:spacing w:val="18"/>
                <w:sz w:val="20"/>
                <w:szCs w:val="20"/>
              </w:rPr>
              <w:t xml:space="preserve"> </w:t>
            </w:r>
            <w:r>
              <w:rPr>
                <w:spacing w:val="7"/>
                <w:sz w:val="20"/>
                <w:szCs w:val="20"/>
              </w:rPr>
              <w:t>点，</w:t>
            </w:r>
            <w:r>
              <w:rPr>
                <w:spacing w:val="-44"/>
                <w:sz w:val="20"/>
                <w:szCs w:val="20"/>
              </w:rPr>
              <w:t xml:space="preserve"> </w:t>
            </w:r>
            <w:r>
              <w:rPr>
                <w:spacing w:val="7"/>
                <w:sz w:val="20"/>
                <w:szCs w:val="20"/>
              </w:rPr>
              <w:t>由有资质单位处理，不设污水收集池。无生产废水产生。</w:t>
            </w:r>
          </w:p>
        </w:tc>
      </w:tr>
      <w:tr w14:paraId="317FF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2" w:hRule="atLeast"/>
        </w:trPr>
        <w:tc>
          <w:tcPr>
            <w:tcW w:w="664" w:type="dxa"/>
            <w:vMerge w:val="continue"/>
            <w:tcBorders>
              <w:top w:val="nil"/>
              <w:left w:val="single" w:color="000000" w:sz="10" w:space="0"/>
              <w:bottom w:val="nil"/>
            </w:tcBorders>
            <w:vAlign w:val="top"/>
          </w:tcPr>
          <w:p w14:paraId="05D10901">
            <w:pPr>
              <w:rPr>
                <w:rFonts w:ascii="Arial"/>
                <w:sz w:val="21"/>
              </w:rPr>
            </w:pPr>
          </w:p>
        </w:tc>
        <w:tc>
          <w:tcPr>
            <w:tcW w:w="506" w:type="dxa"/>
            <w:vMerge w:val="continue"/>
            <w:tcBorders>
              <w:top w:val="nil"/>
              <w:bottom w:val="nil"/>
            </w:tcBorders>
            <w:textDirection w:val="tbRlV"/>
            <w:vAlign w:val="top"/>
          </w:tcPr>
          <w:p w14:paraId="7697647F">
            <w:pPr>
              <w:rPr>
                <w:rFonts w:ascii="Arial"/>
                <w:sz w:val="21"/>
              </w:rPr>
            </w:pPr>
          </w:p>
        </w:tc>
        <w:tc>
          <w:tcPr>
            <w:tcW w:w="579" w:type="dxa"/>
            <w:textDirection w:val="tbRlV"/>
            <w:vAlign w:val="top"/>
          </w:tcPr>
          <w:p w14:paraId="59A2844D">
            <w:pPr>
              <w:pStyle w:val="6"/>
              <w:spacing w:before="191" w:line="217" w:lineRule="auto"/>
              <w:ind w:left="562"/>
              <w:rPr>
                <w:sz w:val="20"/>
                <w:szCs w:val="20"/>
              </w:rPr>
            </w:pPr>
            <w:r>
              <w:rPr>
                <w:spacing w:val="6"/>
                <w:sz w:val="20"/>
                <w:szCs w:val="20"/>
              </w:rPr>
              <w:t>废 气</w:t>
            </w:r>
          </w:p>
        </w:tc>
        <w:tc>
          <w:tcPr>
            <w:tcW w:w="7155" w:type="dxa"/>
            <w:tcBorders>
              <w:right w:val="single" w:color="000000" w:sz="10" w:space="0"/>
            </w:tcBorders>
            <w:vAlign w:val="top"/>
          </w:tcPr>
          <w:p w14:paraId="33472E39">
            <w:pPr>
              <w:pStyle w:val="6"/>
              <w:spacing w:before="96" w:line="276" w:lineRule="auto"/>
              <w:ind w:left="106" w:right="205"/>
              <w:jc w:val="both"/>
              <w:rPr>
                <w:sz w:val="20"/>
                <w:szCs w:val="20"/>
              </w:rPr>
            </w:pPr>
            <w:r>
              <w:rPr>
                <w:spacing w:val="10"/>
                <w:sz w:val="20"/>
                <w:szCs w:val="20"/>
              </w:rPr>
              <w:t>拆解区切割工段设置集气罩，收集的废气经</w:t>
            </w:r>
            <w:r>
              <w:rPr>
                <w:spacing w:val="-10"/>
                <w:sz w:val="20"/>
                <w:szCs w:val="20"/>
              </w:rPr>
              <w:t xml:space="preserve"> </w:t>
            </w:r>
            <w:r>
              <w:rPr>
                <w:rFonts w:ascii="Times New Roman" w:hAnsi="Times New Roman" w:eastAsia="Times New Roman" w:cs="Times New Roman"/>
                <w:spacing w:val="10"/>
                <w:sz w:val="20"/>
                <w:szCs w:val="20"/>
              </w:rPr>
              <w:t>1</w:t>
            </w:r>
            <w:r>
              <w:rPr>
                <w:rFonts w:ascii="Times New Roman" w:hAnsi="Times New Roman" w:eastAsia="Times New Roman" w:cs="Times New Roman"/>
                <w:spacing w:val="17"/>
                <w:w w:val="101"/>
                <w:sz w:val="20"/>
                <w:szCs w:val="20"/>
              </w:rPr>
              <w:t xml:space="preserve"> </w:t>
            </w:r>
            <w:r>
              <w:rPr>
                <w:spacing w:val="10"/>
                <w:sz w:val="20"/>
                <w:szCs w:val="20"/>
              </w:rPr>
              <w:t>套布袋除尘器处理后由</w:t>
            </w:r>
            <w:r>
              <w:rPr>
                <w:spacing w:val="-18"/>
                <w:sz w:val="20"/>
                <w:szCs w:val="20"/>
              </w:rPr>
              <w:t xml:space="preserve"> </w:t>
            </w:r>
            <w:r>
              <w:rPr>
                <w:rFonts w:ascii="Times New Roman" w:hAnsi="Times New Roman" w:eastAsia="Times New Roman" w:cs="Times New Roman"/>
                <w:spacing w:val="10"/>
                <w:sz w:val="20"/>
                <w:szCs w:val="20"/>
              </w:rPr>
              <w:t>15m</w:t>
            </w:r>
            <w:r>
              <w:rPr>
                <w:rFonts w:ascii="Times New Roman" w:hAnsi="Times New Roman" w:eastAsia="Times New Roman" w:cs="Times New Roman"/>
                <w:sz w:val="20"/>
                <w:szCs w:val="20"/>
              </w:rPr>
              <w:t xml:space="preserve"> </w:t>
            </w:r>
            <w:r>
              <w:rPr>
                <w:spacing w:val="7"/>
                <w:sz w:val="20"/>
                <w:szCs w:val="20"/>
              </w:rPr>
              <w:t>高排气筒排放（</w:t>
            </w:r>
            <w:r>
              <w:rPr>
                <w:rFonts w:ascii="Times New Roman" w:hAnsi="Times New Roman" w:eastAsia="Times New Roman" w:cs="Times New Roman"/>
                <w:sz w:val="20"/>
                <w:szCs w:val="20"/>
              </w:rPr>
              <w:t>DA</w:t>
            </w:r>
            <w:r>
              <w:rPr>
                <w:rFonts w:ascii="Times New Roman" w:hAnsi="Times New Roman" w:eastAsia="Times New Roman" w:cs="Times New Roman"/>
                <w:spacing w:val="7"/>
                <w:sz w:val="20"/>
                <w:szCs w:val="20"/>
              </w:rPr>
              <w:t>001</w:t>
            </w:r>
            <w:r>
              <w:rPr>
                <w:spacing w:val="-7"/>
                <w:sz w:val="20"/>
                <w:szCs w:val="20"/>
              </w:rPr>
              <w:t>）；</w:t>
            </w:r>
            <w:r>
              <w:rPr>
                <w:spacing w:val="7"/>
                <w:sz w:val="20"/>
                <w:szCs w:val="20"/>
              </w:rPr>
              <w:t>抽油液工段与危险废物贮存库共用</w:t>
            </w:r>
            <w:r>
              <w:rPr>
                <w:spacing w:val="-23"/>
                <w:sz w:val="20"/>
                <w:szCs w:val="20"/>
              </w:rPr>
              <w:t xml:space="preserve"> </w:t>
            </w:r>
            <w:r>
              <w:rPr>
                <w:rFonts w:ascii="Times New Roman" w:hAnsi="Times New Roman" w:eastAsia="Times New Roman" w:cs="Times New Roman"/>
                <w:spacing w:val="7"/>
                <w:sz w:val="20"/>
                <w:szCs w:val="20"/>
              </w:rPr>
              <w:t xml:space="preserve">1 </w:t>
            </w:r>
            <w:r>
              <w:rPr>
                <w:spacing w:val="7"/>
                <w:sz w:val="20"/>
                <w:szCs w:val="20"/>
              </w:rPr>
              <w:t>套设置集气</w:t>
            </w:r>
            <w:r>
              <w:rPr>
                <w:sz w:val="20"/>
                <w:szCs w:val="20"/>
              </w:rPr>
              <w:t xml:space="preserve"> </w:t>
            </w:r>
            <w:r>
              <w:rPr>
                <w:spacing w:val="16"/>
                <w:sz w:val="20"/>
                <w:szCs w:val="20"/>
              </w:rPr>
              <w:t>装置</w:t>
            </w:r>
            <w:r>
              <w:rPr>
                <w:spacing w:val="-58"/>
                <w:sz w:val="20"/>
                <w:szCs w:val="20"/>
              </w:rPr>
              <w:t xml:space="preserve"> </w:t>
            </w:r>
            <w:r>
              <w:rPr>
                <w:spacing w:val="16"/>
                <w:sz w:val="20"/>
                <w:szCs w:val="20"/>
              </w:rPr>
              <w:t>，</w:t>
            </w:r>
            <w:r>
              <w:rPr>
                <w:spacing w:val="-59"/>
                <w:sz w:val="20"/>
                <w:szCs w:val="20"/>
              </w:rPr>
              <w:t xml:space="preserve"> </w:t>
            </w:r>
            <w:r>
              <w:rPr>
                <w:spacing w:val="16"/>
                <w:sz w:val="20"/>
                <w:szCs w:val="20"/>
              </w:rPr>
              <w:t xml:space="preserve">收集的废气经 </w:t>
            </w:r>
            <w:r>
              <w:rPr>
                <w:rFonts w:ascii="Times New Roman" w:hAnsi="Times New Roman" w:eastAsia="Times New Roman" w:cs="Times New Roman"/>
                <w:spacing w:val="16"/>
                <w:sz w:val="20"/>
                <w:szCs w:val="20"/>
              </w:rPr>
              <w:t>1</w:t>
            </w:r>
            <w:r>
              <w:rPr>
                <w:rFonts w:ascii="Times New Roman" w:hAnsi="Times New Roman" w:eastAsia="Times New Roman" w:cs="Times New Roman"/>
                <w:spacing w:val="30"/>
                <w:sz w:val="20"/>
                <w:szCs w:val="20"/>
              </w:rPr>
              <w:t xml:space="preserve"> </w:t>
            </w:r>
            <w:r>
              <w:rPr>
                <w:spacing w:val="16"/>
                <w:sz w:val="20"/>
                <w:szCs w:val="20"/>
              </w:rPr>
              <w:t xml:space="preserve">套活性碳吸附装置处理后由 </w:t>
            </w:r>
            <w:r>
              <w:rPr>
                <w:rFonts w:ascii="Times New Roman" w:hAnsi="Times New Roman" w:eastAsia="Times New Roman" w:cs="Times New Roman"/>
                <w:spacing w:val="16"/>
                <w:sz w:val="20"/>
                <w:szCs w:val="20"/>
              </w:rPr>
              <w:t>15m</w:t>
            </w:r>
            <w:r>
              <w:rPr>
                <w:rFonts w:ascii="Times New Roman" w:hAnsi="Times New Roman" w:eastAsia="Times New Roman" w:cs="Times New Roman"/>
                <w:spacing w:val="34"/>
                <w:w w:val="101"/>
                <w:sz w:val="20"/>
                <w:szCs w:val="20"/>
              </w:rPr>
              <w:t xml:space="preserve"> </w:t>
            </w:r>
            <w:r>
              <w:rPr>
                <w:spacing w:val="16"/>
                <w:sz w:val="20"/>
                <w:szCs w:val="20"/>
              </w:rPr>
              <w:t>高</w:t>
            </w:r>
            <w:r>
              <w:rPr>
                <w:spacing w:val="15"/>
                <w:sz w:val="20"/>
                <w:szCs w:val="20"/>
              </w:rPr>
              <w:t>排气筒排放</w:t>
            </w:r>
            <w:r>
              <w:rPr>
                <w:sz w:val="20"/>
                <w:szCs w:val="20"/>
              </w:rPr>
              <w:t xml:space="preserve"> </w:t>
            </w:r>
            <w:r>
              <w:rPr>
                <w:spacing w:val="8"/>
                <w:sz w:val="20"/>
                <w:szCs w:val="20"/>
              </w:rPr>
              <w:t>（</w:t>
            </w:r>
            <w:r>
              <w:rPr>
                <w:rFonts w:ascii="Times New Roman" w:hAnsi="Times New Roman" w:eastAsia="Times New Roman" w:cs="Times New Roman"/>
                <w:sz w:val="20"/>
                <w:szCs w:val="20"/>
              </w:rPr>
              <w:t>DA</w:t>
            </w:r>
            <w:r>
              <w:rPr>
                <w:rFonts w:ascii="Times New Roman" w:hAnsi="Times New Roman" w:eastAsia="Times New Roman" w:cs="Times New Roman"/>
                <w:spacing w:val="8"/>
                <w:sz w:val="20"/>
                <w:szCs w:val="20"/>
              </w:rPr>
              <w:t>002</w:t>
            </w:r>
            <w:r>
              <w:rPr>
                <w:spacing w:val="8"/>
                <w:sz w:val="20"/>
                <w:szCs w:val="20"/>
              </w:rPr>
              <w:t>）</w:t>
            </w:r>
            <w:r>
              <w:rPr>
                <w:spacing w:val="-54"/>
                <w:sz w:val="20"/>
                <w:szCs w:val="20"/>
              </w:rPr>
              <w:t xml:space="preserve"> </w:t>
            </w:r>
            <w:r>
              <w:rPr>
                <w:spacing w:val="8"/>
                <w:sz w:val="20"/>
                <w:szCs w:val="20"/>
              </w:rPr>
              <w:t>。集气罩收集效率</w:t>
            </w:r>
            <w:r>
              <w:rPr>
                <w:spacing w:val="-32"/>
                <w:sz w:val="20"/>
                <w:szCs w:val="20"/>
              </w:rPr>
              <w:t xml:space="preserve"> </w:t>
            </w:r>
            <w:r>
              <w:rPr>
                <w:rFonts w:ascii="Times New Roman" w:hAnsi="Times New Roman" w:eastAsia="Times New Roman" w:cs="Times New Roman"/>
                <w:spacing w:val="8"/>
                <w:sz w:val="20"/>
                <w:szCs w:val="20"/>
              </w:rPr>
              <w:t>85%</w:t>
            </w:r>
            <w:r>
              <w:rPr>
                <w:rFonts w:ascii="Times New Roman" w:hAnsi="Times New Roman" w:eastAsia="Times New Roman" w:cs="Times New Roman"/>
                <w:spacing w:val="-21"/>
                <w:sz w:val="20"/>
                <w:szCs w:val="20"/>
              </w:rPr>
              <w:t xml:space="preserve"> </w:t>
            </w:r>
            <w:r>
              <w:rPr>
                <w:spacing w:val="8"/>
                <w:sz w:val="20"/>
                <w:szCs w:val="20"/>
              </w:rPr>
              <w:t>，非甲烷总烃去除效率为</w:t>
            </w:r>
            <w:r>
              <w:rPr>
                <w:spacing w:val="-33"/>
                <w:sz w:val="20"/>
                <w:szCs w:val="20"/>
              </w:rPr>
              <w:t xml:space="preserve"> </w:t>
            </w:r>
            <w:r>
              <w:rPr>
                <w:rFonts w:ascii="Times New Roman" w:hAnsi="Times New Roman" w:eastAsia="Times New Roman" w:cs="Times New Roman"/>
                <w:spacing w:val="8"/>
                <w:sz w:val="20"/>
                <w:szCs w:val="20"/>
              </w:rPr>
              <w:t>80</w:t>
            </w:r>
            <w:r>
              <w:rPr>
                <w:rFonts w:ascii="Times New Roman" w:hAnsi="Times New Roman" w:eastAsia="Times New Roman" w:cs="Times New Roman"/>
                <w:spacing w:val="7"/>
                <w:sz w:val="20"/>
                <w:szCs w:val="20"/>
              </w:rPr>
              <w:t>%</w:t>
            </w:r>
            <w:r>
              <w:rPr>
                <w:rFonts w:ascii="Times New Roman" w:hAnsi="Times New Roman" w:eastAsia="Times New Roman" w:cs="Times New Roman"/>
                <w:spacing w:val="-23"/>
                <w:sz w:val="20"/>
                <w:szCs w:val="20"/>
              </w:rPr>
              <w:t xml:space="preserve"> </w:t>
            </w:r>
            <w:r>
              <w:rPr>
                <w:spacing w:val="7"/>
                <w:sz w:val="20"/>
                <w:szCs w:val="20"/>
              </w:rPr>
              <w:t>、颗粒物</w:t>
            </w:r>
            <w:r>
              <w:rPr>
                <w:sz w:val="20"/>
                <w:szCs w:val="20"/>
              </w:rPr>
              <w:t xml:space="preserve"> </w:t>
            </w:r>
            <w:r>
              <w:rPr>
                <w:spacing w:val="5"/>
                <w:sz w:val="20"/>
                <w:szCs w:val="20"/>
              </w:rPr>
              <w:t>去除效率为</w:t>
            </w:r>
            <w:r>
              <w:rPr>
                <w:spacing w:val="-23"/>
                <w:sz w:val="20"/>
                <w:szCs w:val="20"/>
              </w:rPr>
              <w:t xml:space="preserve"> </w:t>
            </w:r>
            <w:r>
              <w:rPr>
                <w:rFonts w:ascii="Times New Roman" w:hAnsi="Times New Roman" w:eastAsia="Times New Roman" w:cs="Times New Roman"/>
                <w:spacing w:val="5"/>
                <w:sz w:val="20"/>
                <w:szCs w:val="20"/>
              </w:rPr>
              <w:t>99%</w:t>
            </w:r>
            <w:r>
              <w:rPr>
                <w:rFonts w:ascii="Times New Roman" w:hAnsi="Times New Roman" w:eastAsia="Times New Roman" w:cs="Times New Roman"/>
                <w:spacing w:val="-23"/>
                <w:sz w:val="20"/>
                <w:szCs w:val="20"/>
              </w:rPr>
              <w:t xml:space="preserve"> </w:t>
            </w:r>
            <w:r>
              <w:rPr>
                <w:spacing w:val="5"/>
                <w:sz w:val="20"/>
                <w:szCs w:val="20"/>
              </w:rPr>
              <w:t>。每</w:t>
            </w:r>
            <w:r>
              <w:rPr>
                <w:spacing w:val="-35"/>
                <w:sz w:val="20"/>
                <w:szCs w:val="20"/>
              </w:rPr>
              <w:t xml:space="preserve"> </w:t>
            </w:r>
            <w:r>
              <w:rPr>
                <w:rFonts w:ascii="Times New Roman" w:hAnsi="Times New Roman" w:eastAsia="Times New Roman" w:cs="Times New Roman"/>
                <w:spacing w:val="5"/>
                <w:sz w:val="20"/>
                <w:szCs w:val="20"/>
              </w:rPr>
              <w:t xml:space="preserve">5 </w:t>
            </w:r>
            <w:r>
              <w:rPr>
                <w:spacing w:val="5"/>
                <w:sz w:val="20"/>
                <w:szCs w:val="20"/>
              </w:rPr>
              <w:t>个月更换一次活性炭。</w:t>
            </w:r>
          </w:p>
        </w:tc>
      </w:tr>
      <w:tr w14:paraId="724B04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664" w:type="dxa"/>
            <w:vMerge w:val="continue"/>
            <w:tcBorders>
              <w:top w:val="nil"/>
              <w:left w:val="single" w:color="000000" w:sz="10" w:space="0"/>
              <w:bottom w:val="single" w:color="000000" w:sz="10" w:space="0"/>
            </w:tcBorders>
            <w:vAlign w:val="top"/>
          </w:tcPr>
          <w:p w14:paraId="63D4ACB2">
            <w:pPr>
              <w:rPr>
                <w:rFonts w:ascii="Arial"/>
                <w:sz w:val="21"/>
              </w:rPr>
            </w:pPr>
          </w:p>
        </w:tc>
        <w:tc>
          <w:tcPr>
            <w:tcW w:w="506" w:type="dxa"/>
            <w:vMerge w:val="continue"/>
            <w:tcBorders>
              <w:top w:val="nil"/>
              <w:bottom w:val="single" w:color="000000" w:sz="10" w:space="0"/>
            </w:tcBorders>
            <w:textDirection w:val="tbRlV"/>
            <w:vAlign w:val="top"/>
          </w:tcPr>
          <w:p w14:paraId="49B9C6B3">
            <w:pPr>
              <w:rPr>
                <w:rFonts w:ascii="Arial"/>
                <w:sz w:val="21"/>
              </w:rPr>
            </w:pPr>
          </w:p>
        </w:tc>
        <w:tc>
          <w:tcPr>
            <w:tcW w:w="579" w:type="dxa"/>
            <w:tcBorders>
              <w:bottom w:val="single" w:color="000000" w:sz="10" w:space="0"/>
            </w:tcBorders>
            <w:textDirection w:val="tbRlV"/>
            <w:vAlign w:val="top"/>
          </w:tcPr>
          <w:p w14:paraId="25C61951">
            <w:pPr>
              <w:pStyle w:val="6"/>
              <w:spacing w:before="190" w:line="213" w:lineRule="auto"/>
              <w:ind w:left="76"/>
              <w:rPr>
                <w:sz w:val="20"/>
                <w:szCs w:val="20"/>
              </w:rPr>
            </w:pPr>
            <w:r>
              <w:rPr>
                <w:spacing w:val="6"/>
                <w:sz w:val="20"/>
                <w:szCs w:val="20"/>
              </w:rPr>
              <w:t>噪 声</w:t>
            </w:r>
          </w:p>
        </w:tc>
        <w:tc>
          <w:tcPr>
            <w:tcW w:w="7155" w:type="dxa"/>
            <w:tcBorders>
              <w:bottom w:val="single" w:color="000000" w:sz="10" w:space="0"/>
              <w:right w:val="single" w:color="000000" w:sz="10" w:space="0"/>
            </w:tcBorders>
            <w:vAlign w:val="top"/>
          </w:tcPr>
          <w:p w14:paraId="6D098775">
            <w:pPr>
              <w:pStyle w:val="6"/>
              <w:spacing w:before="231" w:line="227" w:lineRule="auto"/>
              <w:ind w:left="106"/>
              <w:rPr>
                <w:sz w:val="20"/>
                <w:szCs w:val="20"/>
              </w:rPr>
            </w:pPr>
            <w:r>
              <w:rPr>
                <w:spacing w:val="9"/>
                <w:sz w:val="20"/>
                <w:szCs w:val="20"/>
              </w:rPr>
              <w:t>采用低噪声设备、减振、消声、距离衰减等措施。</w:t>
            </w:r>
          </w:p>
        </w:tc>
      </w:tr>
    </w:tbl>
    <w:p w14:paraId="41022791">
      <w:pPr>
        <w:pStyle w:val="2"/>
      </w:pPr>
    </w:p>
    <w:p w14:paraId="73F6468E">
      <w:pPr>
        <w:sectPr>
          <w:footerReference r:id="rId45" w:type="default"/>
          <w:pgSz w:w="11906" w:h="16839"/>
          <w:pgMar w:top="1270" w:right="1488" w:bottom="1261" w:left="1487" w:header="0" w:footer="1097" w:gutter="0"/>
          <w:cols w:space="720" w:num="1"/>
        </w:sectPr>
      </w:pPr>
    </w:p>
    <w:tbl>
      <w:tblPr>
        <w:tblStyle w:val="5"/>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4"/>
        <w:gridCol w:w="506"/>
        <w:gridCol w:w="386"/>
        <w:gridCol w:w="193"/>
        <w:gridCol w:w="2124"/>
        <w:gridCol w:w="1123"/>
        <w:gridCol w:w="655"/>
        <w:gridCol w:w="811"/>
        <w:gridCol w:w="2442"/>
      </w:tblGrid>
      <w:tr w14:paraId="7C30A7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31" w:hRule="atLeast"/>
        </w:trPr>
        <w:tc>
          <w:tcPr>
            <w:tcW w:w="664" w:type="dxa"/>
            <w:vMerge w:val="restart"/>
            <w:tcBorders>
              <w:top w:val="single" w:color="000000" w:sz="10" w:space="0"/>
              <w:left w:val="single" w:color="000000" w:sz="10" w:space="0"/>
              <w:bottom w:val="nil"/>
            </w:tcBorders>
            <w:vAlign w:val="top"/>
          </w:tcPr>
          <w:p w14:paraId="445E44AA">
            <w:pPr>
              <w:rPr>
                <w:rFonts w:ascii="Arial"/>
                <w:sz w:val="21"/>
              </w:rPr>
            </w:pPr>
          </w:p>
        </w:tc>
        <w:tc>
          <w:tcPr>
            <w:tcW w:w="506" w:type="dxa"/>
            <w:vMerge w:val="restart"/>
            <w:tcBorders>
              <w:top w:val="single" w:color="000000" w:sz="10" w:space="0"/>
              <w:bottom w:val="nil"/>
            </w:tcBorders>
            <w:vAlign w:val="top"/>
          </w:tcPr>
          <w:p w14:paraId="11A9CA39">
            <w:pPr>
              <w:rPr>
                <w:rFonts w:ascii="Arial"/>
                <w:sz w:val="21"/>
              </w:rPr>
            </w:pPr>
          </w:p>
        </w:tc>
        <w:tc>
          <w:tcPr>
            <w:tcW w:w="579" w:type="dxa"/>
            <w:gridSpan w:val="2"/>
            <w:tcBorders>
              <w:top w:val="single" w:color="000000" w:sz="10" w:space="0"/>
            </w:tcBorders>
            <w:textDirection w:val="tbRlV"/>
            <w:vAlign w:val="top"/>
          </w:tcPr>
          <w:p w14:paraId="51C374A2">
            <w:pPr>
              <w:pStyle w:val="6"/>
              <w:spacing w:before="191" w:line="217" w:lineRule="auto"/>
              <w:ind w:left="710"/>
              <w:rPr>
                <w:sz w:val="20"/>
                <w:szCs w:val="20"/>
              </w:rPr>
            </w:pPr>
            <w:r>
              <w:rPr>
                <w:spacing w:val="6"/>
                <w:sz w:val="20"/>
                <w:szCs w:val="20"/>
              </w:rPr>
              <w:t>固 体 废 物</w:t>
            </w:r>
          </w:p>
        </w:tc>
        <w:tc>
          <w:tcPr>
            <w:tcW w:w="7155" w:type="dxa"/>
            <w:gridSpan w:val="5"/>
            <w:tcBorders>
              <w:top w:val="single" w:color="000000" w:sz="10" w:space="0"/>
              <w:right w:val="single" w:color="000000" w:sz="10" w:space="0"/>
            </w:tcBorders>
            <w:vAlign w:val="top"/>
          </w:tcPr>
          <w:p w14:paraId="4FA54C7E">
            <w:pPr>
              <w:pStyle w:val="6"/>
              <w:spacing w:before="85" w:line="281" w:lineRule="auto"/>
              <w:ind w:left="106" w:right="151" w:firstLine="2"/>
              <w:rPr>
                <w:sz w:val="20"/>
                <w:szCs w:val="20"/>
              </w:rPr>
            </w:pPr>
            <w:r>
              <w:rPr>
                <w:spacing w:val="8"/>
                <w:sz w:val="20"/>
                <w:szCs w:val="20"/>
              </w:rPr>
              <w:t>生活垃圾统一收集后，运送至当地指定的垃圾存放处由环卫部门统一处理；</w:t>
            </w:r>
            <w:r>
              <w:rPr>
                <w:spacing w:val="15"/>
                <w:sz w:val="20"/>
                <w:szCs w:val="20"/>
              </w:rPr>
              <w:t xml:space="preserve"> </w:t>
            </w:r>
            <w:r>
              <w:rPr>
                <w:spacing w:val="7"/>
                <w:sz w:val="20"/>
                <w:szCs w:val="20"/>
              </w:rPr>
              <w:t>玻璃、废旧轮胎、塑料、密封胶条、金属类等收集在拆解后物料存</w:t>
            </w:r>
            <w:r>
              <w:rPr>
                <w:spacing w:val="6"/>
                <w:sz w:val="20"/>
                <w:szCs w:val="20"/>
              </w:rPr>
              <w:t>储区，定</w:t>
            </w:r>
            <w:r>
              <w:rPr>
                <w:sz w:val="20"/>
                <w:szCs w:val="20"/>
              </w:rPr>
              <w:t xml:space="preserve"> </w:t>
            </w:r>
            <w:r>
              <w:rPr>
                <w:spacing w:val="7"/>
                <w:sz w:val="20"/>
                <w:szCs w:val="20"/>
              </w:rPr>
              <w:t>期外售废旧资源回收公司；电子电器产品</w:t>
            </w:r>
            <w:r>
              <w:rPr>
                <w:rFonts w:ascii="Times New Roman" w:hAnsi="Times New Roman" w:eastAsia="Times New Roman" w:cs="Times New Roman"/>
                <w:spacing w:val="7"/>
                <w:sz w:val="20"/>
                <w:szCs w:val="20"/>
              </w:rPr>
              <w:t>/</w:t>
            </w:r>
            <w:r>
              <w:rPr>
                <w:spacing w:val="7"/>
                <w:sz w:val="20"/>
                <w:szCs w:val="20"/>
              </w:rPr>
              <w:t>元器件</w:t>
            </w:r>
            <w:r>
              <w:rPr>
                <w:spacing w:val="6"/>
                <w:sz w:val="20"/>
                <w:szCs w:val="20"/>
              </w:rPr>
              <w:t>收集在拆解后物料存储区，</w:t>
            </w:r>
            <w:r>
              <w:rPr>
                <w:sz w:val="20"/>
                <w:szCs w:val="20"/>
              </w:rPr>
              <w:t xml:space="preserve"> </w:t>
            </w:r>
            <w:r>
              <w:rPr>
                <w:spacing w:val="7"/>
                <w:sz w:val="20"/>
                <w:szCs w:val="20"/>
              </w:rPr>
              <w:t>交由有废电器资质企业拆解，不自行拆解；废油类、制冷剂采用废</w:t>
            </w:r>
            <w:r>
              <w:rPr>
                <w:spacing w:val="6"/>
                <w:sz w:val="20"/>
                <w:szCs w:val="20"/>
              </w:rPr>
              <w:t>液的专用</w:t>
            </w:r>
            <w:r>
              <w:rPr>
                <w:sz w:val="20"/>
                <w:szCs w:val="20"/>
              </w:rPr>
              <w:t xml:space="preserve"> </w:t>
            </w:r>
            <w:r>
              <w:rPr>
                <w:spacing w:val="10"/>
                <w:sz w:val="20"/>
                <w:szCs w:val="20"/>
              </w:rPr>
              <w:t>密闭容器分类暂存于</w:t>
            </w:r>
            <w:r>
              <w:rPr>
                <w:spacing w:val="-36"/>
                <w:sz w:val="20"/>
                <w:szCs w:val="20"/>
              </w:rPr>
              <w:t xml:space="preserve"> </w:t>
            </w:r>
            <w:r>
              <w:rPr>
                <w:rFonts w:ascii="Times New Roman" w:hAnsi="Times New Roman" w:eastAsia="Times New Roman" w:cs="Times New Roman"/>
                <w:spacing w:val="10"/>
                <w:sz w:val="20"/>
                <w:szCs w:val="20"/>
              </w:rPr>
              <w:t>3#</w:t>
            </w:r>
            <w:r>
              <w:rPr>
                <w:spacing w:val="10"/>
                <w:sz w:val="20"/>
                <w:szCs w:val="20"/>
              </w:rPr>
              <w:t>废矿物油暂存区，</w:t>
            </w:r>
            <w:r>
              <w:rPr>
                <w:spacing w:val="-58"/>
                <w:sz w:val="20"/>
                <w:szCs w:val="20"/>
              </w:rPr>
              <w:t xml:space="preserve"> </w:t>
            </w:r>
            <w:r>
              <w:rPr>
                <w:spacing w:val="10"/>
                <w:sz w:val="20"/>
                <w:szCs w:val="20"/>
              </w:rPr>
              <w:t>由有</w:t>
            </w:r>
            <w:r>
              <w:rPr>
                <w:spacing w:val="9"/>
                <w:sz w:val="20"/>
                <w:szCs w:val="20"/>
              </w:rPr>
              <w:t>资质单位处理；废电池暂存</w:t>
            </w:r>
            <w:r>
              <w:rPr>
                <w:sz w:val="20"/>
                <w:szCs w:val="20"/>
              </w:rPr>
              <w:t xml:space="preserve"> </w:t>
            </w:r>
            <w:r>
              <w:rPr>
                <w:spacing w:val="10"/>
                <w:sz w:val="20"/>
                <w:szCs w:val="20"/>
              </w:rPr>
              <w:t>于</w:t>
            </w:r>
            <w:r>
              <w:rPr>
                <w:spacing w:val="-32"/>
                <w:sz w:val="20"/>
                <w:szCs w:val="20"/>
              </w:rPr>
              <w:t xml:space="preserve"> </w:t>
            </w:r>
            <w:r>
              <w:rPr>
                <w:rFonts w:ascii="Times New Roman" w:hAnsi="Times New Roman" w:eastAsia="Times New Roman" w:cs="Times New Roman"/>
                <w:spacing w:val="10"/>
                <w:sz w:val="20"/>
                <w:szCs w:val="20"/>
              </w:rPr>
              <w:t>2#</w:t>
            </w:r>
            <w:r>
              <w:rPr>
                <w:spacing w:val="10"/>
                <w:sz w:val="20"/>
                <w:szCs w:val="20"/>
              </w:rPr>
              <w:t>废蓄电池暂存区，</w:t>
            </w:r>
            <w:r>
              <w:rPr>
                <w:spacing w:val="-58"/>
                <w:sz w:val="20"/>
                <w:szCs w:val="20"/>
              </w:rPr>
              <w:t xml:space="preserve"> </w:t>
            </w:r>
            <w:r>
              <w:rPr>
                <w:spacing w:val="10"/>
                <w:sz w:val="20"/>
                <w:szCs w:val="20"/>
              </w:rPr>
              <w:t>由有资质单位处理；燃料罐、液压油管、催化器、</w:t>
            </w:r>
            <w:r>
              <w:rPr>
                <w:sz w:val="20"/>
                <w:szCs w:val="20"/>
              </w:rPr>
              <w:t xml:space="preserve"> </w:t>
            </w:r>
            <w:r>
              <w:rPr>
                <w:spacing w:val="9"/>
                <w:sz w:val="20"/>
                <w:szCs w:val="20"/>
              </w:rPr>
              <w:t>废活性炭、含油抹布、拖布和手套分类暂存于</w:t>
            </w:r>
            <w:r>
              <w:rPr>
                <w:spacing w:val="-15"/>
                <w:sz w:val="20"/>
                <w:szCs w:val="20"/>
              </w:rPr>
              <w:t xml:space="preserve"> </w:t>
            </w:r>
            <w:r>
              <w:rPr>
                <w:rFonts w:ascii="Times New Roman" w:hAnsi="Times New Roman" w:eastAsia="Times New Roman" w:cs="Times New Roman"/>
                <w:spacing w:val="9"/>
                <w:sz w:val="20"/>
                <w:szCs w:val="20"/>
              </w:rPr>
              <w:t>1#</w:t>
            </w:r>
            <w:r>
              <w:rPr>
                <w:spacing w:val="9"/>
                <w:sz w:val="20"/>
                <w:szCs w:val="20"/>
              </w:rPr>
              <w:t>其他危险废物暂存区，</w:t>
            </w:r>
            <w:r>
              <w:rPr>
                <w:spacing w:val="-56"/>
                <w:sz w:val="20"/>
                <w:szCs w:val="20"/>
              </w:rPr>
              <w:t xml:space="preserve"> </w:t>
            </w:r>
            <w:r>
              <w:rPr>
                <w:spacing w:val="9"/>
                <w:sz w:val="20"/>
                <w:szCs w:val="20"/>
              </w:rPr>
              <w:t>由</w:t>
            </w:r>
            <w:r>
              <w:rPr>
                <w:sz w:val="20"/>
                <w:szCs w:val="20"/>
              </w:rPr>
              <w:t xml:space="preserve"> </w:t>
            </w:r>
            <w:r>
              <w:rPr>
                <w:spacing w:val="7"/>
                <w:sz w:val="20"/>
                <w:szCs w:val="20"/>
              </w:rPr>
              <w:t>有资质单位处理。</w:t>
            </w:r>
          </w:p>
        </w:tc>
      </w:tr>
      <w:tr w14:paraId="1071C4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77" w:hRule="atLeast"/>
        </w:trPr>
        <w:tc>
          <w:tcPr>
            <w:tcW w:w="664" w:type="dxa"/>
            <w:vMerge w:val="continue"/>
            <w:tcBorders>
              <w:top w:val="nil"/>
              <w:left w:val="single" w:color="000000" w:sz="10" w:space="0"/>
              <w:bottom w:val="nil"/>
            </w:tcBorders>
            <w:vAlign w:val="top"/>
          </w:tcPr>
          <w:p w14:paraId="586710F6">
            <w:pPr>
              <w:rPr>
                <w:rFonts w:ascii="Arial"/>
                <w:sz w:val="21"/>
              </w:rPr>
            </w:pPr>
          </w:p>
        </w:tc>
        <w:tc>
          <w:tcPr>
            <w:tcW w:w="506" w:type="dxa"/>
            <w:vMerge w:val="continue"/>
            <w:tcBorders>
              <w:top w:val="nil"/>
              <w:bottom w:val="nil"/>
            </w:tcBorders>
            <w:vAlign w:val="top"/>
          </w:tcPr>
          <w:p w14:paraId="2907E807">
            <w:pPr>
              <w:rPr>
                <w:rFonts w:ascii="Arial"/>
                <w:sz w:val="21"/>
              </w:rPr>
            </w:pPr>
          </w:p>
        </w:tc>
        <w:tc>
          <w:tcPr>
            <w:tcW w:w="579" w:type="dxa"/>
            <w:gridSpan w:val="2"/>
            <w:textDirection w:val="tbRlV"/>
            <w:vAlign w:val="top"/>
          </w:tcPr>
          <w:p w14:paraId="2FF8B742">
            <w:pPr>
              <w:pStyle w:val="6"/>
              <w:spacing w:before="191" w:line="216" w:lineRule="auto"/>
              <w:ind w:left="1200"/>
              <w:rPr>
                <w:sz w:val="20"/>
                <w:szCs w:val="20"/>
              </w:rPr>
            </w:pPr>
            <w:r>
              <w:rPr>
                <w:spacing w:val="9"/>
                <w:sz w:val="20"/>
                <w:szCs w:val="20"/>
              </w:rPr>
              <w:t>地 下</w:t>
            </w:r>
            <w:r>
              <w:rPr>
                <w:spacing w:val="11"/>
                <w:sz w:val="20"/>
                <w:szCs w:val="20"/>
              </w:rPr>
              <w:t xml:space="preserve"> </w:t>
            </w:r>
            <w:r>
              <w:rPr>
                <w:spacing w:val="9"/>
                <w:sz w:val="20"/>
                <w:szCs w:val="20"/>
              </w:rPr>
              <w:t>水</w:t>
            </w:r>
            <w:r>
              <w:rPr>
                <w:spacing w:val="11"/>
                <w:sz w:val="20"/>
                <w:szCs w:val="20"/>
              </w:rPr>
              <w:t xml:space="preserve"> </w:t>
            </w:r>
            <w:r>
              <w:rPr>
                <w:spacing w:val="9"/>
                <w:sz w:val="20"/>
                <w:szCs w:val="20"/>
              </w:rPr>
              <w:t>防</w:t>
            </w:r>
            <w:r>
              <w:rPr>
                <w:spacing w:val="12"/>
                <w:sz w:val="20"/>
                <w:szCs w:val="20"/>
              </w:rPr>
              <w:t xml:space="preserve"> </w:t>
            </w:r>
            <w:r>
              <w:rPr>
                <w:spacing w:val="9"/>
                <w:sz w:val="20"/>
                <w:szCs w:val="20"/>
              </w:rPr>
              <w:t>渗</w:t>
            </w:r>
            <w:r>
              <w:rPr>
                <w:spacing w:val="11"/>
                <w:sz w:val="20"/>
                <w:szCs w:val="20"/>
              </w:rPr>
              <w:t xml:space="preserve"> </w:t>
            </w:r>
            <w:r>
              <w:rPr>
                <w:spacing w:val="9"/>
                <w:sz w:val="20"/>
                <w:szCs w:val="20"/>
              </w:rPr>
              <w:t>措</w:t>
            </w:r>
            <w:r>
              <w:rPr>
                <w:spacing w:val="10"/>
                <w:sz w:val="20"/>
                <w:szCs w:val="20"/>
              </w:rPr>
              <w:t xml:space="preserve"> </w:t>
            </w:r>
            <w:r>
              <w:rPr>
                <w:spacing w:val="9"/>
                <w:sz w:val="20"/>
                <w:szCs w:val="20"/>
              </w:rPr>
              <w:t>施</w:t>
            </w:r>
          </w:p>
        </w:tc>
        <w:tc>
          <w:tcPr>
            <w:tcW w:w="7155" w:type="dxa"/>
            <w:gridSpan w:val="5"/>
            <w:tcBorders>
              <w:right w:val="single" w:color="000000" w:sz="10" w:space="0"/>
            </w:tcBorders>
            <w:vAlign w:val="top"/>
          </w:tcPr>
          <w:p w14:paraId="228D798C">
            <w:pPr>
              <w:pStyle w:val="6"/>
              <w:spacing w:before="82" w:line="290" w:lineRule="auto"/>
              <w:ind w:left="106" w:right="203" w:firstLine="3"/>
              <w:rPr>
                <w:sz w:val="20"/>
                <w:szCs w:val="20"/>
              </w:rPr>
            </w:pPr>
            <w:r>
              <w:rPr>
                <w:spacing w:val="6"/>
                <w:sz w:val="20"/>
                <w:szCs w:val="20"/>
              </w:rPr>
              <w:t>危险废物贮存库（1#其他危险废物暂存区、2#废蓄电池暂存区、3#废矿物油</w:t>
            </w:r>
            <w:r>
              <w:rPr>
                <w:spacing w:val="7"/>
                <w:sz w:val="20"/>
                <w:szCs w:val="20"/>
              </w:rPr>
              <w:t xml:space="preserve"> 暂存区）、拆解车间、导流槽、收集池采取重点防渗措施：拆解车</w:t>
            </w:r>
            <w:r>
              <w:rPr>
                <w:spacing w:val="6"/>
                <w:sz w:val="20"/>
                <w:szCs w:val="20"/>
              </w:rPr>
              <w:t>间作业区</w:t>
            </w:r>
            <w:r>
              <w:rPr>
                <w:sz w:val="20"/>
                <w:szCs w:val="20"/>
              </w:rPr>
              <w:t xml:space="preserve"> </w:t>
            </w:r>
            <w:r>
              <w:rPr>
                <w:spacing w:val="8"/>
                <w:sz w:val="20"/>
                <w:szCs w:val="20"/>
              </w:rPr>
              <w:t>地面混凝土强度等级不低于 C20，厚度不低于 150</w:t>
            </w:r>
            <w:r>
              <w:rPr>
                <w:spacing w:val="50"/>
                <w:sz w:val="20"/>
                <w:szCs w:val="20"/>
              </w:rPr>
              <w:t xml:space="preserve"> </w:t>
            </w:r>
            <w:r>
              <w:rPr>
                <w:sz w:val="20"/>
                <w:szCs w:val="20"/>
              </w:rPr>
              <w:t>mm</w:t>
            </w:r>
            <w:r>
              <w:rPr>
                <w:spacing w:val="8"/>
                <w:sz w:val="20"/>
                <w:szCs w:val="20"/>
              </w:rPr>
              <w:t>，其中物流通道路面</w:t>
            </w:r>
            <w:r>
              <w:rPr>
                <w:sz w:val="20"/>
                <w:szCs w:val="20"/>
              </w:rPr>
              <w:t xml:space="preserve"> </w:t>
            </w:r>
            <w:r>
              <w:rPr>
                <w:spacing w:val="6"/>
                <w:sz w:val="20"/>
                <w:szCs w:val="20"/>
              </w:rPr>
              <w:t>和拆解作业区域强度不低于 C30，厚度不低于 200</w:t>
            </w:r>
            <w:r>
              <w:rPr>
                <w:sz w:val="20"/>
                <w:szCs w:val="20"/>
              </w:rPr>
              <w:t>mm</w:t>
            </w:r>
            <w:r>
              <w:rPr>
                <w:spacing w:val="6"/>
                <w:sz w:val="20"/>
                <w:szCs w:val="20"/>
              </w:rPr>
              <w:t>，满足《报废机动车拆</w:t>
            </w:r>
            <w:r>
              <w:rPr>
                <w:spacing w:val="13"/>
                <w:sz w:val="20"/>
                <w:szCs w:val="20"/>
              </w:rPr>
              <w:t xml:space="preserve"> </w:t>
            </w:r>
            <w:r>
              <w:rPr>
                <w:spacing w:val="6"/>
                <w:sz w:val="20"/>
                <w:szCs w:val="20"/>
              </w:rPr>
              <w:t>解企业污染控制技术规范》  (</w:t>
            </w:r>
            <w:r>
              <w:rPr>
                <w:sz w:val="20"/>
                <w:szCs w:val="20"/>
              </w:rPr>
              <w:t>HJ</w:t>
            </w:r>
            <w:r>
              <w:rPr>
                <w:spacing w:val="6"/>
                <w:sz w:val="20"/>
                <w:szCs w:val="20"/>
              </w:rPr>
              <w:t>348-2022)中防渗、混凝土强度要求；本项</w:t>
            </w:r>
            <w:r>
              <w:rPr>
                <w:sz w:val="20"/>
                <w:szCs w:val="20"/>
              </w:rPr>
              <w:t xml:space="preserve"> </w:t>
            </w:r>
            <w:r>
              <w:rPr>
                <w:spacing w:val="10"/>
                <w:sz w:val="20"/>
                <w:szCs w:val="20"/>
              </w:rPr>
              <w:t>目危险废物贮存库地面与导流槽、收集池均采取表面防渗措施，采用2</w:t>
            </w:r>
            <w:r>
              <w:rPr>
                <w:sz w:val="20"/>
                <w:szCs w:val="20"/>
              </w:rPr>
              <w:t>mm</w:t>
            </w:r>
          </w:p>
          <w:p w14:paraId="26144E67">
            <w:pPr>
              <w:pStyle w:val="6"/>
              <w:spacing w:before="34" w:line="280" w:lineRule="auto"/>
              <w:ind w:left="106" w:right="205" w:firstLine="5"/>
              <w:rPr>
                <w:sz w:val="20"/>
                <w:szCs w:val="20"/>
              </w:rPr>
            </w:pPr>
            <w:r>
              <w:rPr>
                <w:spacing w:val="8"/>
                <w:sz w:val="20"/>
                <w:szCs w:val="20"/>
              </w:rPr>
              <w:t>厚高密度聚乙烯膜防渗材料，渗透系数不大</w:t>
            </w:r>
            <w:r>
              <w:rPr>
                <w:spacing w:val="7"/>
                <w:sz w:val="20"/>
                <w:szCs w:val="20"/>
              </w:rPr>
              <w:t>于10</w:t>
            </w:r>
            <w:r>
              <w:rPr>
                <w:spacing w:val="7"/>
                <w:position w:val="10"/>
                <w:sz w:val="10"/>
                <w:szCs w:val="10"/>
              </w:rPr>
              <w:t>-10</w:t>
            </w:r>
            <w:r>
              <w:rPr>
                <w:sz w:val="20"/>
                <w:szCs w:val="20"/>
              </w:rPr>
              <w:t>cm</w:t>
            </w:r>
            <w:r>
              <w:rPr>
                <w:spacing w:val="7"/>
                <w:sz w:val="20"/>
                <w:szCs w:val="20"/>
              </w:rPr>
              <w:t>/s，满足《危险废物贮</w:t>
            </w:r>
            <w:r>
              <w:rPr>
                <w:sz w:val="20"/>
                <w:szCs w:val="20"/>
              </w:rPr>
              <w:t xml:space="preserve"> </w:t>
            </w:r>
            <w:r>
              <w:rPr>
                <w:spacing w:val="7"/>
                <w:sz w:val="20"/>
                <w:szCs w:val="20"/>
              </w:rPr>
              <w:t>存污染控制标准》（</w:t>
            </w:r>
            <w:r>
              <w:rPr>
                <w:sz w:val="20"/>
                <w:szCs w:val="20"/>
              </w:rPr>
              <w:t>GB</w:t>
            </w:r>
            <w:r>
              <w:rPr>
                <w:spacing w:val="7"/>
                <w:sz w:val="20"/>
                <w:szCs w:val="20"/>
              </w:rPr>
              <w:t>18597-2023）中防渗</w:t>
            </w:r>
            <w:r>
              <w:rPr>
                <w:spacing w:val="6"/>
                <w:sz w:val="20"/>
                <w:szCs w:val="20"/>
              </w:rPr>
              <w:t>要求。</w:t>
            </w:r>
          </w:p>
          <w:p w14:paraId="4ED10353">
            <w:pPr>
              <w:pStyle w:val="6"/>
              <w:spacing w:before="32" w:line="286" w:lineRule="auto"/>
              <w:ind w:left="106" w:right="205" w:firstLine="4"/>
              <w:jc w:val="both"/>
              <w:rPr>
                <w:sz w:val="20"/>
                <w:szCs w:val="20"/>
              </w:rPr>
            </w:pPr>
            <w:r>
              <w:rPr>
                <w:spacing w:val="7"/>
                <w:sz w:val="20"/>
                <w:szCs w:val="20"/>
              </w:rPr>
              <w:t>一般防渗区为报废后农机暂存区、拆解后物料储存区、</w:t>
            </w:r>
            <w:r>
              <w:rPr>
                <w:spacing w:val="6"/>
                <w:sz w:val="20"/>
                <w:szCs w:val="20"/>
              </w:rPr>
              <w:t>防渗旱厕。地面为厚</w:t>
            </w:r>
            <w:r>
              <w:rPr>
                <w:sz w:val="20"/>
                <w:szCs w:val="20"/>
              </w:rPr>
              <w:t xml:space="preserve"> </w:t>
            </w:r>
            <w:r>
              <w:rPr>
                <w:spacing w:val="8"/>
                <w:sz w:val="20"/>
                <w:szCs w:val="20"/>
              </w:rPr>
              <w:t>度不小于</w:t>
            </w:r>
            <w:r>
              <w:rPr>
                <w:spacing w:val="-43"/>
                <w:sz w:val="20"/>
                <w:szCs w:val="20"/>
              </w:rPr>
              <w:t xml:space="preserve"> </w:t>
            </w:r>
            <w:r>
              <w:rPr>
                <w:rFonts w:ascii="Times New Roman" w:hAnsi="Times New Roman" w:eastAsia="Times New Roman" w:cs="Times New Roman"/>
                <w:spacing w:val="8"/>
                <w:sz w:val="20"/>
                <w:szCs w:val="20"/>
              </w:rPr>
              <w:t>200</w:t>
            </w:r>
            <w:r>
              <w:rPr>
                <w:rFonts w:ascii="Times New Roman" w:hAnsi="Times New Roman" w:eastAsia="Times New Roman" w:cs="Times New Roman"/>
                <w:sz w:val="20"/>
                <w:szCs w:val="20"/>
              </w:rPr>
              <w:t>mm</w:t>
            </w:r>
            <w:r>
              <w:rPr>
                <w:rFonts w:ascii="Times New Roman" w:hAnsi="Times New Roman" w:eastAsia="Times New Roman" w:cs="Times New Roman"/>
                <w:spacing w:val="31"/>
                <w:sz w:val="20"/>
                <w:szCs w:val="20"/>
              </w:rPr>
              <w:t xml:space="preserve"> </w:t>
            </w:r>
            <w:r>
              <w:rPr>
                <w:spacing w:val="8"/>
                <w:sz w:val="20"/>
                <w:szCs w:val="20"/>
              </w:rPr>
              <w:t>的</w:t>
            </w:r>
            <w:r>
              <w:rPr>
                <w:spacing w:val="-44"/>
                <w:sz w:val="20"/>
                <w:szCs w:val="20"/>
              </w:rPr>
              <w:t xml:space="preserve"> </w:t>
            </w:r>
            <w:r>
              <w:rPr>
                <w:rFonts w:ascii="Times New Roman" w:hAnsi="Times New Roman" w:eastAsia="Times New Roman" w:cs="Times New Roman"/>
                <w:spacing w:val="8"/>
                <w:sz w:val="20"/>
                <w:szCs w:val="20"/>
              </w:rPr>
              <w:t xml:space="preserve">P6 </w:t>
            </w:r>
            <w:r>
              <w:rPr>
                <w:spacing w:val="8"/>
                <w:sz w:val="20"/>
                <w:szCs w:val="20"/>
              </w:rPr>
              <w:t>抗渗混凝土硬化地面，其防渗技术要求可满足等效</w:t>
            </w:r>
            <w:r>
              <w:rPr>
                <w:sz w:val="20"/>
                <w:szCs w:val="20"/>
              </w:rPr>
              <w:t xml:space="preserve">  </w:t>
            </w:r>
            <w:r>
              <w:rPr>
                <w:spacing w:val="4"/>
                <w:sz w:val="20"/>
                <w:szCs w:val="20"/>
              </w:rPr>
              <w:t>黏土防渗层</w:t>
            </w:r>
            <w:r>
              <w:rPr>
                <w:spacing w:val="-36"/>
                <w:sz w:val="20"/>
                <w:szCs w:val="20"/>
              </w:rPr>
              <w:t xml:space="preserve"> </w:t>
            </w:r>
            <w:r>
              <w:rPr>
                <w:rFonts w:ascii="Times New Roman" w:hAnsi="Times New Roman" w:eastAsia="Times New Roman" w:cs="Times New Roman"/>
                <w:sz w:val="20"/>
                <w:szCs w:val="20"/>
              </w:rPr>
              <w:t>Mb</w:t>
            </w:r>
            <w:r>
              <w:rPr>
                <w:spacing w:val="4"/>
                <w:sz w:val="20"/>
                <w:szCs w:val="20"/>
              </w:rPr>
              <w:t>≥</w:t>
            </w:r>
            <w:r>
              <w:rPr>
                <w:rFonts w:ascii="Times New Roman" w:hAnsi="Times New Roman" w:eastAsia="Times New Roman" w:cs="Times New Roman"/>
                <w:spacing w:val="4"/>
                <w:sz w:val="20"/>
                <w:szCs w:val="20"/>
              </w:rPr>
              <w:t>1.5m</w:t>
            </w:r>
            <w:r>
              <w:rPr>
                <w:rFonts w:ascii="Times New Roman" w:hAnsi="Times New Roman" w:eastAsia="Times New Roman" w:cs="Times New Roman"/>
                <w:spacing w:val="-24"/>
                <w:sz w:val="20"/>
                <w:szCs w:val="20"/>
              </w:rPr>
              <w:t xml:space="preserve"> </w:t>
            </w:r>
            <w:r>
              <w:rPr>
                <w:spacing w:val="4"/>
                <w:sz w:val="20"/>
                <w:szCs w:val="20"/>
              </w:rPr>
              <w:t>，</w:t>
            </w:r>
            <w:r>
              <w:rPr>
                <w:rFonts w:ascii="Times New Roman" w:hAnsi="Times New Roman" w:eastAsia="Times New Roman" w:cs="Times New Roman"/>
                <w:spacing w:val="4"/>
                <w:sz w:val="20"/>
                <w:szCs w:val="20"/>
              </w:rPr>
              <w:t>K</w:t>
            </w:r>
            <w:r>
              <w:rPr>
                <w:spacing w:val="4"/>
                <w:sz w:val="20"/>
                <w:szCs w:val="20"/>
              </w:rPr>
              <w:t>≤</w:t>
            </w:r>
            <w:r>
              <w:rPr>
                <w:rFonts w:ascii="Times New Roman" w:hAnsi="Times New Roman" w:eastAsia="Times New Roman" w:cs="Times New Roman"/>
                <w:spacing w:val="4"/>
                <w:sz w:val="20"/>
                <w:szCs w:val="20"/>
              </w:rPr>
              <w:t>1</w:t>
            </w:r>
            <w:r>
              <w:rPr>
                <w:spacing w:val="4"/>
                <w:sz w:val="20"/>
                <w:szCs w:val="20"/>
              </w:rPr>
              <w:t>×</w:t>
            </w:r>
            <w:r>
              <w:rPr>
                <w:spacing w:val="-73"/>
                <w:sz w:val="20"/>
                <w:szCs w:val="20"/>
              </w:rPr>
              <w:t xml:space="preserve"> </w:t>
            </w:r>
            <w:r>
              <w:rPr>
                <w:rFonts w:ascii="Times New Roman" w:hAnsi="Times New Roman" w:eastAsia="Times New Roman" w:cs="Times New Roman"/>
                <w:spacing w:val="4"/>
                <w:sz w:val="20"/>
                <w:szCs w:val="20"/>
              </w:rPr>
              <w:t>10</w:t>
            </w:r>
            <w:r>
              <w:rPr>
                <w:rFonts w:ascii="Times New Roman" w:hAnsi="Times New Roman" w:eastAsia="Times New Roman" w:cs="Times New Roman"/>
                <w:spacing w:val="4"/>
                <w:position w:val="6"/>
                <w:sz w:val="13"/>
                <w:szCs w:val="13"/>
              </w:rPr>
              <w:t>-7</w:t>
            </w:r>
            <w:r>
              <w:rPr>
                <w:rFonts w:ascii="Times New Roman" w:hAnsi="Times New Roman" w:eastAsia="Times New Roman" w:cs="Times New Roman"/>
                <w:sz w:val="20"/>
                <w:szCs w:val="20"/>
              </w:rPr>
              <w:t>cm</w:t>
            </w:r>
            <w:r>
              <w:rPr>
                <w:rFonts w:ascii="Times New Roman" w:hAnsi="Times New Roman" w:eastAsia="Times New Roman" w:cs="Times New Roman"/>
                <w:spacing w:val="4"/>
                <w:sz w:val="20"/>
                <w:szCs w:val="20"/>
              </w:rPr>
              <w:t>/s</w:t>
            </w:r>
            <w:r>
              <w:rPr>
                <w:rFonts w:ascii="Times New Roman" w:hAnsi="Times New Roman" w:eastAsia="Times New Roman" w:cs="Times New Roman"/>
                <w:spacing w:val="15"/>
                <w:w w:val="101"/>
                <w:sz w:val="20"/>
                <w:szCs w:val="20"/>
              </w:rPr>
              <w:t xml:space="preserve">  </w:t>
            </w:r>
            <w:r>
              <w:rPr>
                <w:spacing w:val="4"/>
                <w:sz w:val="20"/>
                <w:szCs w:val="20"/>
              </w:rPr>
              <w:t>的要求。</w:t>
            </w:r>
          </w:p>
          <w:p w14:paraId="683AD194">
            <w:pPr>
              <w:pStyle w:val="6"/>
              <w:spacing w:before="30" w:line="227" w:lineRule="auto"/>
              <w:ind w:left="109"/>
              <w:rPr>
                <w:sz w:val="20"/>
                <w:szCs w:val="20"/>
              </w:rPr>
            </w:pPr>
            <w:r>
              <w:rPr>
                <w:spacing w:val="9"/>
                <w:sz w:val="20"/>
                <w:szCs w:val="20"/>
              </w:rPr>
              <w:t>厂区地面、办公区、接待办地面采取简单防渗措施：地面硬化。</w:t>
            </w:r>
          </w:p>
          <w:p w14:paraId="1AD58040">
            <w:pPr>
              <w:pStyle w:val="6"/>
              <w:spacing w:before="76" w:line="251" w:lineRule="auto"/>
              <w:ind w:left="106" w:right="205" w:firstLine="2"/>
              <w:rPr>
                <w:sz w:val="20"/>
                <w:szCs w:val="20"/>
              </w:rPr>
            </w:pPr>
            <w:r>
              <w:rPr>
                <w:spacing w:val="7"/>
                <w:sz w:val="20"/>
                <w:szCs w:val="20"/>
              </w:rPr>
              <w:t>涉及防渗的工程（拆解区、危险废物贮存库、导流槽、收集</w:t>
            </w:r>
            <w:r>
              <w:rPr>
                <w:spacing w:val="6"/>
                <w:sz w:val="20"/>
                <w:szCs w:val="20"/>
              </w:rPr>
              <w:t>池等）在施工过</w:t>
            </w:r>
            <w:r>
              <w:rPr>
                <w:sz w:val="20"/>
                <w:szCs w:val="20"/>
              </w:rPr>
              <w:t xml:space="preserve"> </w:t>
            </w:r>
            <w:r>
              <w:rPr>
                <w:spacing w:val="8"/>
                <w:sz w:val="20"/>
                <w:szCs w:val="20"/>
              </w:rPr>
              <w:t>程中，必须留有影像资料备查。</w:t>
            </w:r>
          </w:p>
        </w:tc>
      </w:tr>
      <w:tr w14:paraId="496C82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31" w:hRule="atLeast"/>
        </w:trPr>
        <w:tc>
          <w:tcPr>
            <w:tcW w:w="664" w:type="dxa"/>
            <w:vMerge w:val="continue"/>
            <w:tcBorders>
              <w:top w:val="nil"/>
              <w:left w:val="single" w:color="000000" w:sz="10" w:space="0"/>
              <w:bottom w:val="nil"/>
            </w:tcBorders>
            <w:vAlign w:val="top"/>
          </w:tcPr>
          <w:p w14:paraId="5355CAB6">
            <w:pPr>
              <w:rPr>
                <w:rFonts w:ascii="Arial"/>
                <w:sz w:val="21"/>
              </w:rPr>
            </w:pPr>
          </w:p>
        </w:tc>
        <w:tc>
          <w:tcPr>
            <w:tcW w:w="506" w:type="dxa"/>
            <w:vMerge w:val="continue"/>
            <w:tcBorders>
              <w:top w:val="nil"/>
              <w:bottom w:val="single" w:color="000000" w:sz="10" w:space="0"/>
            </w:tcBorders>
            <w:vAlign w:val="top"/>
          </w:tcPr>
          <w:p w14:paraId="466B1884">
            <w:pPr>
              <w:rPr>
                <w:rFonts w:ascii="Arial"/>
                <w:sz w:val="21"/>
              </w:rPr>
            </w:pPr>
          </w:p>
        </w:tc>
        <w:tc>
          <w:tcPr>
            <w:tcW w:w="579" w:type="dxa"/>
            <w:gridSpan w:val="2"/>
            <w:tcBorders>
              <w:bottom w:val="single" w:color="000000" w:sz="10" w:space="0"/>
            </w:tcBorders>
            <w:textDirection w:val="tbRlV"/>
            <w:vAlign w:val="top"/>
          </w:tcPr>
          <w:p w14:paraId="26397AFF">
            <w:pPr>
              <w:pStyle w:val="6"/>
              <w:spacing w:before="191" w:line="217" w:lineRule="auto"/>
              <w:ind w:left="88"/>
              <w:rPr>
                <w:sz w:val="20"/>
                <w:szCs w:val="20"/>
              </w:rPr>
            </w:pPr>
            <w:r>
              <w:rPr>
                <w:spacing w:val="9"/>
                <w:sz w:val="20"/>
                <w:szCs w:val="20"/>
              </w:rPr>
              <w:t>环 境</w:t>
            </w:r>
            <w:r>
              <w:rPr>
                <w:spacing w:val="11"/>
                <w:sz w:val="20"/>
                <w:szCs w:val="20"/>
              </w:rPr>
              <w:t xml:space="preserve"> </w:t>
            </w:r>
            <w:r>
              <w:rPr>
                <w:spacing w:val="9"/>
                <w:sz w:val="20"/>
                <w:szCs w:val="20"/>
              </w:rPr>
              <w:t>风</w:t>
            </w:r>
            <w:r>
              <w:rPr>
                <w:spacing w:val="11"/>
                <w:sz w:val="20"/>
                <w:szCs w:val="20"/>
              </w:rPr>
              <w:t xml:space="preserve"> </w:t>
            </w:r>
            <w:r>
              <w:rPr>
                <w:spacing w:val="9"/>
                <w:sz w:val="20"/>
                <w:szCs w:val="20"/>
              </w:rPr>
              <w:t>险</w:t>
            </w:r>
            <w:r>
              <w:rPr>
                <w:spacing w:val="13"/>
                <w:sz w:val="20"/>
                <w:szCs w:val="20"/>
              </w:rPr>
              <w:t xml:space="preserve"> </w:t>
            </w:r>
            <w:r>
              <w:rPr>
                <w:spacing w:val="9"/>
                <w:sz w:val="20"/>
                <w:szCs w:val="20"/>
              </w:rPr>
              <w:t>措</w:t>
            </w:r>
            <w:r>
              <w:rPr>
                <w:spacing w:val="10"/>
                <w:sz w:val="20"/>
                <w:szCs w:val="20"/>
              </w:rPr>
              <w:t xml:space="preserve"> </w:t>
            </w:r>
            <w:r>
              <w:rPr>
                <w:spacing w:val="9"/>
                <w:sz w:val="20"/>
                <w:szCs w:val="20"/>
              </w:rPr>
              <w:t>施</w:t>
            </w:r>
          </w:p>
        </w:tc>
        <w:tc>
          <w:tcPr>
            <w:tcW w:w="7155" w:type="dxa"/>
            <w:gridSpan w:val="5"/>
            <w:tcBorders>
              <w:bottom w:val="single" w:color="000000" w:sz="10" w:space="0"/>
              <w:right w:val="single" w:color="000000" w:sz="10" w:space="0"/>
            </w:tcBorders>
            <w:vAlign w:val="top"/>
          </w:tcPr>
          <w:p w14:paraId="29B23AE7">
            <w:pPr>
              <w:pStyle w:val="6"/>
              <w:spacing w:before="90" w:line="278" w:lineRule="auto"/>
              <w:ind w:left="106" w:right="205" w:firstLine="15"/>
              <w:rPr>
                <w:sz w:val="20"/>
                <w:szCs w:val="20"/>
              </w:rPr>
            </w:pPr>
            <w:r>
              <w:rPr>
                <w:spacing w:val="9"/>
                <w:sz w:val="20"/>
                <w:szCs w:val="20"/>
              </w:rPr>
              <w:t>1）危险废物贮存库、拆解区、导流槽、收集池等重点防渗。本项目危险废</w:t>
            </w:r>
            <w:r>
              <w:rPr>
                <w:spacing w:val="13"/>
                <w:sz w:val="20"/>
                <w:szCs w:val="20"/>
              </w:rPr>
              <w:t xml:space="preserve"> </w:t>
            </w:r>
            <w:r>
              <w:rPr>
                <w:spacing w:val="6"/>
                <w:sz w:val="20"/>
                <w:szCs w:val="20"/>
              </w:rPr>
              <w:t>贮存库四周</w:t>
            </w:r>
            <w:r>
              <w:rPr>
                <w:spacing w:val="-33"/>
                <w:sz w:val="20"/>
                <w:szCs w:val="20"/>
              </w:rPr>
              <w:t xml:space="preserve"> </w:t>
            </w:r>
            <w:r>
              <w:rPr>
                <w:spacing w:val="6"/>
                <w:sz w:val="20"/>
                <w:szCs w:val="20"/>
              </w:rPr>
              <w:t>0.4m×0.5m</w:t>
            </w:r>
            <w:r>
              <w:rPr>
                <w:spacing w:val="-32"/>
                <w:sz w:val="20"/>
                <w:szCs w:val="20"/>
              </w:rPr>
              <w:t xml:space="preserve"> </w:t>
            </w:r>
            <w:r>
              <w:rPr>
                <w:spacing w:val="6"/>
                <w:sz w:val="20"/>
                <w:szCs w:val="20"/>
              </w:rPr>
              <w:t>导流槽，于拆解车间外侧西南角建设</w:t>
            </w:r>
            <w:r>
              <w:rPr>
                <w:spacing w:val="-22"/>
                <w:sz w:val="20"/>
                <w:szCs w:val="20"/>
              </w:rPr>
              <w:t xml:space="preserve"> </w:t>
            </w:r>
            <w:r>
              <w:rPr>
                <w:spacing w:val="6"/>
                <w:sz w:val="20"/>
                <w:szCs w:val="20"/>
              </w:rPr>
              <w:t>10m</w:t>
            </w:r>
            <w:r>
              <w:rPr>
                <w:spacing w:val="6"/>
                <w:position w:val="10"/>
                <w:sz w:val="10"/>
                <w:szCs w:val="10"/>
              </w:rPr>
              <w:t>3</w:t>
            </w:r>
            <w:r>
              <w:rPr>
                <w:spacing w:val="-15"/>
                <w:position w:val="10"/>
                <w:sz w:val="10"/>
                <w:szCs w:val="10"/>
              </w:rPr>
              <w:t xml:space="preserve"> </w:t>
            </w:r>
            <w:r>
              <w:rPr>
                <w:spacing w:val="6"/>
                <w:sz w:val="20"/>
                <w:szCs w:val="20"/>
              </w:rPr>
              <w:t>事故收集</w:t>
            </w:r>
            <w:r>
              <w:rPr>
                <w:sz w:val="20"/>
                <w:szCs w:val="20"/>
              </w:rPr>
              <w:t xml:space="preserve"> </w:t>
            </w:r>
            <w:r>
              <w:rPr>
                <w:spacing w:val="7"/>
                <w:sz w:val="20"/>
                <w:szCs w:val="20"/>
              </w:rPr>
              <w:t>池，1</w:t>
            </w:r>
            <w:r>
              <w:rPr>
                <w:spacing w:val="-5"/>
                <w:sz w:val="20"/>
                <w:szCs w:val="20"/>
              </w:rPr>
              <w:t xml:space="preserve"> </w:t>
            </w:r>
            <w:r>
              <w:rPr>
                <w:spacing w:val="7"/>
                <w:sz w:val="20"/>
                <w:szCs w:val="20"/>
              </w:rPr>
              <w:t>台移动式隔油处理设施，在拆解车间、储存区、危废暂存点等处配备</w:t>
            </w:r>
            <w:r>
              <w:rPr>
                <w:sz w:val="20"/>
                <w:szCs w:val="20"/>
              </w:rPr>
              <w:t xml:space="preserve"> </w:t>
            </w:r>
            <w:r>
              <w:rPr>
                <w:spacing w:val="8"/>
                <w:sz w:val="20"/>
                <w:szCs w:val="20"/>
              </w:rPr>
              <w:t>灭火器、消火栓、消防沙；</w:t>
            </w:r>
          </w:p>
          <w:p w14:paraId="57BFFF67">
            <w:pPr>
              <w:pStyle w:val="6"/>
              <w:spacing w:before="74" w:line="228" w:lineRule="auto"/>
              <w:ind w:left="109"/>
              <w:rPr>
                <w:sz w:val="20"/>
                <w:szCs w:val="20"/>
              </w:rPr>
            </w:pPr>
            <w:r>
              <w:rPr>
                <w:spacing w:val="7"/>
                <w:sz w:val="20"/>
                <w:szCs w:val="20"/>
              </w:rPr>
              <w:t>2）编制突发环境事件应急预案；</w:t>
            </w:r>
          </w:p>
          <w:p w14:paraId="6AB1B2DA">
            <w:pPr>
              <w:pStyle w:val="6"/>
              <w:spacing w:before="72" w:line="214" w:lineRule="auto"/>
              <w:ind w:left="111"/>
              <w:rPr>
                <w:sz w:val="20"/>
                <w:szCs w:val="20"/>
              </w:rPr>
            </w:pPr>
            <w:r>
              <w:rPr>
                <w:spacing w:val="8"/>
                <w:sz w:val="20"/>
                <w:szCs w:val="20"/>
              </w:rPr>
              <w:t>3）定期进行突发环境事件应急演练。</w:t>
            </w:r>
          </w:p>
        </w:tc>
      </w:tr>
      <w:tr w14:paraId="36BA66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7" w:hRule="atLeast"/>
        </w:trPr>
        <w:tc>
          <w:tcPr>
            <w:tcW w:w="664" w:type="dxa"/>
            <w:vMerge w:val="continue"/>
            <w:tcBorders>
              <w:top w:val="nil"/>
              <w:left w:val="single" w:color="000000" w:sz="10" w:space="0"/>
              <w:bottom w:val="nil"/>
            </w:tcBorders>
            <w:vAlign w:val="top"/>
          </w:tcPr>
          <w:p w14:paraId="59170FF7">
            <w:pPr>
              <w:rPr>
                <w:rFonts w:ascii="Arial"/>
                <w:sz w:val="21"/>
              </w:rPr>
            </w:pPr>
          </w:p>
        </w:tc>
        <w:tc>
          <w:tcPr>
            <w:tcW w:w="8240" w:type="dxa"/>
            <w:gridSpan w:val="8"/>
            <w:tcBorders>
              <w:top w:val="single" w:color="000000" w:sz="10" w:space="0"/>
              <w:bottom w:val="single" w:color="000000" w:sz="10" w:space="0"/>
              <w:right w:val="single" w:color="000000" w:sz="10" w:space="0"/>
            </w:tcBorders>
            <w:vAlign w:val="top"/>
          </w:tcPr>
          <w:p w14:paraId="1924C209">
            <w:pPr>
              <w:pStyle w:val="6"/>
              <w:spacing w:before="121" w:line="220" w:lineRule="auto"/>
              <w:ind w:left="579"/>
            </w:pPr>
            <w:r>
              <w:rPr>
                <w:rFonts w:ascii="Times New Roman" w:hAnsi="Times New Roman" w:eastAsia="Times New Roman" w:cs="Times New Roman"/>
                <w:b/>
                <w:bCs/>
                <w:spacing w:val="-6"/>
              </w:rPr>
              <w:t>2</w:t>
            </w:r>
            <w:r>
              <w:rPr>
                <w:rFonts w:ascii="Times New Roman" w:hAnsi="Times New Roman" w:eastAsia="Times New Roman" w:cs="Times New Roman"/>
                <w:b/>
                <w:bCs/>
                <w:spacing w:val="-32"/>
              </w:rPr>
              <w:t xml:space="preserve"> </w:t>
            </w:r>
            <w:r>
              <w:rPr>
                <w:b/>
                <w:bCs/>
                <w:spacing w:val="-6"/>
              </w:rPr>
              <w:t>、项目主要设备</w:t>
            </w:r>
          </w:p>
          <w:p w14:paraId="58D4119E">
            <w:pPr>
              <w:pStyle w:val="6"/>
              <w:spacing w:before="182" w:line="219" w:lineRule="auto"/>
              <w:ind w:left="587"/>
            </w:pPr>
            <w:r>
              <w:rPr>
                <w:spacing w:val="-2"/>
              </w:rPr>
              <w:t>项目主要设备见下表。</w:t>
            </w:r>
          </w:p>
          <w:p w14:paraId="3AEC145F">
            <w:pPr>
              <w:pStyle w:val="6"/>
              <w:spacing w:before="182" w:line="220" w:lineRule="auto"/>
              <w:ind w:left="2485"/>
            </w:pPr>
            <w:r>
              <w:rPr>
                <w:b/>
                <w:bCs/>
                <w:spacing w:val="-2"/>
              </w:rPr>
              <w:t>表</w:t>
            </w:r>
            <w:r>
              <w:rPr>
                <w:spacing w:val="-47"/>
              </w:rPr>
              <w:t xml:space="preserve"> </w:t>
            </w:r>
            <w:r>
              <w:rPr>
                <w:rFonts w:ascii="Times New Roman" w:hAnsi="Times New Roman" w:eastAsia="Times New Roman" w:cs="Times New Roman"/>
                <w:b/>
                <w:bCs/>
                <w:spacing w:val="-2"/>
              </w:rPr>
              <w:t xml:space="preserve">2-2        </w:t>
            </w:r>
            <w:r>
              <w:rPr>
                <w:b/>
                <w:bCs/>
                <w:spacing w:val="-2"/>
              </w:rPr>
              <w:t>项目主要设备一览表</w:t>
            </w:r>
          </w:p>
        </w:tc>
      </w:tr>
      <w:tr w14:paraId="5A6B56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664" w:type="dxa"/>
            <w:vMerge w:val="continue"/>
            <w:tcBorders>
              <w:top w:val="nil"/>
              <w:left w:val="single" w:color="000000" w:sz="10" w:space="0"/>
              <w:bottom w:val="nil"/>
            </w:tcBorders>
            <w:vAlign w:val="top"/>
          </w:tcPr>
          <w:p w14:paraId="7C84FAD0">
            <w:pPr>
              <w:rPr>
                <w:rFonts w:ascii="Arial"/>
                <w:sz w:val="21"/>
              </w:rPr>
            </w:pPr>
          </w:p>
        </w:tc>
        <w:tc>
          <w:tcPr>
            <w:tcW w:w="892" w:type="dxa"/>
            <w:gridSpan w:val="2"/>
            <w:tcBorders>
              <w:top w:val="single" w:color="000000" w:sz="10" w:space="0"/>
            </w:tcBorders>
            <w:vAlign w:val="top"/>
          </w:tcPr>
          <w:p w14:paraId="1F60BF9C">
            <w:pPr>
              <w:pStyle w:val="6"/>
              <w:spacing w:before="83" w:line="204" w:lineRule="auto"/>
              <w:ind w:left="281"/>
              <w:rPr>
                <w:sz w:val="20"/>
                <w:szCs w:val="20"/>
              </w:rPr>
            </w:pPr>
            <w:r>
              <w:rPr>
                <w:b/>
                <w:bCs/>
                <w:spacing w:val="4"/>
                <w:sz w:val="20"/>
                <w:szCs w:val="20"/>
              </w:rPr>
              <w:t>序号</w:t>
            </w:r>
          </w:p>
        </w:tc>
        <w:tc>
          <w:tcPr>
            <w:tcW w:w="2317" w:type="dxa"/>
            <w:gridSpan w:val="2"/>
            <w:tcBorders>
              <w:top w:val="single" w:color="000000" w:sz="10" w:space="0"/>
            </w:tcBorders>
            <w:vAlign w:val="top"/>
          </w:tcPr>
          <w:p w14:paraId="04E68944">
            <w:pPr>
              <w:pStyle w:val="6"/>
              <w:spacing w:before="83" w:line="204" w:lineRule="auto"/>
              <w:ind w:left="740"/>
              <w:rPr>
                <w:sz w:val="20"/>
                <w:szCs w:val="20"/>
              </w:rPr>
            </w:pPr>
            <w:r>
              <w:rPr>
                <w:b/>
                <w:bCs/>
                <w:spacing w:val="5"/>
                <w:sz w:val="20"/>
                <w:szCs w:val="20"/>
              </w:rPr>
              <w:t>设备名称</w:t>
            </w:r>
          </w:p>
        </w:tc>
        <w:tc>
          <w:tcPr>
            <w:tcW w:w="1123" w:type="dxa"/>
            <w:tcBorders>
              <w:top w:val="single" w:color="000000" w:sz="10" w:space="0"/>
            </w:tcBorders>
            <w:vAlign w:val="top"/>
          </w:tcPr>
          <w:p w14:paraId="74968F92">
            <w:pPr>
              <w:pStyle w:val="6"/>
              <w:spacing w:before="83" w:line="204" w:lineRule="auto"/>
              <w:ind w:left="363"/>
              <w:rPr>
                <w:sz w:val="20"/>
                <w:szCs w:val="20"/>
              </w:rPr>
            </w:pPr>
            <w:r>
              <w:rPr>
                <w:b/>
                <w:bCs/>
                <w:sz w:val="20"/>
                <w:szCs w:val="20"/>
              </w:rPr>
              <w:t>型号</w:t>
            </w:r>
          </w:p>
        </w:tc>
        <w:tc>
          <w:tcPr>
            <w:tcW w:w="655" w:type="dxa"/>
            <w:tcBorders>
              <w:top w:val="single" w:color="000000" w:sz="10" w:space="0"/>
            </w:tcBorders>
            <w:vAlign w:val="top"/>
          </w:tcPr>
          <w:p w14:paraId="7E4A68BF">
            <w:pPr>
              <w:pStyle w:val="6"/>
              <w:spacing w:before="83" w:line="204" w:lineRule="auto"/>
              <w:ind w:left="125"/>
              <w:rPr>
                <w:sz w:val="20"/>
                <w:szCs w:val="20"/>
              </w:rPr>
            </w:pPr>
            <w:r>
              <w:rPr>
                <w:b/>
                <w:bCs/>
                <w:spacing w:val="3"/>
                <w:sz w:val="20"/>
                <w:szCs w:val="20"/>
              </w:rPr>
              <w:t>单位</w:t>
            </w:r>
          </w:p>
        </w:tc>
        <w:tc>
          <w:tcPr>
            <w:tcW w:w="811" w:type="dxa"/>
            <w:tcBorders>
              <w:top w:val="single" w:color="000000" w:sz="10" w:space="0"/>
            </w:tcBorders>
            <w:vAlign w:val="top"/>
          </w:tcPr>
          <w:p w14:paraId="58D22966">
            <w:pPr>
              <w:pStyle w:val="6"/>
              <w:spacing w:before="83" w:line="204" w:lineRule="auto"/>
              <w:ind w:left="205"/>
              <w:rPr>
                <w:sz w:val="20"/>
                <w:szCs w:val="20"/>
              </w:rPr>
            </w:pPr>
            <w:r>
              <w:rPr>
                <w:b/>
                <w:bCs/>
                <w:spacing w:val="3"/>
                <w:sz w:val="20"/>
                <w:szCs w:val="20"/>
              </w:rPr>
              <w:t>数量</w:t>
            </w:r>
          </w:p>
        </w:tc>
        <w:tc>
          <w:tcPr>
            <w:tcW w:w="2442" w:type="dxa"/>
            <w:tcBorders>
              <w:top w:val="single" w:color="000000" w:sz="10" w:space="0"/>
              <w:right w:val="single" w:color="000000" w:sz="10" w:space="0"/>
            </w:tcBorders>
            <w:vAlign w:val="top"/>
          </w:tcPr>
          <w:p w14:paraId="54ACB850">
            <w:pPr>
              <w:pStyle w:val="6"/>
              <w:spacing w:before="83" w:line="204" w:lineRule="auto"/>
              <w:ind w:left="966"/>
              <w:rPr>
                <w:sz w:val="20"/>
                <w:szCs w:val="20"/>
              </w:rPr>
            </w:pPr>
            <w:r>
              <w:rPr>
                <w:b/>
                <w:bCs/>
                <w:spacing w:val="2"/>
                <w:sz w:val="20"/>
                <w:szCs w:val="20"/>
              </w:rPr>
              <w:t>备注</w:t>
            </w:r>
          </w:p>
        </w:tc>
      </w:tr>
      <w:tr w14:paraId="70E3BB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168B7BEB">
            <w:pPr>
              <w:rPr>
                <w:rFonts w:ascii="Arial"/>
                <w:sz w:val="21"/>
              </w:rPr>
            </w:pPr>
          </w:p>
        </w:tc>
        <w:tc>
          <w:tcPr>
            <w:tcW w:w="892" w:type="dxa"/>
            <w:gridSpan w:val="2"/>
            <w:vAlign w:val="top"/>
          </w:tcPr>
          <w:p w14:paraId="0FAA259D">
            <w:pPr>
              <w:spacing w:before="131" w:line="190" w:lineRule="auto"/>
              <w:ind w:left="457"/>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317" w:type="dxa"/>
            <w:gridSpan w:val="2"/>
            <w:vAlign w:val="top"/>
          </w:tcPr>
          <w:p w14:paraId="373825D1">
            <w:pPr>
              <w:pStyle w:val="6"/>
              <w:spacing w:before="95" w:line="202" w:lineRule="auto"/>
              <w:ind w:left="951"/>
              <w:rPr>
                <w:sz w:val="20"/>
                <w:szCs w:val="20"/>
              </w:rPr>
            </w:pPr>
            <w:r>
              <w:rPr>
                <w:spacing w:val="4"/>
                <w:sz w:val="20"/>
                <w:szCs w:val="20"/>
              </w:rPr>
              <w:t>铲车</w:t>
            </w:r>
          </w:p>
        </w:tc>
        <w:tc>
          <w:tcPr>
            <w:tcW w:w="1123" w:type="dxa"/>
            <w:vAlign w:val="top"/>
          </w:tcPr>
          <w:p w14:paraId="406FBE17">
            <w:pPr>
              <w:spacing w:before="128" w:line="194" w:lineRule="auto"/>
              <w:ind w:left="53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655" w:type="dxa"/>
            <w:vAlign w:val="top"/>
          </w:tcPr>
          <w:p w14:paraId="55C4C54B">
            <w:pPr>
              <w:pStyle w:val="6"/>
              <w:spacing w:before="95" w:line="202" w:lineRule="auto"/>
              <w:ind w:left="245"/>
              <w:rPr>
                <w:sz w:val="20"/>
                <w:szCs w:val="20"/>
              </w:rPr>
            </w:pPr>
            <w:r>
              <w:rPr>
                <w:sz w:val="20"/>
                <w:szCs w:val="20"/>
              </w:rPr>
              <w:t>台</w:t>
            </w:r>
          </w:p>
        </w:tc>
        <w:tc>
          <w:tcPr>
            <w:tcW w:w="811" w:type="dxa"/>
            <w:vAlign w:val="top"/>
          </w:tcPr>
          <w:p w14:paraId="14297DE5">
            <w:pPr>
              <w:spacing w:before="131" w:line="190" w:lineRule="auto"/>
              <w:ind w:left="38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442" w:type="dxa"/>
            <w:tcBorders>
              <w:right w:val="single" w:color="000000" w:sz="10" w:space="0"/>
            </w:tcBorders>
            <w:vAlign w:val="top"/>
          </w:tcPr>
          <w:p w14:paraId="227D6A5D">
            <w:pPr>
              <w:pStyle w:val="6"/>
              <w:spacing w:before="95" w:line="202" w:lineRule="auto"/>
              <w:ind w:left="755"/>
              <w:rPr>
                <w:sz w:val="20"/>
                <w:szCs w:val="20"/>
              </w:rPr>
            </w:pPr>
            <w:r>
              <w:rPr>
                <w:spacing w:val="7"/>
                <w:sz w:val="20"/>
                <w:szCs w:val="20"/>
              </w:rPr>
              <w:t>装卸设备</w:t>
            </w:r>
          </w:p>
        </w:tc>
      </w:tr>
      <w:tr w14:paraId="09A26B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591E75DC">
            <w:pPr>
              <w:rPr>
                <w:rFonts w:ascii="Arial"/>
                <w:sz w:val="21"/>
              </w:rPr>
            </w:pPr>
          </w:p>
        </w:tc>
        <w:tc>
          <w:tcPr>
            <w:tcW w:w="892" w:type="dxa"/>
            <w:gridSpan w:val="2"/>
            <w:vAlign w:val="top"/>
          </w:tcPr>
          <w:p w14:paraId="3ACCC3FA">
            <w:pPr>
              <w:spacing w:before="131" w:line="190" w:lineRule="auto"/>
              <w:ind w:left="436"/>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317" w:type="dxa"/>
            <w:gridSpan w:val="2"/>
            <w:vAlign w:val="top"/>
          </w:tcPr>
          <w:p w14:paraId="26F3DF18">
            <w:pPr>
              <w:pStyle w:val="6"/>
              <w:spacing w:before="95" w:line="202" w:lineRule="auto"/>
              <w:ind w:left="844"/>
              <w:rPr>
                <w:sz w:val="20"/>
                <w:szCs w:val="20"/>
              </w:rPr>
            </w:pPr>
            <w:r>
              <w:rPr>
                <w:spacing w:val="6"/>
                <w:sz w:val="20"/>
                <w:szCs w:val="20"/>
              </w:rPr>
              <w:t>鹰嘴钳</w:t>
            </w:r>
          </w:p>
        </w:tc>
        <w:tc>
          <w:tcPr>
            <w:tcW w:w="1123" w:type="dxa"/>
            <w:vAlign w:val="top"/>
          </w:tcPr>
          <w:p w14:paraId="7D4C6705">
            <w:pPr>
              <w:spacing w:before="128" w:line="194" w:lineRule="auto"/>
              <w:ind w:left="53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655" w:type="dxa"/>
            <w:vAlign w:val="top"/>
          </w:tcPr>
          <w:p w14:paraId="1539CEEA">
            <w:pPr>
              <w:pStyle w:val="6"/>
              <w:spacing w:before="95" w:line="202" w:lineRule="auto"/>
              <w:ind w:left="245"/>
              <w:rPr>
                <w:sz w:val="20"/>
                <w:szCs w:val="20"/>
              </w:rPr>
            </w:pPr>
            <w:r>
              <w:rPr>
                <w:sz w:val="20"/>
                <w:szCs w:val="20"/>
              </w:rPr>
              <w:t>台</w:t>
            </w:r>
          </w:p>
        </w:tc>
        <w:tc>
          <w:tcPr>
            <w:tcW w:w="811" w:type="dxa"/>
            <w:vAlign w:val="top"/>
          </w:tcPr>
          <w:p w14:paraId="4C88095F">
            <w:pPr>
              <w:spacing w:before="131" w:line="190" w:lineRule="auto"/>
              <w:ind w:left="38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442" w:type="dxa"/>
            <w:tcBorders>
              <w:right w:val="single" w:color="000000" w:sz="10" w:space="0"/>
            </w:tcBorders>
            <w:vAlign w:val="top"/>
          </w:tcPr>
          <w:p w14:paraId="44240CC1">
            <w:pPr>
              <w:pStyle w:val="6"/>
              <w:spacing w:before="95" w:line="202" w:lineRule="auto"/>
              <w:ind w:left="755"/>
              <w:rPr>
                <w:sz w:val="20"/>
                <w:szCs w:val="20"/>
              </w:rPr>
            </w:pPr>
            <w:r>
              <w:rPr>
                <w:spacing w:val="7"/>
                <w:sz w:val="20"/>
                <w:szCs w:val="20"/>
              </w:rPr>
              <w:t>拆解工具</w:t>
            </w:r>
          </w:p>
        </w:tc>
      </w:tr>
      <w:tr w14:paraId="54B29F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1843CC7A">
            <w:pPr>
              <w:rPr>
                <w:rFonts w:ascii="Arial"/>
                <w:sz w:val="21"/>
              </w:rPr>
            </w:pPr>
          </w:p>
        </w:tc>
        <w:tc>
          <w:tcPr>
            <w:tcW w:w="892" w:type="dxa"/>
            <w:gridSpan w:val="2"/>
            <w:vAlign w:val="top"/>
          </w:tcPr>
          <w:p w14:paraId="40957E1A">
            <w:pPr>
              <w:spacing w:before="133" w:line="188" w:lineRule="auto"/>
              <w:ind w:left="441"/>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317" w:type="dxa"/>
            <w:gridSpan w:val="2"/>
            <w:vAlign w:val="top"/>
          </w:tcPr>
          <w:p w14:paraId="2AB79A3E">
            <w:pPr>
              <w:pStyle w:val="6"/>
              <w:spacing w:before="97" w:line="200" w:lineRule="auto"/>
              <w:ind w:left="952"/>
              <w:rPr>
                <w:sz w:val="20"/>
                <w:szCs w:val="20"/>
              </w:rPr>
            </w:pPr>
            <w:r>
              <w:rPr>
                <w:spacing w:val="3"/>
                <w:sz w:val="20"/>
                <w:szCs w:val="20"/>
              </w:rPr>
              <w:t>叉车</w:t>
            </w:r>
          </w:p>
        </w:tc>
        <w:tc>
          <w:tcPr>
            <w:tcW w:w="1123" w:type="dxa"/>
            <w:vAlign w:val="top"/>
          </w:tcPr>
          <w:p w14:paraId="4B29EB41">
            <w:pPr>
              <w:spacing w:before="130" w:line="192" w:lineRule="auto"/>
              <w:ind w:left="53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655" w:type="dxa"/>
            <w:vAlign w:val="top"/>
          </w:tcPr>
          <w:p w14:paraId="71411AB9">
            <w:pPr>
              <w:pStyle w:val="6"/>
              <w:spacing w:before="97" w:line="200" w:lineRule="auto"/>
              <w:ind w:left="245"/>
              <w:rPr>
                <w:sz w:val="20"/>
                <w:szCs w:val="20"/>
              </w:rPr>
            </w:pPr>
            <w:r>
              <w:rPr>
                <w:sz w:val="20"/>
                <w:szCs w:val="20"/>
              </w:rPr>
              <w:t>台</w:t>
            </w:r>
          </w:p>
        </w:tc>
        <w:tc>
          <w:tcPr>
            <w:tcW w:w="811" w:type="dxa"/>
            <w:vAlign w:val="top"/>
          </w:tcPr>
          <w:p w14:paraId="20908680">
            <w:pPr>
              <w:spacing w:before="133" w:line="188" w:lineRule="auto"/>
              <w:ind w:left="38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442" w:type="dxa"/>
            <w:tcBorders>
              <w:right w:val="single" w:color="000000" w:sz="10" w:space="0"/>
            </w:tcBorders>
            <w:vAlign w:val="top"/>
          </w:tcPr>
          <w:p w14:paraId="3CD63E05">
            <w:pPr>
              <w:pStyle w:val="6"/>
              <w:spacing w:before="97" w:line="200" w:lineRule="auto"/>
              <w:ind w:left="755"/>
              <w:rPr>
                <w:sz w:val="20"/>
                <w:szCs w:val="20"/>
              </w:rPr>
            </w:pPr>
            <w:r>
              <w:rPr>
                <w:spacing w:val="7"/>
                <w:sz w:val="20"/>
                <w:szCs w:val="20"/>
              </w:rPr>
              <w:t>装卸设备</w:t>
            </w:r>
          </w:p>
        </w:tc>
      </w:tr>
      <w:tr w14:paraId="31E767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4CE0730F">
            <w:pPr>
              <w:rPr>
                <w:rFonts w:ascii="Arial"/>
                <w:sz w:val="21"/>
              </w:rPr>
            </w:pPr>
          </w:p>
        </w:tc>
        <w:tc>
          <w:tcPr>
            <w:tcW w:w="892" w:type="dxa"/>
            <w:gridSpan w:val="2"/>
            <w:vAlign w:val="top"/>
          </w:tcPr>
          <w:p w14:paraId="67F4E53E">
            <w:pPr>
              <w:spacing w:before="133" w:line="188" w:lineRule="auto"/>
              <w:ind w:left="43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317" w:type="dxa"/>
            <w:gridSpan w:val="2"/>
            <w:vAlign w:val="top"/>
          </w:tcPr>
          <w:p w14:paraId="521C1990">
            <w:pPr>
              <w:pStyle w:val="6"/>
              <w:spacing w:before="97" w:line="200" w:lineRule="auto"/>
              <w:ind w:left="974"/>
              <w:rPr>
                <w:sz w:val="20"/>
                <w:szCs w:val="20"/>
              </w:rPr>
            </w:pPr>
            <w:r>
              <w:rPr>
                <w:spacing w:val="-8"/>
                <w:sz w:val="20"/>
                <w:szCs w:val="20"/>
              </w:rPr>
              <w:t>电钻</w:t>
            </w:r>
          </w:p>
        </w:tc>
        <w:tc>
          <w:tcPr>
            <w:tcW w:w="1123" w:type="dxa"/>
            <w:vAlign w:val="top"/>
          </w:tcPr>
          <w:p w14:paraId="5C6A3146">
            <w:pPr>
              <w:spacing w:before="130" w:line="192" w:lineRule="auto"/>
              <w:ind w:left="53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655" w:type="dxa"/>
            <w:vAlign w:val="top"/>
          </w:tcPr>
          <w:p w14:paraId="0E262DD3">
            <w:pPr>
              <w:pStyle w:val="6"/>
              <w:spacing w:before="97" w:line="200" w:lineRule="auto"/>
              <w:ind w:left="245"/>
              <w:rPr>
                <w:sz w:val="20"/>
                <w:szCs w:val="20"/>
              </w:rPr>
            </w:pPr>
            <w:r>
              <w:rPr>
                <w:sz w:val="20"/>
                <w:szCs w:val="20"/>
              </w:rPr>
              <w:t>台</w:t>
            </w:r>
          </w:p>
        </w:tc>
        <w:tc>
          <w:tcPr>
            <w:tcW w:w="811" w:type="dxa"/>
            <w:vAlign w:val="top"/>
          </w:tcPr>
          <w:p w14:paraId="7AC6A77F">
            <w:pPr>
              <w:spacing w:before="133" w:line="188" w:lineRule="auto"/>
              <w:ind w:left="38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442" w:type="dxa"/>
            <w:tcBorders>
              <w:right w:val="single" w:color="000000" w:sz="10" w:space="0"/>
            </w:tcBorders>
            <w:vAlign w:val="top"/>
          </w:tcPr>
          <w:p w14:paraId="1C871682">
            <w:pPr>
              <w:pStyle w:val="6"/>
              <w:spacing w:before="97" w:line="200" w:lineRule="auto"/>
              <w:ind w:left="755"/>
              <w:rPr>
                <w:sz w:val="20"/>
                <w:szCs w:val="20"/>
              </w:rPr>
            </w:pPr>
            <w:r>
              <w:rPr>
                <w:spacing w:val="7"/>
                <w:sz w:val="20"/>
                <w:szCs w:val="20"/>
              </w:rPr>
              <w:t>拆解工具</w:t>
            </w:r>
          </w:p>
        </w:tc>
      </w:tr>
      <w:tr w14:paraId="3309C9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64" w:type="dxa"/>
            <w:vMerge w:val="continue"/>
            <w:tcBorders>
              <w:top w:val="nil"/>
              <w:left w:val="single" w:color="000000" w:sz="10" w:space="0"/>
              <w:bottom w:val="nil"/>
            </w:tcBorders>
            <w:vAlign w:val="top"/>
          </w:tcPr>
          <w:p w14:paraId="40B72770">
            <w:pPr>
              <w:rPr>
                <w:rFonts w:ascii="Arial"/>
                <w:sz w:val="21"/>
              </w:rPr>
            </w:pPr>
          </w:p>
        </w:tc>
        <w:tc>
          <w:tcPr>
            <w:tcW w:w="892" w:type="dxa"/>
            <w:gridSpan w:val="2"/>
            <w:vAlign w:val="top"/>
          </w:tcPr>
          <w:p w14:paraId="769BF075">
            <w:pPr>
              <w:rPr>
                <w:rFonts w:ascii="Arial"/>
                <w:sz w:val="21"/>
              </w:rPr>
            </w:pPr>
          </w:p>
          <w:p w14:paraId="22212DD7">
            <w:pPr>
              <w:spacing w:before="57" w:line="192" w:lineRule="auto"/>
              <w:ind w:left="442"/>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317" w:type="dxa"/>
            <w:gridSpan w:val="2"/>
            <w:vAlign w:val="top"/>
          </w:tcPr>
          <w:p w14:paraId="0A33D1AE">
            <w:pPr>
              <w:pStyle w:val="6"/>
              <w:spacing w:before="260" w:line="227" w:lineRule="auto"/>
              <w:ind w:left="532"/>
              <w:rPr>
                <w:sz w:val="20"/>
                <w:szCs w:val="20"/>
              </w:rPr>
            </w:pPr>
            <w:r>
              <w:rPr>
                <w:spacing w:val="7"/>
                <w:sz w:val="20"/>
                <w:szCs w:val="20"/>
              </w:rPr>
              <w:t>等离子切割机</w:t>
            </w:r>
          </w:p>
        </w:tc>
        <w:tc>
          <w:tcPr>
            <w:tcW w:w="1123" w:type="dxa"/>
            <w:vAlign w:val="top"/>
          </w:tcPr>
          <w:p w14:paraId="426F14D9">
            <w:pPr>
              <w:spacing w:before="292" w:line="199" w:lineRule="auto"/>
              <w:ind w:left="53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655" w:type="dxa"/>
            <w:vAlign w:val="top"/>
          </w:tcPr>
          <w:p w14:paraId="5C44E2BA">
            <w:pPr>
              <w:pStyle w:val="6"/>
              <w:spacing w:before="260" w:line="230" w:lineRule="auto"/>
              <w:ind w:left="245"/>
              <w:rPr>
                <w:sz w:val="20"/>
                <w:szCs w:val="20"/>
              </w:rPr>
            </w:pPr>
            <w:r>
              <w:rPr>
                <w:sz w:val="20"/>
                <w:szCs w:val="20"/>
              </w:rPr>
              <w:t>台</w:t>
            </w:r>
          </w:p>
        </w:tc>
        <w:tc>
          <w:tcPr>
            <w:tcW w:w="811" w:type="dxa"/>
            <w:vAlign w:val="top"/>
          </w:tcPr>
          <w:p w14:paraId="38DB8A02">
            <w:pPr>
              <w:spacing w:before="296" w:line="195" w:lineRule="auto"/>
              <w:ind w:left="38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442" w:type="dxa"/>
            <w:tcBorders>
              <w:right w:val="single" w:color="000000" w:sz="10" w:space="0"/>
            </w:tcBorders>
            <w:vAlign w:val="top"/>
          </w:tcPr>
          <w:p w14:paraId="128AAD36">
            <w:pPr>
              <w:pStyle w:val="6"/>
              <w:spacing w:before="98" w:line="247" w:lineRule="auto"/>
              <w:ind w:left="149" w:right="133" w:hanging="100"/>
              <w:rPr>
                <w:sz w:val="20"/>
                <w:szCs w:val="20"/>
              </w:rPr>
            </w:pPr>
            <w:r>
              <w:rPr>
                <w:spacing w:val="4"/>
                <w:sz w:val="20"/>
                <w:szCs w:val="20"/>
              </w:rPr>
              <w:t>切割设备（自带空气压缩</w:t>
            </w:r>
            <w:r>
              <w:rPr>
                <w:sz w:val="20"/>
                <w:szCs w:val="20"/>
              </w:rPr>
              <w:t xml:space="preserve"> </w:t>
            </w:r>
            <w:r>
              <w:rPr>
                <w:spacing w:val="3"/>
                <w:sz w:val="20"/>
                <w:szCs w:val="20"/>
              </w:rPr>
              <w:t>机，工作气体为空气）</w:t>
            </w:r>
          </w:p>
        </w:tc>
      </w:tr>
      <w:tr w14:paraId="48916F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49EE49CB">
            <w:pPr>
              <w:rPr>
                <w:rFonts w:ascii="Arial"/>
                <w:sz w:val="21"/>
              </w:rPr>
            </w:pPr>
          </w:p>
        </w:tc>
        <w:tc>
          <w:tcPr>
            <w:tcW w:w="892" w:type="dxa"/>
            <w:gridSpan w:val="2"/>
            <w:vAlign w:val="top"/>
          </w:tcPr>
          <w:p w14:paraId="4AA08FBF">
            <w:pPr>
              <w:spacing w:before="137" w:line="184" w:lineRule="auto"/>
              <w:ind w:left="441"/>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317" w:type="dxa"/>
            <w:gridSpan w:val="2"/>
            <w:vAlign w:val="top"/>
          </w:tcPr>
          <w:p w14:paraId="6C628D1B">
            <w:pPr>
              <w:pStyle w:val="6"/>
              <w:spacing w:before="100" w:line="197" w:lineRule="auto"/>
              <w:ind w:left="845"/>
              <w:rPr>
                <w:sz w:val="20"/>
                <w:szCs w:val="20"/>
              </w:rPr>
            </w:pPr>
            <w:r>
              <w:rPr>
                <w:spacing w:val="6"/>
                <w:sz w:val="20"/>
                <w:szCs w:val="20"/>
              </w:rPr>
              <w:t>压力机</w:t>
            </w:r>
          </w:p>
        </w:tc>
        <w:tc>
          <w:tcPr>
            <w:tcW w:w="1123" w:type="dxa"/>
            <w:vAlign w:val="top"/>
          </w:tcPr>
          <w:p w14:paraId="50C301C9">
            <w:pPr>
              <w:rPr>
                <w:rFonts w:ascii="Arial"/>
                <w:sz w:val="21"/>
              </w:rPr>
            </w:pPr>
          </w:p>
        </w:tc>
        <w:tc>
          <w:tcPr>
            <w:tcW w:w="655" w:type="dxa"/>
            <w:vAlign w:val="top"/>
          </w:tcPr>
          <w:p w14:paraId="2CDA6129">
            <w:pPr>
              <w:pStyle w:val="6"/>
              <w:spacing w:before="100" w:line="197" w:lineRule="auto"/>
              <w:ind w:left="245"/>
              <w:rPr>
                <w:sz w:val="20"/>
                <w:szCs w:val="20"/>
              </w:rPr>
            </w:pPr>
            <w:r>
              <w:rPr>
                <w:sz w:val="20"/>
                <w:szCs w:val="20"/>
              </w:rPr>
              <w:t>台</w:t>
            </w:r>
          </w:p>
        </w:tc>
        <w:tc>
          <w:tcPr>
            <w:tcW w:w="811" w:type="dxa"/>
            <w:vAlign w:val="top"/>
          </w:tcPr>
          <w:p w14:paraId="53E6A5F2">
            <w:pPr>
              <w:pStyle w:val="6"/>
              <w:spacing w:before="133" w:line="167" w:lineRule="auto"/>
              <w:ind w:left="379"/>
              <w:rPr>
                <w:sz w:val="20"/>
                <w:szCs w:val="20"/>
              </w:rPr>
            </w:pPr>
            <w:r>
              <w:rPr>
                <w:sz w:val="20"/>
                <w:szCs w:val="20"/>
              </w:rPr>
              <w:t>1</w:t>
            </w:r>
          </w:p>
        </w:tc>
        <w:tc>
          <w:tcPr>
            <w:tcW w:w="2442" w:type="dxa"/>
            <w:tcBorders>
              <w:right w:val="single" w:color="000000" w:sz="10" w:space="0"/>
            </w:tcBorders>
            <w:vAlign w:val="top"/>
          </w:tcPr>
          <w:p w14:paraId="013B216F">
            <w:pPr>
              <w:pStyle w:val="6"/>
              <w:spacing w:before="100" w:line="197" w:lineRule="auto"/>
              <w:ind w:left="755"/>
              <w:rPr>
                <w:sz w:val="20"/>
                <w:szCs w:val="20"/>
              </w:rPr>
            </w:pPr>
            <w:r>
              <w:rPr>
                <w:spacing w:val="7"/>
                <w:sz w:val="20"/>
                <w:szCs w:val="20"/>
              </w:rPr>
              <w:t>拆解工具</w:t>
            </w:r>
          </w:p>
        </w:tc>
      </w:tr>
      <w:tr w14:paraId="0FF634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664" w:type="dxa"/>
            <w:vMerge w:val="continue"/>
            <w:tcBorders>
              <w:top w:val="nil"/>
              <w:left w:val="single" w:color="000000" w:sz="10" w:space="0"/>
              <w:bottom w:val="nil"/>
            </w:tcBorders>
            <w:vAlign w:val="top"/>
          </w:tcPr>
          <w:p w14:paraId="66884DE6">
            <w:pPr>
              <w:rPr>
                <w:rFonts w:ascii="Arial"/>
                <w:sz w:val="21"/>
              </w:rPr>
            </w:pPr>
          </w:p>
        </w:tc>
        <w:tc>
          <w:tcPr>
            <w:tcW w:w="892" w:type="dxa"/>
            <w:gridSpan w:val="2"/>
            <w:vAlign w:val="top"/>
          </w:tcPr>
          <w:p w14:paraId="212E73AA">
            <w:pPr>
              <w:spacing w:before="139" w:line="183" w:lineRule="auto"/>
              <w:ind w:left="440"/>
              <w:rPr>
                <w:rFonts w:ascii="Times New Roman" w:hAnsi="Times New Roman" w:eastAsia="Times New Roman" w:cs="Times New Roman"/>
                <w:sz w:val="20"/>
                <w:szCs w:val="20"/>
              </w:rPr>
            </w:pPr>
            <w:r>
              <w:rPr>
                <w:rFonts w:ascii="Times New Roman" w:hAnsi="Times New Roman" w:eastAsia="Times New Roman" w:cs="Times New Roman"/>
                <w:sz w:val="20"/>
                <w:szCs w:val="20"/>
              </w:rPr>
              <w:t>7</w:t>
            </w:r>
          </w:p>
        </w:tc>
        <w:tc>
          <w:tcPr>
            <w:tcW w:w="2317" w:type="dxa"/>
            <w:gridSpan w:val="2"/>
            <w:vAlign w:val="top"/>
          </w:tcPr>
          <w:p w14:paraId="00B688A0">
            <w:pPr>
              <w:pStyle w:val="6"/>
              <w:spacing w:before="100" w:line="198" w:lineRule="auto"/>
              <w:ind w:left="844"/>
              <w:rPr>
                <w:sz w:val="20"/>
                <w:szCs w:val="20"/>
              </w:rPr>
            </w:pPr>
            <w:r>
              <w:rPr>
                <w:spacing w:val="6"/>
                <w:sz w:val="20"/>
                <w:szCs w:val="20"/>
              </w:rPr>
              <w:t>千斤顶</w:t>
            </w:r>
          </w:p>
        </w:tc>
        <w:tc>
          <w:tcPr>
            <w:tcW w:w="1123" w:type="dxa"/>
            <w:vAlign w:val="top"/>
          </w:tcPr>
          <w:p w14:paraId="1A77EDD1">
            <w:pPr>
              <w:rPr>
                <w:rFonts w:ascii="Arial"/>
                <w:sz w:val="21"/>
              </w:rPr>
            </w:pPr>
          </w:p>
        </w:tc>
        <w:tc>
          <w:tcPr>
            <w:tcW w:w="655" w:type="dxa"/>
            <w:vAlign w:val="top"/>
          </w:tcPr>
          <w:p w14:paraId="426789AC">
            <w:pPr>
              <w:pStyle w:val="6"/>
              <w:spacing w:before="100" w:line="198" w:lineRule="auto"/>
              <w:ind w:left="230"/>
              <w:rPr>
                <w:sz w:val="20"/>
                <w:szCs w:val="20"/>
              </w:rPr>
            </w:pPr>
            <w:r>
              <w:rPr>
                <w:sz w:val="20"/>
                <w:szCs w:val="20"/>
              </w:rPr>
              <w:t>套</w:t>
            </w:r>
          </w:p>
        </w:tc>
        <w:tc>
          <w:tcPr>
            <w:tcW w:w="811" w:type="dxa"/>
            <w:vAlign w:val="top"/>
          </w:tcPr>
          <w:p w14:paraId="26E0C2CB">
            <w:pPr>
              <w:pStyle w:val="6"/>
              <w:spacing w:before="134" w:line="167" w:lineRule="auto"/>
              <w:ind w:left="366"/>
              <w:rPr>
                <w:sz w:val="20"/>
                <w:szCs w:val="20"/>
              </w:rPr>
            </w:pPr>
            <w:r>
              <w:rPr>
                <w:sz w:val="20"/>
                <w:szCs w:val="20"/>
              </w:rPr>
              <w:t>2</w:t>
            </w:r>
          </w:p>
        </w:tc>
        <w:tc>
          <w:tcPr>
            <w:tcW w:w="2442" w:type="dxa"/>
            <w:tcBorders>
              <w:right w:val="single" w:color="000000" w:sz="10" w:space="0"/>
            </w:tcBorders>
            <w:vAlign w:val="top"/>
          </w:tcPr>
          <w:p w14:paraId="5E646081">
            <w:pPr>
              <w:pStyle w:val="6"/>
              <w:spacing w:before="100" w:line="198" w:lineRule="auto"/>
              <w:ind w:left="755"/>
              <w:rPr>
                <w:sz w:val="20"/>
                <w:szCs w:val="20"/>
              </w:rPr>
            </w:pPr>
            <w:r>
              <w:rPr>
                <w:spacing w:val="7"/>
                <w:sz w:val="20"/>
                <w:szCs w:val="20"/>
              </w:rPr>
              <w:t>拆解工具</w:t>
            </w:r>
          </w:p>
        </w:tc>
      </w:tr>
      <w:tr w14:paraId="1B525C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664" w:type="dxa"/>
            <w:vMerge w:val="continue"/>
            <w:tcBorders>
              <w:top w:val="nil"/>
              <w:left w:val="single" w:color="000000" w:sz="10" w:space="0"/>
              <w:bottom w:val="nil"/>
            </w:tcBorders>
            <w:vAlign w:val="top"/>
          </w:tcPr>
          <w:p w14:paraId="7B800E6E">
            <w:pPr>
              <w:rPr>
                <w:rFonts w:ascii="Arial"/>
                <w:sz w:val="21"/>
              </w:rPr>
            </w:pPr>
          </w:p>
        </w:tc>
        <w:tc>
          <w:tcPr>
            <w:tcW w:w="892" w:type="dxa"/>
            <w:gridSpan w:val="2"/>
            <w:vAlign w:val="top"/>
          </w:tcPr>
          <w:p w14:paraId="7356B05D">
            <w:pPr>
              <w:spacing w:before="138" w:line="184" w:lineRule="auto"/>
              <w:ind w:left="445"/>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c>
          <w:tcPr>
            <w:tcW w:w="2317" w:type="dxa"/>
            <w:gridSpan w:val="2"/>
            <w:vAlign w:val="top"/>
          </w:tcPr>
          <w:p w14:paraId="3184767E">
            <w:pPr>
              <w:pStyle w:val="6"/>
              <w:spacing w:before="101" w:line="197" w:lineRule="auto"/>
              <w:ind w:left="739"/>
              <w:rPr>
                <w:sz w:val="20"/>
                <w:szCs w:val="20"/>
              </w:rPr>
            </w:pPr>
            <w:r>
              <w:rPr>
                <w:spacing w:val="7"/>
                <w:sz w:val="20"/>
                <w:szCs w:val="20"/>
              </w:rPr>
              <w:t>通用扳手</w:t>
            </w:r>
          </w:p>
        </w:tc>
        <w:tc>
          <w:tcPr>
            <w:tcW w:w="1123" w:type="dxa"/>
            <w:vAlign w:val="top"/>
          </w:tcPr>
          <w:p w14:paraId="37C21026">
            <w:pPr>
              <w:rPr>
                <w:rFonts w:ascii="Arial"/>
                <w:sz w:val="21"/>
              </w:rPr>
            </w:pPr>
          </w:p>
        </w:tc>
        <w:tc>
          <w:tcPr>
            <w:tcW w:w="655" w:type="dxa"/>
            <w:vAlign w:val="top"/>
          </w:tcPr>
          <w:p w14:paraId="47926F9B">
            <w:pPr>
              <w:pStyle w:val="6"/>
              <w:spacing w:before="101" w:line="197" w:lineRule="auto"/>
              <w:ind w:left="230"/>
              <w:rPr>
                <w:sz w:val="20"/>
                <w:szCs w:val="20"/>
              </w:rPr>
            </w:pPr>
            <w:r>
              <w:rPr>
                <w:sz w:val="20"/>
                <w:szCs w:val="20"/>
              </w:rPr>
              <w:t>套</w:t>
            </w:r>
          </w:p>
        </w:tc>
        <w:tc>
          <w:tcPr>
            <w:tcW w:w="811" w:type="dxa"/>
            <w:vAlign w:val="top"/>
          </w:tcPr>
          <w:p w14:paraId="738832C2">
            <w:pPr>
              <w:pStyle w:val="6"/>
              <w:spacing w:before="135" w:line="166" w:lineRule="auto"/>
              <w:ind w:left="363"/>
              <w:rPr>
                <w:sz w:val="20"/>
                <w:szCs w:val="20"/>
              </w:rPr>
            </w:pPr>
            <w:r>
              <w:rPr>
                <w:sz w:val="20"/>
                <w:szCs w:val="20"/>
              </w:rPr>
              <w:t>4</w:t>
            </w:r>
          </w:p>
        </w:tc>
        <w:tc>
          <w:tcPr>
            <w:tcW w:w="2442" w:type="dxa"/>
            <w:tcBorders>
              <w:right w:val="single" w:color="000000" w:sz="10" w:space="0"/>
            </w:tcBorders>
            <w:vAlign w:val="top"/>
          </w:tcPr>
          <w:p w14:paraId="066FE071">
            <w:pPr>
              <w:pStyle w:val="6"/>
              <w:spacing w:before="101" w:line="197" w:lineRule="auto"/>
              <w:ind w:left="755"/>
              <w:rPr>
                <w:sz w:val="20"/>
                <w:szCs w:val="20"/>
              </w:rPr>
            </w:pPr>
            <w:r>
              <w:rPr>
                <w:spacing w:val="7"/>
                <w:sz w:val="20"/>
                <w:szCs w:val="20"/>
              </w:rPr>
              <w:t>拆解工具</w:t>
            </w:r>
          </w:p>
        </w:tc>
      </w:tr>
      <w:tr w14:paraId="68DC4F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664" w:type="dxa"/>
            <w:vMerge w:val="continue"/>
            <w:tcBorders>
              <w:top w:val="nil"/>
              <w:left w:val="single" w:color="000000" w:sz="10" w:space="0"/>
              <w:bottom w:val="single" w:color="000000" w:sz="10" w:space="0"/>
            </w:tcBorders>
            <w:vAlign w:val="top"/>
          </w:tcPr>
          <w:p w14:paraId="680383A9">
            <w:pPr>
              <w:rPr>
                <w:rFonts w:ascii="Arial"/>
                <w:sz w:val="21"/>
              </w:rPr>
            </w:pPr>
          </w:p>
        </w:tc>
        <w:tc>
          <w:tcPr>
            <w:tcW w:w="892" w:type="dxa"/>
            <w:gridSpan w:val="2"/>
            <w:tcBorders>
              <w:bottom w:val="single" w:color="000000" w:sz="10" w:space="0"/>
            </w:tcBorders>
            <w:vAlign w:val="top"/>
          </w:tcPr>
          <w:p w14:paraId="7B729E3B">
            <w:pPr>
              <w:spacing w:before="136" w:line="195" w:lineRule="auto"/>
              <w:ind w:left="440"/>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c>
          <w:tcPr>
            <w:tcW w:w="2317" w:type="dxa"/>
            <w:gridSpan w:val="2"/>
            <w:tcBorders>
              <w:bottom w:val="single" w:color="000000" w:sz="10" w:space="0"/>
            </w:tcBorders>
            <w:vAlign w:val="top"/>
          </w:tcPr>
          <w:p w14:paraId="326475C0">
            <w:pPr>
              <w:pStyle w:val="6"/>
              <w:spacing w:before="100" w:line="217" w:lineRule="auto"/>
              <w:ind w:left="633"/>
              <w:rPr>
                <w:sz w:val="20"/>
                <w:szCs w:val="20"/>
              </w:rPr>
            </w:pPr>
            <w:r>
              <w:rPr>
                <w:spacing w:val="8"/>
                <w:sz w:val="20"/>
                <w:szCs w:val="20"/>
              </w:rPr>
              <w:t>轮胎拆装机</w:t>
            </w:r>
          </w:p>
        </w:tc>
        <w:tc>
          <w:tcPr>
            <w:tcW w:w="1123" w:type="dxa"/>
            <w:tcBorders>
              <w:bottom w:val="single" w:color="000000" w:sz="10" w:space="0"/>
            </w:tcBorders>
            <w:vAlign w:val="top"/>
          </w:tcPr>
          <w:p w14:paraId="211F6D85">
            <w:pPr>
              <w:rPr>
                <w:rFonts w:ascii="Arial"/>
                <w:sz w:val="21"/>
              </w:rPr>
            </w:pPr>
          </w:p>
        </w:tc>
        <w:tc>
          <w:tcPr>
            <w:tcW w:w="655" w:type="dxa"/>
            <w:tcBorders>
              <w:bottom w:val="single" w:color="000000" w:sz="10" w:space="0"/>
            </w:tcBorders>
            <w:vAlign w:val="top"/>
          </w:tcPr>
          <w:p w14:paraId="23D1AF27">
            <w:pPr>
              <w:pStyle w:val="6"/>
              <w:spacing w:before="100" w:line="217" w:lineRule="auto"/>
              <w:ind w:left="245"/>
              <w:rPr>
                <w:sz w:val="20"/>
                <w:szCs w:val="20"/>
              </w:rPr>
            </w:pPr>
            <w:r>
              <w:rPr>
                <w:sz w:val="20"/>
                <w:szCs w:val="20"/>
              </w:rPr>
              <w:t>台</w:t>
            </w:r>
          </w:p>
        </w:tc>
        <w:tc>
          <w:tcPr>
            <w:tcW w:w="811" w:type="dxa"/>
            <w:tcBorders>
              <w:bottom w:val="single" w:color="000000" w:sz="10" w:space="0"/>
            </w:tcBorders>
            <w:vAlign w:val="top"/>
          </w:tcPr>
          <w:p w14:paraId="4361DB29">
            <w:pPr>
              <w:pStyle w:val="6"/>
              <w:spacing w:before="133" w:line="187" w:lineRule="auto"/>
              <w:ind w:left="379"/>
              <w:rPr>
                <w:sz w:val="20"/>
                <w:szCs w:val="20"/>
              </w:rPr>
            </w:pPr>
            <w:r>
              <w:rPr>
                <w:sz w:val="20"/>
                <w:szCs w:val="20"/>
              </w:rPr>
              <w:t>1</w:t>
            </w:r>
          </w:p>
        </w:tc>
        <w:tc>
          <w:tcPr>
            <w:tcW w:w="2442" w:type="dxa"/>
            <w:tcBorders>
              <w:bottom w:val="single" w:color="000000" w:sz="10" w:space="0"/>
              <w:right w:val="single" w:color="000000" w:sz="10" w:space="0"/>
            </w:tcBorders>
            <w:vAlign w:val="top"/>
          </w:tcPr>
          <w:p w14:paraId="28A0BBCA">
            <w:pPr>
              <w:pStyle w:val="6"/>
              <w:spacing w:before="100" w:line="217" w:lineRule="auto"/>
              <w:ind w:left="755"/>
              <w:rPr>
                <w:sz w:val="20"/>
                <w:szCs w:val="20"/>
              </w:rPr>
            </w:pPr>
            <w:r>
              <w:rPr>
                <w:spacing w:val="7"/>
                <w:sz w:val="20"/>
                <w:szCs w:val="20"/>
              </w:rPr>
              <w:t>拆解工具</w:t>
            </w:r>
          </w:p>
        </w:tc>
      </w:tr>
    </w:tbl>
    <w:p w14:paraId="06BF1C0C">
      <w:pPr>
        <w:pStyle w:val="2"/>
        <w:spacing w:line="218" w:lineRule="exact"/>
        <w:rPr>
          <w:sz w:val="18"/>
        </w:rPr>
      </w:pPr>
    </w:p>
    <w:p w14:paraId="7D181405">
      <w:pPr>
        <w:spacing w:line="218" w:lineRule="exact"/>
        <w:rPr>
          <w:sz w:val="18"/>
          <w:szCs w:val="18"/>
        </w:rPr>
        <w:sectPr>
          <w:footerReference r:id="rId46" w:type="default"/>
          <w:pgSz w:w="11906" w:h="16839"/>
          <w:pgMar w:top="1270" w:right="1488" w:bottom="1263" w:left="1487" w:header="0" w:footer="1097" w:gutter="0"/>
          <w:cols w:space="720" w:num="1"/>
        </w:sectPr>
      </w:pPr>
    </w:p>
    <w:tbl>
      <w:tblPr>
        <w:tblStyle w:val="5"/>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4"/>
        <w:gridCol w:w="449"/>
        <w:gridCol w:w="443"/>
        <w:gridCol w:w="116"/>
        <w:gridCol w:w="118"/>
        <w:gridCol w:w="2084"/>
        <w:gridCol w:w="123"/>
        <w:gridCol w:w="1000"/>
        <w:gridCol w:w="146"/>
        <w:gridCol w:w="509"/>
        <w:gridCol w:w="114"/>
        <w:gridCol w:w="696"/>
        <w:gridCol w:w="97"/>
        <w:gridCol w:w="2345"/>
      </w:tblGrid>
      <w:tr w14:paraId="38E615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9" w:hRule="atLeast"/>
        </w:trPr>
        <w:tc>
          <w:tcPr>
            <w:tcW w:w="664" w:type="dxa"/>
            <w:vMerge w:val="restart"/>
            <w:tcBorders>
              <w:top w:val="single" w:color="000000" w:sz="10" w:space="0"/>
              <w:left w:val="single" w:color="000000" w:sz="10" w:space="0"/>
              <w:bottom w:val="nil"/>
            </w:tcBorders>
            <w:vAlign w:val="top"/>
          </w:tcPr>
          <w:p w14:paraId="4C32588B">
            <w:pPr>
              <w:rPr>
                <w:rFonts w:ascii="Arial"/>
                <w:sz w:val="21"/>
              </w:rPr>
            </w:pPr>
          </w:p>
        </w:tc>
        <w:tc>
          <w:tcPr>
            <w:tcW w:w="892" w:type="dxa"/>
            <w:gridSpan w:val="2"/>
            <w:tcBorders>
              <w:top w:val="single" w:color="000000" w:sz="10" w:space="0"/>
            </w:tcBorders>
            <w:vAlign w:val="top"/>
          </w:tcPr>
          <w:p w14:paraId="732F8A9C">
            <w:pPr>
              <w:spacing w:before="146"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2318" w:type="dxa"/>
            <w:gridSpan w:val="3"/>
            <w:tcBorders>
              <w:top w:val="single" w:color="000000" w:sz="10" w:space="0"/>
            </w:tcBorders>
            <w:vAlign w:val="top"/>
          </w:tcPr>
          <w:p w14:paraId="73C2D1A7">
            <w:pPr>
              <w:pStyle w:val="6"/>
              <w:spacing w:before="110" w:line="220" w:lineRule="auto"/>
              <w:ind w:left="636"/>
              <w:rPr>
                <w:sz w:val="20"/>
                <w:szCs w:val="20"/>
              </w:rPr>
            </w:pPr>
            <w:r>
              <w:rPr>
                <w:spacing w:val="7"/>
                <w:sz w:val="20"/>
                <w:szCs w:val="20"/>
              </w:rPr>
              <w:t>二柱举升机</w:t>
            </w:r>
          </w:p>
        </w:tc>
        <w:tc>
          <w:tcPr>
            <w:tcW w:w="1123" w:type="dxa"/>
            <w:gridSpan w:val="2"/>
            <w:tcBorders>
              <w:top w:val="single" w:color="000000" w:sz="10" w:space="0"/>
            </w:tcBorders>
            <w:vAlign w:val="top"/>
          </w:tcPr>
          <w:p w14:paraId="341862F4">
            <w:pPr>
              <w:rPr>
                <w:rFonts w:ascii="Arial"/>
                <w:sz w:val="21"/>
              </w:rPr>
            </w:pPr>
          </w:p>
        </w:tc>
        <w:tc>
          <w:tcPr>
            <w:tcW w:w="655" w:type="dxa"/>
            <w:gridSpan w:val="2"/>
            <w:tcBorders>
              <w:top w:val="single" w:color="000000" w:sz="10" w:space="0"/>
            </w:tcBorders>
            <w:vAlign w:val="top"/>
          </w:tcPr>
          <w:p w14:paraId="5D828FBE">
            <w:pPr>
              <w:pStyle w:val="6"/>
              <w:spacing w:before="110" w:line="220" w:lineRule="auto"/>
              <w:ind w:left="244"/>
              <w:rPr>
                <w:sz w:val="20"/>
                <w:szCs w:val="20"/>
              </w:rPr>
            </w:pPr>
            <w:r>
              <w:rPr>
                <w:sz w:val="20"/>
                <w:szCs w:val="20"/>
              </w:rPr>
              <w:t>台</w:t>
            </w:r>
          </w:p>
        </w:tc>
        <w:tc>
          <w:tcPr>
            <w:tcW w:w="810" w:type="dxa"/>
            <w:gridSpan w:val="2"/>
            <w:tcBorders>
              <w:top w:val="single" w:color="000000" w:sz="10" w:space="0"/>
            </w:tcBorders>
            <w:vAlign w:val="top"/>
          </w:tcPr>
          <w:p w14:paraId="50F979DB">
            <w:pPr>
              <w:pStyle w:val="6"/>
              <w:spacing w:before="143" w:line="189" w:lineRule="auto"/>
              <w:ind w:left="378"/>
              <w:rPr>
                <w:sz w:val="20"/>
                <w:szCs w:val="20"/>
              </w:rPr>
            </w:pPr>
            <w:r>
              <w:rPr>
                <w:sz w:val="20"/>
                <w:szCs w:val="20"/>
              </w:rPr>
              <w:t>1</w:t>
            </w:r>
          </w:p>
        </w:tc>
        <w:tc>
          <w:tcPr>
            <w:tcW w:w="2442" w:type="dxa"/>
            <w:gridSpan w:val="2"/>
            <w:tcBorders>
              <w:top w:val="single" w:color="000000" w:sz="10" w:space="0"/>
              <w:right w:val="single" w:color="000000" w:sz="10" w:space="0"/>
            </w:tcBorders>
            <w:vAlign w:val="top"/>
          </w:tcPr>
          <w:p w14:paraId="67647CF5">
            <w:pPr>
              <w:pStyle w:val="6"/>
              <w:spacing w:before="110" w:line="220" w:lineRule="auto"/>
              <w:ind w:left="755"/>
              <w:rPr>
                <w:sz w:val="20"/>
                <w:szCs w:val="20"/>
              </w:rPr>
            </w:pPr>
            <w:r>
              <w:rPr>
                <w:spacing w:val="7"/>
                <w:sz w:val="20"/>
                <w:szCs w:val="20"/>
              </w:rPr>
              <w:t>拆解工具</w:t>
            </w:r>
          </w:p>
        </w:tc>
      </w:tr>
      <w:tr w14:paraId="557E36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1540F405">
            <w:pPr>
              <w:rPr>
                <w:rFonts w:ascii="Arial"/>
                <w:sz w:val="21"/>
              </w:rPr>
            </w:pPr>
          </w:p>
        </w:tc>
        <w:tc>
          <w:tcPr>
            <w:tcW w:w="892" w:type="dxa"/>
            <w:gridSpan w:val="2"/>
            <w:vAlign w:val="top"/>
          </w:tcPr>
          <w:p w14:paraId="72962ABC">
            <w:pPr>
              <w:spacing w:before="113"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11</w:t>
            </w:r>
          </w:p>
        </w:tc>
        <w:tc>
          <w:tcPr>
            <w:tcW w:w="2318" w:type="dxa"/>
            <w:gridSpan w:val="3"/>
            <w:vAlign w:val="top"/>
          </w:tcPr>
          <w:p w14:paraId="02752359">
            <w:pPr>
              <w:pStyle w:val="6"/>
              <w:spacing w:before="77" w:line="218" w:lineRule="auto"/>
              <w:ind w:left="738"/>
              <w:rPr>
                <w:sz w:val="20"/>
                <w:szCs w:val="20"/>
              </w:rPr>
            </w:pPr>
            <w:r>
              <w:rPr>
                <w:spacing w:val="7"/>
                <w:sz w:val="20"/>
                <w:szCs w:val="20"/>
              </w:rPr>
              <w:t>钳工工具</w:t>
            </w:r>
          </w:p>
        </w:tc>
        <w:tc>
          <w:tcPr>
            <w:tcW w:w="1123" w:type="dxa"/>
            <w:gridSpan w:val="2"/>
            <w:vAlign w:val="top"/>
          </w:tcPr>
          <w:p w14:paraId="0A721C84">
            <w:pPr>
              <w:rPr>
                <w:rFonts w:ascii="Arial"/>
                <w:sz w:val="21"/>
              </w:rPr>
            </w:pPr>
          </w:p>
        </w:tc>
        <w:tc>
          <w:tcPr>
            <w:tcW w:w="655" w:type="dxa"/>
            <w:gridSpan w:val="2"/>
            <w:vAlign w:val="top"/>
          </w:tcPr>
          <w:p w14:paraId="4EF14DBF">
            <w:pPr>
              <w:pStyle w:val="6"/>
              <w:spacing w:before="77" w:line="218" w:lineRule="auto"/>
              <w:ind w:left="229"/>
              <w:rPr>
                <w:sz w:val="20"/>
                <w:szCs w:val="20"/>
              </w:rPr>
            </w:pPr>
            <w:r>
              <w:rPr>
                <w:sz w:val="20"/>
                <w:szCs w:val="20"/>
              </w:rPr>
              <w:t>套</w:t>
            </w:r>
          </w:p>
        </w:tc>
        <w:tc>
          <w:tcPr>
            <w:tcW w:w="810" w:type="dxa"/>
            <w:gridSpan w:val="2"/>
            <w:vAlign w:val="top"/>
          </w:tcPr>
          <w:p w14:paraId="3C96A7D0">
            <w:pPr>
              <w:pStyle w:val="6"/>
              <w:spacing w:before="110" w:line="188" w:lineRule="auto"/>
              <w:ind w:left="378"/>
              <w:rPr>
                <w:sz w:val="20"/>
                <w:szCs w:val="20"/>
              </w:rPr>
            </w:pPr>
            <w:r>
              <w:rPr>
                <w:sz w:val="20"/>
                <w:szCs w:val="20"/>
              </w:rPr>
              <w:t>1</w:t>
            </w:r>
          </w:p>
        </w:tc>
        <w:tc>
          <w:tcPr>
            <w:tcW w:w="2442" w:type="dxa"/>
            <w:gridSpan w:val="2"/>
            <w:tcBorders>
              <w:right w:val="single" w:color="000000" w:sz="10" w:space="0"/>
            </w:tcBorders>
            <w:vAlign w:val="top"/>
          </w:tcPr>
          <w:p w14:paraId="7DFD437F">
            <w:pPr>
              <w:pStyle w:val="6"/>
              <w:spacing w:before="77" w:line="218" w:lineRule="auto"/>
              <w:ind w:left="755"/>
              <w:rPr>
                <w:sz w:val="20"/>
                <w:szCs w:val="20"/>
              </w:rPr>
            </w:pPr>
            <w:r>
              <w:rPr>
                <w:spacing w:val="7"/>
                <w:sz w:val="20"/>
                <w:szCs w:val="20"/>
              </w:rPr>
              <w:t>拆解工具</w:t>
            </w:r>
          </w:p>
        </w:tc>
      </w:tr>
      <w:tr w14:paraId="63CF68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64" w:type="dxa"/>
            <w:vMerge w:val="continue"/>
            <w:tcBorders>
              <w:top w:val="nil"/>
              <w:left w:val="single" w:color="000000" w:sz="10" w:space="0"/>
              <w:bottom w:val="nil"/>
            </w:tcBorders>
            <w:vAlign w:val="top"/>
          </w:tcPr>
          <w:p w14:paraId="3394CE2D">
            <w:pPr>
              <w:rPr>
                <w:rFonts w:ascii="Arial"/>
                <w:sz w:val="21"/>
              </w:rPr>
            </w:pPr>
          </w:p>
        </w:tc>
        <w:tc>
          <w:tcPr>
            <w:tcW w:w="892" w:type="dxa"/>
            <w:gridSpan w:val="2"/>
            <w:vAlign w:val="top"/>
          </w:tcPr>
          <w:p w14:paraId="70EF7436">
            <w:pPr>
              <w:spacing w:before="274"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12</w:t>
            </w:r>
          </w:p>
        </w:tc>
        <w:tc>
          <w:tcPr>
            <w:tcW w:w="2318" w:type="dxa"/>
            <w:gridSpan w:val="3"/>
            <w:vAlign w:val="top"/>
          </w:tcPr>
          <w:p w14:paraId="4B9BEDD6">
            <w:pPr>
              <w:pStyle w:val="6"/>
              <w:spacing w:before="77" w:line="227" w:lineRule="auto"/>
              <w:ind w:left="108"/>
              <w:rPr>
                <w:sz w:val="20"/>
                <w:szCs w:val="20"/>
              </w:rPr>
            </w:pPr>
            <w:r>
              <w:rPr>
                <w:spacing w:val="9"/>
                <w:sz w:val="20"/>
                <w:szCs w:val="20"/>
              </w:rPr>
              <w:t>报废汽车废油液抽取机</w:t>
            </w:r>
          </w:p>
          <w:p w14:paraId="5DF6EF9B">
            <w:pPr>
              <w:pStyle w:val="6"/>
              <w:spacing w:before="75" w:line="217" w:lineRule="auto"/>
              <w:ind w:left="643"/>
              <w:rPr>
                <w:sz w:val="20"/>
                <w:szCs w:val="20"/>
              </w:rPr>
            </w:pPr>
            <w:r>
              <w:rPr>
                <w:spacing w:val="3"/>
                <w:sz w:val="20"/>
                <w:szCs w:val="20"/>
              </w:rPr>
              <w:t>（抽油机）</w:t>
            </w:r>
          </w:p>
        </w:tc>
        <w:tc>
          <w:tcPr>
            <w:tcW w:w="1123" w:type="dxa"/>
            <w:gridSpan w:val="2"/>
            <w:vAlign w:val="top"/>
          </w:tcPr>
          <w:p w14:paraId="7EC47994">
            <w:pPr>
              <w:rPr>
                <w:rFonts w:ascii="Arial"/>
                <w:sz w:val="21"/>
              </w:rPr>
            </w:pPr>
          </w:p>
        </w:tc>
        <w:tc>
          <w:tcPr>
            <w:tcW w:w="655" w:type="dxa"/>
            <w:gridSpan w:val="2"/>
            <w:vAlign w:val="top"/>
          </w:tcPr>
          <w:p w14:paraId="594508A2">
            <w:pPr>
              <w:pStyle w:val="6"/>
              <w:spacing w:before="238" w:line="228" w:lineRule="auto"/>
              <w:ind w:left="229"/>
              <w:rPr>
                <w:sz w:val="20"/>
                <w:szCs w:val="20"/>
              </w:rPr>
            </w:pPr>
            <w:r>
              <w:rPr>
                <w:sz w:val="20"/>
                <w:szCs w:val="20"/>
              </w:rPr>
              <w:t>套</w:t>
            </w:r>
          </w:p>
        </w:tc>
        <w:tc>
          <w:tcPr>
            <w:tcW w:w="810" w:type="dxa"/>
            <w:gridSpan w:val="2"/>
            <w:vAlign w:val="top"/>
          </w:tcPr>
          <w:p w14:paraId="6AF831C3">
            <w:pPr>
              <w:pStyle w:val="6"/>
              <w:spacing w:before="270" w:line="189" w:lineRule="auto"/>
              <w:ind w:left="378"/>
              <w:rPr>
                <w:sz w:val="20"/>
                <w:szCs w:val="20"/>
              </w:rPr>
            </w:pPr>
            <w:r>
              <w:rPr>
                <w:sz w:val="20"/>
                <w:szCs w:val="20"/>
              </w:rPr>
              <w:t>1</w:t>
            </w:r>
          </w:p>
        </w:tc>
        <w:tc>
          <w:tcPr>
            <w:tcW w:w="2442" w:type="dxa"/>
            <w:gridSpan w:val="2"/>
            <w:tcBorders>
              <w:right w:val="single" w:color="000000" w:sz="10" w:space="0"/>
            </w:tcBorders>
            <w:vAlign w:val="top"/>
          </w:tcPr>
          <w:p w14:paraId="453AE060">
            <w:pPr>
              <w:pStyle w:val="6"/>
              <w:spacing w:before="238" w:line="228" w:lineRule="auto"/>
              <w:ind w:left="758"/>
              <w:rPr>
                <w:sz w:val="20"/>
                <w:szCs w:val="20"/>
              </w:rPr>
            </w:pPr>
            <w:r>
              <w:rPr>
                <w:spacing w:val="6"/>
                <w:sz w:val="20"/>
                <w:szCs w:val="20"/>
              </w:rPr>
              <w:t>油液抽取</w:t>
            </w:r>
          </w:p>
        </w:tc>
      </w:tr>
      <w:tr w14:paraId="46EF6C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1B76E279">
            <w:pPr>
              <w:rPr>
                <w:rFonts w:ascii="Arial"/>
                <w:sz w:val="21"/>
              </w:rPr>
            </w:pPr>
          </w:p>
        </w:tc>
        <w:tc>
          <w:tcPr>
            <w:tcW w:w="892" w:type="dxa"/>
            <w:gridSpan w:val="2"/>
            <w:vAlign w:val="top"/>
          </w:tcPr>
          <w:p w14:paraId="01D3B7EB">
            <w:pPr>
              <w:spacing w:before="114"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13</w:t>
            </w:r>
          </w:p>
        </w:tc>
        <w:tc>
          <w:tcPr>
            <w:tcW w:w="2318" w:type="dxa"/>
            <w:gridSpan w:val="3"/>
            <w:vAlign w:val="top"/>
          </w:tcPr>
          <w:p w14:paraId="6F281E8D">
            <w:pPr>
              <w:pStyle w:val="6"/>
              <w:spacing w:before="78" w:line="217" w:lineRule="auto"/>
              <w:ind w:left="633"/>
              <w:rPr>
                <w:sz w:val="20"/>
                <w:szCs w:val="20"/>
              </w:rPr>
            </w:pPr>
            <w:r>
              <w:rPr>
                <w:spacing w:val="8"/>
                <w:sz w:val="20"/>
                <w:szCs w:val="20"/>
              </w:rPr>
              <w:t>布袋除尘器</w:t>
            </w:r>
          </w:p>
        </w:tc>
        <w:tc>
          <w:tcPr>
            <w:tcW w:w="1123" w:type="dxa"/>
            <w:gridSpan w:val="2"/>
            <w:vAlign w:val="top"/>
          </w:tcPr>
          <w:p w14:paraId="6C66F639">
            <w:pPr>
              <w:rPr>
                <w:rFonts w:ascii="Arial"/>
                <w:sz w:val="21"/>
              </w:rPr>
            </w:pPr>
          </w:p>
        </w:tc>
        <w:tc>
          <w:tcPr>
            <w:tcW w:w="655" w:type="dxa"/>
            <w:gridSpan w:val="2"/>
            <w:vAlign w:val="top"/>
          </w:tcPr>
          <w:p w14:paraId="22937408">
            <w:pPr>
              <w:pStyle w:val="6"/>
              <w:spacing w:before="78" w:line="217" w:lineRule="auto"/>
              <w:ind w:left="229"/>
              <w:rPr>
                <w:sz w:val="20"/>
                <w:szCs w:val="20"/>
              </w:rPr>
            </w:pPr>
            <w:r>
              <w:rPr>
                <w:sz w:val="20"/>
                <w:szCs w:val="20"/>
              </w:rPr>
              <w:t>套</w:t>
            </w:r>
          </w:p>
        </w:tc>
        <w:tc>
          <w:tcPr>
            <w:tcW w:w="810" w:type="dxa"/>
            <w:gridSpan w:val="2"/>
            <w:vAlign w:val="top"/>
          </w:tcPr>
          <w:p w14:paraId="284D94E0">
            <w:pPr>
              <w:pStyle w:val="6"/>
              <w:spacing w:before="111" w:line="187" w:lineRule="auto"/>
              <w:ind w:left="378"/>
              <w:rPr>
                <w:sz w:val="20"/>
                <w:szCs w:val="20"/>
              </w:rPr>
            </w:pPr>
            <w:r>
              <w:rPr>
                <w:sz w:val="20"/>
                <w:szCs w:val="20"/>
              </w:rPr>
              <w:t>1</w:t>
            </w:r>
          </w:p>
        </w:tc>
        <w:tc>
          <w:tcPr>
            <w:tcW w:w="2442" w:type="dxa"/>
            <w:gridSpan w:val="2"/>
            <w:tcBorders>
              <w:right w:val="single" w:color="000000" w:sz="10" w:space="0"/>
            </w:tcBorders>
            <w:vAlign w:val="top"/>
          </w:tcPr>
          <w:p w14:paraId="683828F8">
            <w:pPr>
              <w:pStyle w:val="6"/>
              <w:spacing w:before="78" w:line="217" w:lineRule="auto"/>
              <w:ind w:left="754"/>
              <w:rPr>
                <w:sz w:val="20"/>
                <w:szCs w:val="20"/>
              </w:rPr>
            </w:pPr>
            <w:r>
              <w:rPr>
                <w:spacing w:val="7"/>
                <w:sz w:val="20"/>
                <w:szCs w:val="20"/>
              </w:rPr>
              <w:t>废气治理</w:t>
            </w:r>
          </w:p>
        </w:tc>
      </w:tr>
      <w:tr w14:paraId="30319C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5E1FC8D1">
            <w:pPr>
              <w:rPr>
                <w:rFonts w:ascii="Arial"/>
                <w:sz w:val="21"/>
              </w:rPr>
            </w:pPr>
          </w:p>
        </w:tc>
        <w:tc>
          <w:tcPr>
            <w:tcW w:w="892" w:type="dxa"/>
            <w:gridSpan w:val="2"/>
            <w:vAlign w:val="top"/>
          </w:tcPr>
          <w:p w14:paraId="0D990BBE">
            <w:pPr>
              <w:spacing w:before="117"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14</w:t>
            </w:r>
          </w:p>
        </w:tc>
        <w:tc>
          <w:tcPr>
            <w:tcW w:w="2318" w:type="dxa"/>
            <w:gridSpan w:val="3"/>
            <w:vAlign w:val="top"/>
          </w:tcPr>
          <w:p w14:paraId="2CFF51F6">
            <w:pPr>
              <w:pStyle w:val="6"/>
              <w:spacing w:before="81" w:line="215" w:lineRule="auto"/>
              <w:ind w:left="428"/>
              <w:rPr>
                <w:sz w:val="20"/>
                <w:szCs w:val="20"/>
              </w:rPr>
            </w:pPr>
            <w:r>
              <w:rPr>
                <w:spacing w:val="8"/>
                <w:sz w:val="20"/>
                <w:szCs w:val="20"/>
              </w:rPr>
              <w:t>活性碳吸附装置</w:t>
            </w:r>
          </w:p>
        </w:tc>
        <w:tc>
          <w:tcPr>
            <w:tcW w:w="1123" w:type="dxa"/>
            <w:gridSpan w:val="2"/>
            <w:vAlign w:val="top"/>
          </w:tcPr>
          <w:p w14:paraId="365DD6B7">
            <w:pPr>
              <w:rPr>
                <w:rFonts w:ascii="Arial"/>
                <w:sz w:val="21"/>
              </w:rPr>
            </w:pPr>
          </w:p>
        </w:tc>
        <w:tc>
          <w:tcPr>
            <w:tcW w:w="655" w:type="dxa"/>
            <w:gridSpan w:val="2"/>
            <w:vAlign w:val="top"/>
          </w:tcPr>
          <w:p w14:paraId="325E928C">
            <w:pPr>
              <w:pStyle w:val="6"/>
              <w:spacing w:before="81" w:line="215" w:lineRule="auto"/>
              <w:ind w:left="229"/>
              <w:rPr>
                <w:sz w:val="20"/>
                <w:szCs w:val="20"/>
              </w:rPr>
            </w:pPr>
            <w:r>
              <w:rPr>
                <w:sz w:val="20"/>
                <w:szCs w:val="20"/>
              </w:rPr>
              <w:t>套</w:t>
            </w:r>
          </w:p>
        </w:tc>
        <w:tc>
          <w:tcPr>
            <w:tcW w:w="810" w:type="dxa"/>
            <w:gridSpan w:val="2"/>
            <w:vAlign w:val="top"/>
          </w:tcPr>
          <w:p w14:paraId="32DE90AB">
            <w:pPr>
              <w:pStyle w:val="6"/>
              <w:spacing w:before="113" w:line="185" w:lineRule="auto"/>
              <w:ind w:left="378"/>
              <w:rPr>
                <w:sz w:val="20"/>
                <w:szCs w:val="20"/>
              </w:rPr>
            </w:pPr>
            <w:r>
              <w:rPr>
                <w:sz w:val="20"/>
                <w:szCs w:val="20"/>
              </w:rPr>
              <w:t>1</w:t>
            </w:r>
          </w:p>
        </w:tc>
        <w:tc>
          <w:tcPr>
            <w:tcW w:w="2442" w:type="dxa"/>
            <w:gridSpan w:val="2"/>
            <w:tcBorders>
              <w:right w:val="single" w:color="000000" w:sz="10" w:space="0"/>
            </w:tcBorders>
            <w:vAlign w:val="top"/>
          </w:tcPr>
          <w:p w14:paraId="7D99C152">
            <w:pPr>
              <w:pStyle w:val="6"/>
              <w:spacing w:before="81" w:line="215" w:lineRule="auto"/>
              <w:ind w:left="754"/>
              <w:rPr>
                <w:sz w:val="20"/>
                <w:szCs w:val="20"/>
              </w:rPr>
            </w:pPr>
            <w:r>
              <w:rPr>
                <w:spacing w:val="7"/>
                <w:sz w:val="20"/>
                <w:szCs w:val="20"/>
              </w:rPr>
              <w:t>废气治理</w:t>
            </w:r>
          </w:p>
        </w:tc>
      </w:tr>
      <w:tr w14:paraId="136A1E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643C6534">
            <w:pPr>
              <w:rPr>
                <w:rFonts w:ascii="Arial"/>
                <w:sz w:val="21"/>
              </w:rPr>
            </w:pPr>
          </w:p>
        </w:tc>
        <w:tc>
          <w:tcPr>
            <w:tcW w:w="892" w:type="dxa"/>
            <w:gridSpan w:val="2"/>
            <w:vAlign w:val="top"/>
          </w:tcPr>
          <w:p w14:paraId="435F6FDA">
            <w:pPr>
              <w:spacing w:before="116"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15</w:t>
            </w:r>
          </w:p>
        </w:tc>
        <w:tc>
          <w:tcPr>
            <w:tcW w:w="2318" w:type="dxa"/>
            <w:gridSpan w:val="3"/>
            <w:vAlign w:val="top"/>
          </w:tcPr>
          <w:p w14:paraId="4FA7DB08">
            <w:pPr>
              <w:pStyle w:val="6"/>
              <w:spacing w:before="81" w:line="215" w:lineRule="auto"/>
              <w:ind w:left="951"/>
              <w:rPr>
                <w:sz w:val="20"/>
                <w:szCs w:val="20"/>
              </w:rPr>
            </w:pPr>
            <w:r>
              <w:rPr>
                <w:spacing w:val="4"/>
                <w:sz w:val="20"/>
                <w:szCs w:val="20"/>
              </w:rPr>
              <w:t>风机</w:t>
            </w:r>
          </w:p>
        </w:tc>
        <w:tc>
          <w:tcPr>
            <w:tcW w:w="1123" w:type="dxa"/>
            <w:gridSpan w:val="2"/>
            <w:vAlign w:val="top"/>
          </w:tcPr>
          <w:p w14:paraId="6E845FC3">
            <w:pPr>
              <w:spacing w:before="96" w:line="216" w:lineRule="auto"/>
              <w:ind w:left="15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2000m</w:t>
            </w:r>
            <w:r>
              <w:rPr>
                <w:rFonts w:ascii="Times New Roman" w:hAnsi="Times New Roman" w:eastAsia="Times New Roman" w:cs="Times New Roman"/>
                <w:spacing w:val="3"/>
                <w:position w:val="6"/>
                <w:sz w:val="13"/>
                <w:szCs w:val="13"/>
              </w:rPr>
              <w:t>3</w:t>
            </w:r>
            <w:r>
              <w:rPr>
                <w:rFonts w:ascii="Times New Roman" w:hAnsi="Times New Roman" w:eastAsia="Times New Roman" w:cs="Times New Roman"/>
                <w:spacing w:val="3"/>
                <w:sz w:val="20"/>
                <w:szCs w:val="20"/>
              </w:rPr>
              <w:t>/h</w:t>
            </w:r>
          </w:p>
        </w:tc>
        <w:tc>
          <w:tcPr>
            <w:tcW w:w="655" w:type="dxa"/>
            <w:gridSpan w:val="2"/>
            <w:vAlign w:val="top"/>
          </w:tcPr>
          <w:p w14:paraId="1EA8C7B9">
            <w:pPr>
              <w:pStyle w:val="6"/>
              <w:spacing w:before="81" w:line="215" w:lineRule="auto"/>
              <w:ind w:left="244"/>
              <w:rPr>
                <w:sz w:val="20"/>
                <w:szCs w:val="20"/>
              </w:rPr>
            </w:pPr>
            <w:r>
              <w:rPr>
                <w:sz w:val="20"/>
                <w:szCs w:val="20"/>
              </w:rPr>
              <w:t>台</w:t>
            </w:r>
          </w:p>
        </w:tc>
        <w:tc>
          <w:tcPr>
            <w:tcW w:w="810" w:type="dxa"/>
            <w:gridSpan w:val="2"/>
            <w:vAlign w:val="top"/>
          </w:tcPr>
          <w:p w14:paraId="6A7CCFD2">
            <w:pPr>
              <w:pStyle w:val="6"/>
              <w:spacing w:before="113" w:line="185" w:lineRule="auto"/>
              <w:ind w:left="378"/>
              <w:rPr>
                <w:sz w:val="20"/>
                <w:szCs w:val="20"/>
              </w:rPr>
            </w:pPr>
            <w:r>
              <w:rPr>
                <w:sz w:val="20"/>
                <w:szCs w:val="20"/>
              </w:rPr>
              <w:t>1</w:t>
            </w:r>
          </w:p>
        </w:tc>
        <w:tc>
          <w:tcPr>
            <w:tcW w:w="2442" w:type="dxa"/>
            <w:gridSpan w:val="2"/>
            <w:tcBorders>
              <w:right w:val="single" w:color="000000" w:sz="10" w:space="0"/>
            </w:tcBorders>
            <w:vAlign w:val="top"/>
          </w:tcPr>
          <w:p w14:paraId="3C66E6AD">
            <w:pPr>
              <w:pStyle w:val="6"/>
              <w:spacing w:before="81" w:line="215" w:lineRule="auto"/>
              <w:ind w:left="335"/>
              <w:rPr>
                <w:sz w:val="20"/>
                <w:szCs w:val="20"/>
              </w:rPr>
            </w:pPr>
            <w:r>
              <w:rPr>
                <w:spacing w:val="8"/>
                <w:sz w:val="20"/>
                <w:szCs w:val="20"/>
              </w:rPr>
              <w:t>拆解车间废气治理</w:t>
            </w:r>
          </w:p>
        </w:tc>
      </w:tr>
      <w:tr w14:paraId="44171B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6FCB8B5C">
            <w:pPr>
              <w:rPr>
                <w:rFonts w:ascii="Arial"/>
                <w:sz w:val="21"/>
              </w:rPr>
            </w:pPr>
          </w:p>
        </w:tc>
        <w:tc>
          <w:tcPr>
            <w:tcW w:w="892" w:type="dxa"/>
            <w:gridSpan w:val="2"/>
            <w:vAlign w:val="top"/>
          </w:tcPr>
          <w:p w14:paraId="392EC8A2">
            <w:pPr>
              <w:spacing w:before="118"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16</w:t>
            </w:r>
          </w:p>
        </w:tc>
        <w:tc>
          <w:tcPr>
            <w:tcW w:w="2318" w:type="dxa"/>
            <w:gridSpan w:val="3"/>
            <w:vAlign w:val="top"/>
          </w:tcPr>
          <w:p w14:paraId="3919CDE8">
            <w:pPr>
              <w:pStyle w:val="6"/>
              <w:spacing w:before="83" w:line="213" w:lineRule="auto"/>
              <w:ind w:left="951"/>
              <w:rPr>
                <w:sz w:val="20"/>
                <w:szCs w:val="20"/>
              </w:rPr>
            </w:pPr>
            <w:r>
              <w:rPr>
                <w:spacing w:val="4"/>
                <w:sz w:val="20"/>
                <w:szCs w:val="20"/>
              </w:rPr>
              <w:t>风机</w:t>
            </w:r>
          </w:p>
        </w:tc>
        <w:tc>
          <w:tcPr>
            <w:tcW w:w="1123" w:type="dxa"/>
            <w:gridSpan w:val="2"/>
            <w:vAlign w:val="top"/>
          </w:tcPr>
          <w:p w14:paraId="1632278B">
            <w:pPr>
              <w:spacing w:before="98" w:line="216" w:lineRule="auto"/>
              <w:ind w:left="15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2000m</w:t>
            </w:r>
            <w:r>
              <w:rPr>
                <w:rFonts w:ascii="Times New Roman" w:hAnsi="Times New Roman" w:eastAsia="Times New Roman" w:cs="Times New Roman"/>
                <w:spacing w:val="3"/>
                <w:position w:val="6"/>
                <w:sz w:val="13"/>
                <w:szCs w:val="13"/>
              </w:rPr>
              <w:t>3</w:t>
            </w:r>
            <w:r>
              <w:rPr>
                <w:rFonts w:ascii="Times New Roman" w:hAnsi="Times New Roman" w:eastAsia="Times New Roman" w:cs="Times New Roman"/>
                <w:spacing w:val="3"/>
                <w:sz w:val="20"/>
                <w:szCs w:val="20"/>
              </w:rPr>
              <w:t>/h</w:t>
            </w:r>
          </w:p>
        </w:tc>
        <w:tc>
          <w:tcPr>
            <w:tcW w:w="655" w:type="dxa"/>
            <w:gridSpan w:val="2"/>
            <w:vAlign w:val="top"/>
          </w:tcPr>
          <w:p w14:paraId="65329AE2">
            <w:pPr>
              <w:pStyle w:val="6"/>
              <w:spacing w:before="83" w:line="213" w:lineRule="auto"/>
              <w:ind w:left="244"/>
              <w:rPr>
                <w:sz w:val="20"/>
                <w:szCs w:val="20"/>
              </w:rPr>
            </w:pPr>
            <w:r>
              <w:rPr>
                <w:sz w:val="20"/>
                <w:szCs w:val="20"/>
              </w:rPr>
              <w:t>台</w:t>
            </w:r>
          </w:p>
        </w:tc>
        <w:tc>
          <w:tcPr>
            <w:tcW w:w="810" w:type="dxa"/>
            <w:gridSpan w:val="2"/>
            <w:vAlign w:val="top"/>
          </w:tcPr>
          <w:p w14:paraId="46AF2C85">
            <w:pPr>
              <w:pStyle w:val="6"/>
              <w:spacing w:before="115" w:line="183" w:lineRule="auto"/>
              <w:ind w:left="378"/>
              <w:rPr>
                <w:sz w:val="20"/>
                <w:szCs w:val="20"/>
              </w:rPr>
            </w:pPr>
            <w:r>
              <w:rPr>
                <w:sz w:val="20"/>
                <w:szCs w:val="20"/>
              </w:rPr>
              <w:t>1</w:t>
            </w:r>
          </w:p>
        </w:tc>
        <w:tc>
          <w:tcPr>
            <w:tcW w:w="2442" w:type="dxa"/>
            <w:gridSpan w:val="2"/>
            <w:tcBorders>
              <w:right w:val="single" w:color="000000" w:sz="10" w:space="0"/>
            </w:tcBorders>
            <w:vAlign w:val="top"/>
          </w:tcPr>
          <w:p w14:paraId="406B015F">
            <w:pPr>
              <w:pStyle w:val="6"/>
              <w:spacing w:before="83" w:line="213" w:lineRule="auto"/>
              <w:ind w:left="23"/>
              <w:rPr>
                <w:sz w:val="20"/>
                <w:szCs w:val="20"/>
              </w:rPr>
            </w:pPr>
            <w:r>
              <w:rPr>
                <w:spacing w:val="8"/>
                <w:sz w:val="20"/>
                <w:szCs w:val="20"/>
              </w:rPr>
              <w:t>危险废物贮存库废气治理</w:t>
            </w:r>
          </w:p>
        </w:tc>
      </w:tr>
      <w:tr w14:paraId="1C2EB2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664" w:type="dxa"/>
            <w:vMerge w:val="continue"/>
            <w:tcBorders>
              <w:top w:val="nil"/>
              <w:left w:val="single" w:color="000000" w:sz="10" w:space="0"/>
              <w:bottom w:val="nil"/>
            </w:tcBorders>
            <w:vAlign w:val="top"/>
          </w:tcPr>
          <w:p w14:paraId="18E93C2C">
            <w:pPr>
              <w:rPr>
                <w:rFonts w:ascii="Arial"/>
                <w:sz w:val="21"/>
              </w:rPr>
            </w:pPr>
          </w:p>
        </w:tc>
        <w:tc>
          <w:tcPr>
            <w:tcW w:w="892" w:type="dxa"/>
            <w:gridSpan w:val="2"/>
            <w:tcBorders>
              <w:bottom w:val="single" w:color="000000" w:sz="10" w:space="0"/>
            </w:tcBorders>
            <w:vAlign w:val="top"/>
          </w:tcPr>
          <w:p w14:paraId="29A2513F">
            <w:pPr>
              <w:spacing w:before="118" w:line="195" w:lineRule="auto"/>
              <w:ind w:left="40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17</w:t>
            </w:r>
          </w:p>
        </w:tc>
        <w:tc>
          <w:tcPr>
            <w:tcW w:w="2318" w:type="dxa"/>
            <w:gridSpan w:val="3"/>
            <w:tcBorders>
              <w:bottom w:val="single" w:color="000000" w:sz="10" w:space="0"/>
            </w:tcBorders>
            <w:vAlign w:val="top"/>
          </w:tcPr>
          <w:p w14:paraId="0F4552CF">
            <w:pPr>
              <w:pStyle w:val="6"/>
              <w:spacing w:before="82" w:line="223" w:lineRule="auto"/>
              <w:ind w:left="214"/>
              <w:rPr>
                <w:sz w:val="20"/>
                <w:szCs w:val="20"/>
              </w:rPr>
            </w:pPr>
            <w:r>
              <w:rPr>
                <w:spacing w:val="8"/>
                <w:sz w:val="20"/>
                <w:szCs w:val="20"/>
              </w:rPr>
              <w:t>移动式隔油处理设施</w:t>
            </w:r>
          </w:p>
        </w:tc>
        <w:tc>
          <w:tcPr>
            <w:tcW w:w="1123" w:type="dxa"/>
            <w:gridSpan w:val="2"/>
            <w:tcBorders>
              <w:bottom w:val="single" w:color="000000" w:sz="10" w:space="0"/>
            </w:tcBorders>
            <w:vAlign w:val="top"/>
          </w:tcPr>
          <w:p w14:paraId="23EF2F2F">
            <w:pPr>
              <w:rPr>
                <w:rFonts w:ascii="Arial"/>
                <w:sz w:val="21"/>
              </w:rPr>
            </w:pPr>
          </w:p>
        </w:tc>
        <w:tc>
          <w:tcPr>
            <w:tcW w:w="655" w:type="dxa"/>
            <w:gridSpan w:val="2"/>
            <w:tcBorders>
              <w:bottom w:val="single" w:color="000000" w:sz="10" w:space="0"/>
            </w:tcBorders>
            <w:vAlign w:val="top"/>
          </w:tcPr>
          <w:p w14:paraId="2DA201A6">
            <w:pPr>
              <w:pStyle w:val="6"/>
              <w:spacing w:before="82" w:line="223" w:lineRule="auto"/>
              <w:ind w:left="244"/>
              <w:rPr>
                <w:sz w:val="20"/>
                <w:szCs w:val="20"/>
              </w:rPr>
            </w:pPr>
            <w:r>
              <w:rPr>
                <w:sz w:val="20"/>
                <w:szCs w:val="20"/>
              </w:rPr>
              <w:t>台</w:t>
            </w:r>
          </w:p>
        </w:tc>
        <w:tc>
          <w:tcPr>
            <w:tcW w:w="810" w:type="dxa"/>
            <w:gridSpan w:val="2"/>
            <w:tcBorders>
              <w:bottom w:val="single" w:color="000000" w:sz="10" w:space="0"/>
            </w:tcBorders>
            <w:vAlign w:val="top"/>
          </w:tcPr>
          <w:p w14:paraId="2A98E085">
            <w:pPr>
              <w:pStyle w:val="6"/>
              <w:spacing w:before="115" w:line="189" w:lineRule="auto"/>
              <w:ind w:left="378"/>
              <w:rPr>
                <w:sz w:val="20"/>
                <w:szCs w:val="20"/>
              </w:rPr>
            </w:pPr>
            <w:r>
              <w:rPr>
                <w:sz w:val="20"/>
                <w:szCs w:val="20"/>
              </w:rPr>
              <w:t>1</w:t>
            </w:r>
          </w:p>
        </w:tc>
        <w:tc>
          <w:tcPr>
            <w:tcW w:w="2442" w:type="dxa"/>
            <w:gridSpan w:val="2"/>
            <w:tcBorders>
              <w:bottom w:val="single" w:color="000000" w:sz="10" w:space="0"/>
              <w:right w:val="single" w:color="000000" w:sz="10" w:space="0"/>
            </w:tcBorders>
            <w:vAlign w:val="top"/>
          </w:tcPr>
          <w:p w14:paraId="22B59A27">
            <w:pPr>
              <w:rPr>
                <w:rFonts w:ascii="Arial"/>
                <w:sz w:val="21"/>
              </w:rPr>
            </w:pPr>
          </w:p>
        </w:tc>
      </w:tr>
      <w:tr w14:paraId="79F1F7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4" w:hRule="atLeast"/>
        </w:trPr>
        <w:tc>
          <w:tcPr>
            <w:tcW w:w="664" w:type="dxa"/>
            <w:vMerge w:val="continue"/>
            <w:tcBorders>
              <w:top w:val="nil"/>
              <w:left w:val="single" w:color="000000" w:sz="10" w:space="0"/>
              <w:bottom w:val="nil"/>
            </w:tcBorders>
            <w:vAlign w:val="top"/>
          </w:tcPr>
          <w:p w14:paraId="186E2174">
            <w:pPr>
              <w:rPr>
                <w:rFonts w:ascii="Arial"/>
                <w:sz w:val="21"/>
              </w:rPr>
            </w:pPr>
          </w:p>
        </w:tc>
        <w:tc>
          <w:tcPr>
            <w:tcW w:w="8240" w:type="dxa"/>
            <w:gridSpan w:val="13"/>
            <w:tcBorders>
              <w:top w:val="single" w:color="000000" w:sz="10" w:space="0"/>
              <w:bottom w:val="single" w:color="000000" w:sz="10" w:space="0"/>
              <w:right w:val="single" w:color="000000" w:sz="10" w:space="0"/>
            </w:tcBorders>
            <w:vAlign w:val="top"/>
          </w:tcPr>
          <w:p w14:paraId="72A44A85">
            <w:pPr>
              <w:pStyle w:val="6"/>
              <w:spacing w:before="32" w:line="219" w:lineRule="auto"/>
              <w:ind w:left="578"/>
            </w:pPr>
            <w:r>
              <w:rPr>
                <w:rFonts w:ascii="Times New Roman" w:hAnsi="Times New Roman" w:eastAsia="Times New Roman" w:cs="Times New Roman"/>
                <w:b/>
                <w:bCs/>
                <w:spacing w:val="-5"/>
              </w:rPr>
              <w:t>3</w:t>
            </w:r>
            <w:r>
              <w:rPr>
                <w:rFonts w:ascii="Times New Roman" w:hAnsi="Times New Roman" w:eastAsia="Times New Roman" w:cs="Times New Roman"/>
                <w:b/>
                <w:bCs/>
                <w:spacing w:val="-26"/>
              </w:rPr>
              <w:t xml:space="preserve"> </w:t>
            </w:r>
            <w:r>
              <w:rPr>
                <w:b/>
                <w:bCs/>
                <w:spacing w:val="-5"/>
              </w:rPr>
              <w:t>、原辅材料及产品方案</w:t>
            </w:r>
          </w:p>
          <w:p w14:paraId="24FF258E">
            <w:pPr>
              <w:pStyle w:val="6"/>
              <w:spacing w:before="180" w:line="219" w:lineRule="auto"/>
              <w:ind w:left="587"/>
            </w:pPr>
            <w:r>
              <w:rPr>
                <w:spacing w:val="-1"/>
              </w:rPr>
              <w:t>项目主要原辅材料消耗见下表。</w:t>
            </w:r>
          </w:p>
          <w:p w14:paraId="4ADD774B">
            <w:pPr>
              <w:pStyle w:val="6"/>
              <w:spacing w:before="183" w:line="219" w:lineRule="auto"/>
              <w:ind w:left="2305"/>
            </w:pPr>
            <w:r>
              <w:rPr>
                <w:b/>
                <w:bCs/>
                <w:spacing w:val="-2"/>
              </w:rPr>
              <w:t>表</w:t>
            </w:r>
            <w:r>
              <w:rPr>
                <w:spacing w:val="-49"/>
              </w:rPr>
              <w:t xml:space="preserve"> </w:t>
            </w:r>
            <w:r>
              <w:rPr>
                <w:rFonts w:ascii="Times New Roman" w:hAnsi="Times New Roman" w:eastAsia="Times New Roman" w:cs="Times New Roman"/>
                <w:b/>
                <w:bCs/>
                <w:spacing w:val="-2"/>
              </w:rPr>
              <w:t xml:space="preserve">2-3      </w:t>
            </w:r>
            <w:r>
              <w:rPr>
                <w:b/>
                <w:bCs/>
                <w:spacing w:val="-2"/>
              </w:rPr>
              <w:t>项目主要原辅材料一览表</w:t>
            </w:r>
          </w:p>
        </w:tc>
      </w:tr>
      <w:tr w14:paraId="75D88E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664" w:type="dxa"/>
            <w:vMerge w:val="continue"/>
            <w:tcBorders>
              <w:top w:val="nil"/>
              <w:left w:val="single" w:color="000000" w:sz="10" w:space="0"/>
              <w:bottom w:val="nil"/>
            </w:tcBorders>
            <w:vAlign w:val="top"/>
          </w:tcPr>
          <w:p w14:paraId="2AA89723">
            <w:pPr>
              <w:rPr>
                <w:rFonts w:ascii="Arial"/>
                <w:sz w:val="21"/>
              </w:rPr>
            </w:pPr>
          </w:p>
        </w:tc>
        <w:tc>
          <w:tcPr>
            <w:tcW w:w="1126" w:type="dxa"/>
            <w:gridSpan w:val="4"/>
            <w:tcBorders>
              <w:top w:val="single" w:color="000000" w:sz="10" w:space="0"/>
            </w:tcBorders>
            <w:vAlign w:val="top"/>
          </w:tcPr>
          <w:p w14:paraId="5182D1DE">
            <w:pPr>
              <w:pStyle w:val="6"/>
              <w:spacing w:before="75" w:line="212" w:lineRule="auto"/>
              <w:ind w:left="401"/>
              <w:rPr>
                <w:sz w:val="20"/>
                <w:szCs w:val="20"/>
              </w:rPr>
            </w:pPr>
            <w:r>
              <w:rPr>
                <w:b/>
                <w:bCs/>
                <w:spacing w:val="4"/>
                <w:sz w:val="20"/>
                <w:szCs w:val="20"/>
              </w:rPr>
              <w:t>序号</w:t>
            </w:r>
          </w:p>
        </w:tc>
        <w:tc>
          <w:tcPr>
            <w:tcW w:w="2207" w:type="dxa"/>
            <w:gridSpan w:val="2"/>
            <w:tcBorders>
              <w:top w:val="single" w:color="000000" w:sz="10" w:space="0"/>
            </w:tcBorders>
            <w:vAlign w:val="top"/>
          </w:tcPr>
          <w:p w14:paraId="0CFF67B1">
            <w:pPr>
              <w:pStyle w:val="6"/>
              <w:spacing w:before="75" w:line="212" w:lineRule="auto"/>
              <w:ind w:left="894"/>
              <w:rPr>
                <w:sz w:val="20"/>
                <w:szCs w:val="20"/>
              </w:rPr>
            </w:pPr>
            <w:r>
              <w:rPr>
                <w:b/>
                <w:bCs/>
                <w:spacing w:val="2"/>
                <w:sz w:val="20"/>
                <w:szCs w:val="20"/>
              </w:rPr>
              <w:t>名称</w:t>
            </w:r>
          </w:p>
        </w:tc>
        <w:tc>
          <w:tcPr>
            <w:tcW w:w="1146" w:type="dxa"/>
            <w:gridSpan w:val="2"/>
            <w:tcBorders>
              <w:top w:val="single" w:color="000000" w:sz="10" w:space="0"/>
            </w:tcBorders>
            <w:vAlign w:val="top"/>
          </w:tcPr>
          <w:p w14:paraId="05E7E48A">
            <w:pPr>
              <w:pStyle w:val="6"/>
              <w:spacing w:before="75" w:line="212" w:lineRule="auto"/>
              <w:ind w:left="371"/>
              <w:rPr>
                <w:sz w:val="20"/>
                <w:szCs w:val="20"/>
              </w:rPr>
            </w:pPr>
            <w:r>
              <w:rPr>
                <w:b/>
                <w:bCs/>
                <w:spacing w:val="3"/>
                <w:sz w:val="20"/>
                <w:szCs w:val="20"/>
              </w:rPr>
              <w:t>单位</w:t>
            </w:r>
          </w:p>
        </w:tc>
        <w:tc>
          <w:tcPr>
            <w:tcW w:w="1416" w:type="dxa"/>
            <w:gridSpan w:val="4"/>
            <w:tcBorders>
              <w:top w:val="single" w:color="000000" w:sz="10" w:space="0"/>
            </w:tcBorders>
            <w:vAlign w:val="top"/>
          </w:tcPr>
          <w:p w14:paraId="23C9A184">
            <w:pPr>
              <w:pStyle w:val="6"/>
              <w:spacing w:before="75" w:line="212" w:lineRule="auto"/>
              <w:ind w:left="299"/>
              <w:rPr>
                <w:sz w:val="20"/>
                <w:szCs w:val="20"/>
              </w:rPr>
            </w:pPr>
            <w:r>
              <w:rPr>
                <w:b/>
                <w:bCs/>
                <w:spacing w:val="6"/>
                <w:sz w:val="20"/>
                <w:szCs w:val="20"/>
              </w:rPr>
              <w:t>年消耗量</w:t>
            </w:r>
          </w:p>
        </w:tc>
        <w:tc>
          <w:tcPr>
            <w:tcW w:w="2345" w:type="dxa"/>
            <w:tcBorders>
              <w:top w:val="single" w:color="000000" w:sz="10" w:space="0"/>
              <w:right w:val="single" w:color="000000" w:sz="10" w:space="0"/>
            </w:tcBorders>
            <w:vAlign w:val="top"/>
          </w:tcPr>
          <w:p w14:paraId="29155E77">
            <w:pPr>
              <w:pStyle w:val="6"/>
              <w:spacing w:before="75" w:line="212" w:lineRule="auto"/>
              <w:ind w:left="917"/>
              <w:rPr>
                <w:sz w:val="20"/>
                <w:szCs w:val="20"/>
              </w:rPr>
            </w:pPr>
            <w:r>
              <w:rPr>
                <w:b/>
                <w:bCs/>
                <w:spacing w:val="2"/>
                <w:sz w:val="20"/>
                <w:szCs w:val="20"/>
              </w:rPr>
              <w:t>备注</w:t>
            </w:r>
          </w:p>
        </w:tc>
      </w:tr>
      <w:tr w14:paraId="57A3A3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664" w:type="dxa"/>
            <w:vMerge w:val="continue"/>
            <w:tcBorders>
              <w:top w:val="nil"/>
              <w:left w:val="single" w:color="000000" w:sz="10" w:space="0"/>
              <w:bottom w:val="nil"/>
            </w:tcBorders>
            <w:vAlign w:val="top"/>
          </w:tcPr>
          <w:p w14:paraId="76DD83D8">
            <w:pPr>
              <w:rPr>
                <w:rFonts w:ascii="Arial"/>
                <w:sz w:val="21"/>
              </w:rPr>
            </w:pPr>
          </w:p>
        </w:tc>
        <w:tc>
          <w:tcPr>
            <w:tcW w:w="1126" w:type="dxa"/>
            <w:gridSpan w:val="4"/>
            <w:vAlign w:val="top"/>
          </w:tcPr>
          <w:p w14:paraId="62CB91B1">
            <w:pPr>
              <w:spacing w:before="120" w:line="195" w:lineRule="auto"/>
              <w:ind w:left="577"/>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2207" w:type="dxa"/>
            <w:gridSpan w:val="2"/>
            <w:vAlign w:val="top"/>
          </w:tcPr>
          <w:p w14:paraId="45E3EFB8">
            <w:pPr>
              <w:pStyle w:val="6"/>
              <w:spacing w:before="84" w:line="212" w:lineRule="auto"/>
              <w:ind w:left="681"/>
              <w:rPr>
                <w:sz w:val="20"/>
                <w:szCs w:val="20"/>
              </w:rPr>
            </w:pPr>
            <w:r>
              <w:rPr>
                <w:spacing w:val="7"/>
                <w:sz w:val="20"/>
                <w:szCs w:val="20"/>
              </w:rPr>
              <w:t>报废农机</w:t>
            </w:r>
          </w:p>
        </w:tc>
        <w:tc>
          <w:tcPr>
            <w:tcW w:w="1146" w:type="dxa"/>
            <w:gridSpan w:val="2"/>
            <w:vAlign w:val="top"/>
          </w:tcPr>
          <w:p w14:paraId="50985BE8">
            <w:pPr>
              <w:pStyle w:val="6"/>
              <w:spacing w:before="84" w:line="212" w:lineRule="auto"/>
              <w:ind w:left="474"/>
              <w:rPr>
                <w:sz w:val="20"/>
                <w:szCs w:val="20"/>
              </w:rPr>
            </w:pPr>
            <w:r>
              <w:rPr>
                <w:spacing w:val="1"/>
                <w:sz w:val="20"/>
                <w:szCs w:val="20"/>
              </w:rPr>
              <w:t>辆</w:t>
            </w:r>
          </w:p>
        </w:tc>
        <w:tc>
          <w:tcPr>
            <w:tcW w:w="1416" w:type="dxa"/>
            <w:gridSpan w:val="4"/>
            <w:vAlign w:val="top"/>
          </w:tcPr>
          <w:p w14:paraId="63ACB773">
            <w:pPr>
              <w:pStyle w:val="6"/>
              <w:spacing w:before="117" w:line="181" w:lineRule="auto"/>
              <w:ind w:left="563"/>
              <w:rPr>
                <w:sz w:val="20"/>
                <w:szCs w:val="20"/>
              </w:rPr>
            </w:pPr>
            <w:r>
              <w:rPr>
                <w:spacing w:val="2"/>
                <w:sz w:val="20"/>
                <w:szCs w:val="20"/>
              </w:rPr>
              <w:t>800</w:t>
            </w:r>
          </w:p>
        </w:tc>
        <w:tc>
          <w:tcPr>
            <w:tcW w:w="2345" w:type="dxa"/>
            <w:tcBorders>
              <w:right w:val="single" w:color="000000" w:sz="10" w:space="0"/>
            </w:tcBorders>
            <w:vAlign w:val="top"/>
          </w:tcPr>
          <w:p w14:paraId="33A3F252">
            <w:pPr>
              <w:rPr>
                <w:rFonts w:ascii="Arial"/>
                <w:sz w:val="21"/>
              </w:rPr>
            </w:pPr>
          </w:p>
        </w:tc>
      </w:tr>
      <w:tr w14:paraId="3391FC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664" w:type="dxa"/>
            <w:vMerge w:val="continue"/>
            <w:tcBorders>
              <w:top w:val="nil"/>
              <w:left w:val="single" w:color="000000" w:sz="10" w:space="0"/>
              <w:bottom w:val="nil"/>
            </w:tcBorders>
            <w:vAlign w:val="top"/>
          </w:tcPr>
          <w:p w14:paraId="20A8E869">
            <w:pPr>
              <w:rPr>
                <w:rFonts w:ascii="Arial"/>
                <w:sz w:val="21"/>
              </w:rPr>
            </w:pPr>
          </w:p>
        </w:tc>
        <w:tc>
          <w:tcPr>
            <w:tcW w:w="1126" w:type="dxa"/>
            <w:gridSpan w:val="4"/>
            <w:vAlign w:val="top"/>
          </w:tcPr>
          <w:p w14:paraId="521A059A">
            <w:pPr>
              <w:spacing w:before="149" w:line="195" w:lineRule="auto"/>
              <w:ind w:left="556"/>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2207" w:type="dxa"/>
            <w:gridSpan w:val="2"/>
            <w:vAlign w:val="top"/>
          </w:tcPr>
          <w:p w14:paraId="40A523B8">
            <w:pPr>
              <w:pStyle w:val="6"/>
              <w:spacing w:before="139" w:line="210" w:lineRule="auto"/>
              <w:ind w:left="791"/>
              <w:rPr>
                <w:sz w:val="20"/>
                <w:szCs w:val="20"/>
              </w:rPr>
            </w:pPr>
            <w:r>
              <w:rPr>
                <w:spacing w:val="5"/>
                <w:sz w:val="20"/>
                <w:szCs w:val="20"/>
              </w:rPr>
              <w:t>活性碳</w:t>
            </w:r>
          </w:p>
        </w:tc>
        <w:tc>
          <w:tcPr>
            <w:tcW w:w="1146" w:type="dxa"/>
            <w:gridSpan w:val="2"/>
            <w:vAlign w:val="top"/>
          </w:tcPr>
          <w:p w14:paraId="66612C4B">
            <w:pPr>
              <w:pStyle w:val="6"/>
              <w:spacing w:before="139" w:line="210" w:lineRule="auto"/>
              <w:ind w:left="530"/>
              <w:rPr>
                <w:sz w:val="20"/>
                <w:szCs w:val="20"/>
              </w:rPr>
            </w:pPr>
            <w:r>
              <w:rPr>
                <w:spacing w:val="1"/>
                <w:sz w:val="20"/>
                <w:szCs w:val="20"/>
              </w:rPr>
              <w:t>kg</w:t>
            </w:r>
          </w:p>
        </w:tc>
        <w:tc>
          <w:tcPr>
            <w:tcW w:w="1416" w:type="dxa"/>
            <w:gridSpan w:val="4"/>
            <w:vAlign w:val="top"/>
          </w:tcPr>
          <w:p w14:paraId="663E460D">
            <w:pPr>
              <w:pStyle w:val="6"/>
              <w:spacing w:before="119" w:line="189" w:lineRule="auto"/>
              <w:ind w:left="670"/>
              <w:rPr>
                <w:sz w:val="20"/>
                <w:szCs w:val="20"/>
              </w:rPr>
            </w:pPr>
            <w:r>
              <w:rPr>
                <w:sz w:val="20"/>
                <w:szCs w:val="20"/>
              </w:rPr>
              <w:t>2</w:t>
            </w:r>
          </w:p>
        </w:tc>
        <w:tc>
          <w:tcPr>
            <w:tcW w:w="2345" w:type="dxa"/>
            <w:tcBorders>
              <w:right w:val="single" w:color="000000" w:sz="10" w:space="0"/>
            </w:tcBorders>
            <w:vAlign w:val="top"/>
          </w:tcPr>
          <w:p w14:paraId="38C826F2">
            <w:pPr>
              <w:rPr>
                <w:rFonts w:ascii="Arial"/>
                <w:sz w:val="21"/>
              </w:rPr>
            </w:pPr>
          </w:p>
        </w:tc>
      </w:tr>
      <w:tr w14:paraId="3513F1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664" w:type="dxa"/>
            <w:vMerge w:val="continue"/>
            <w:tcBorders>
              <w:top w:val="nil"/>
              <w:left w:val="single" w:color="000000" w:sz="10" w:space="0"/>
              <w:bottom w:val="nil"/>
            </w:tcBorders>
            <w:vAlign w:val="top"/>
          </w:tcPr>
          <w:p w14:paraId="2E5FE41B">
            <w:pPr>
              <w:rPr>
                <w:rFonts w:ascii="Arial"/>
                <w:sz w:val="21"/>
              </w:rPr>
            </w:pPr>
          </w:p>
        </w:tc>
        <w:tc>
          <w:tcPr>
            <w:tcW w:w="1126" w:type="dxa"/>
            <w:gridSpan w:val="4"/>
            <w:vAlign w:val="top"/>
          </w:tcPr>
          <w:p w14:paraId="2A766A10">
            <w:pPr>
              <w:spacing w:before="148" w:line="195" w:lineRule="auto"/>
              <w:ind w:left="561"/>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2207" w:type="dxa"/>
            <w:gridSpan w:val="2"/>
            <w:vAlign w:val="top"/>
          </w:tcPr>
          <w:p w14:paraId="06A491D4">
            <w:pPr>
              <w:pStyle w:val="6"/>
              <w:spacing w:before="139" w:line="209" w:lineRule="auto"/>
              <w:ind w:left="796"/>
              <w:rPr>
                <w:sz w:val="20"/>
                <w:szCs w:val="20"/>
              </w:rPr>
            </w:pPr>
            <w:r>
              <w:rPr>
                <w:spacing w:val="4"/>
                <w:sz w:val="20"/>
                <w:szCs w:val="20"/>
              </w:rPr>
              <w:t>吸油毡</w:t>
            </w:r>
          </w:p>
        </w:tc>
        <w:tc>
          <w:tcPr>
            <w:tcW w:w="1146" w:type="dxa"/>
            <w:gridSpan w:val="2"/>
            <w:vAlign w:val="top"/>
          </w:tcPr>
          <w:p w14:paraId="58BA4B96">
            <w:pPr>
              <w:pStyle w:val="6"/>
              <w:spacing w:before="139" w:line="209" w:lineRule="auto"/>
              <w:ind w:left="537"/>
              <w:rPr>
                <w:sz w:val="20"/>
                <w:szCs w:val="20"/>
              </w:rPr>
            </w:pPr>
            <w:r>
              <w:rPr>
                <w:sz w:val="20"/>
                <w:szCs w:val="20"/>
              </w:rPr>
              <w:t>t</w:t>
            </w:r>
          </w:p>
        </w:tc>
        <w:tc>
          <w:tcPr>
            <w:tcW w:w="1416" w:type="dxa"/>
            <w:gridSpan w:val="4"/>
            <w:vAlign w:val="top"/>
          </w:tcPr>
          <w:p w14:paraId="3DAE69DE">
            <w:pPr>
              <w:pStyle w:val="6"/>
              <w:spacing w:before="119" w:line="189" w:lineRule="auto"/>
              <w:ind w:left="513"/>
              <w:rPr>
                <w:sz w:val="20"/>
                <w:szCs w:val="20"/>
              </w:rPr>
            </w:pPr>
            <w:r>
              <w:rPr>
                <w:spacing w:val="2"/>
                <w:sz w:val="20"/>
                <w:szCs w:val="20"/>
              </w:rPr>
              <w:t>0.64</w:t>
            </w:r>
          </w:p>
        </w:tc>
        <w:tc>
          <w:tcPr>
            <w:tcW w:w="2345" w:type="dxa"/>
            <w:tcBorders>
              <w:right w:val="single" w:color="000000" w:sz="10" w:space="0"/>
            </w:tcBorders>
            <w:vAlign w:val="top"/>
          </w:tcPr>
          <w:p w14:paraId="25252CC7">
            <w:pPr>
              <w:rPr>
                <w:rFonts w:ascii="Arial"/>
                <w:sz w:val="21"/>
              </w:rPr>
            </w:pPr>
          </w:p>
        </w:tc>
      </w:tr>
      <w:tr w14:paraId="1980FA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664" w:type="dxa"/>
            <w:vMerge w:val="continue"/>
            <w:tcBorders>
              <w:top w:val="nil"/>
              <w:left w:val="single" w:color="000000" w:sz="10" w:space="0"/>
              <w:bottom w:val="nil"/>
            </w:tcBorders>
            <w:vAlign w:val="top"/>
          </w:tcPr>
          <w:p w14:paraId="52117CB7">
            <w:pPr>
              <w:rPr>
                <w:rFonts w:ascii="Arial"/>
                <w:sz w:val="21"/>
              </w:rPr>
            </w:pPr>
          </w:p>
        </w:tc>
        <w:tc>
          <w:tcPr>
            <w:tcW w:w="1126" w:type="dxa"/>
            <w:gridSpan w:val="4"/>
            <w:vAlign w:val="top"/>
          </w:tcPr>
          <w:p w14:paraId="69CEB52F">
            <w:pPr>
              <w:spacing w:before="149" w:line="195" w:lineRule="auto"/>
              <w:ind w:left="55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2207" w:type="dxa"/>
            <w:gridSpan w:val="2"/>
            <w:vAlign w:val="top"/>
          </w:tcPr>
          <w:p w14:paraId="7DD26624">
            <w:pPr>
              <w:pStyle w:val="6"/>
              <w:spacing w:before="141" w:line="208" w:lineRule="auto"/>
              <w:ind w:left="891"/>
              <w:rPr>
                <w:sz w:val="20"/>
                <w:szCs w:val="20"/>
              </w:rPr>
            </w:pPr>
            <w:r>
              <w:rPr>
                <w:spacing w:val="4"/>
                <w:sz w:val="20"/>
                <w:szCs w:val="20"/>
              </w:rPr>
              <w:t>手套</w:t>
            </w:r>
          </w:p>
        </w:tc>
        <w:tc>
          <w:tcPr>
            <w:tcW w:w="1146" w:type="dxa"/>
            <w:gridSpan w:val="2"/>
            <w:vAlign w:val="top"/>
          </w:tcPr>
          <w:p w14:paraId="51C66047">
            <w:pPr>
              <w:pStyle w:val="6"/>
              <w:spacing w:before="141" w:line="208" w:lineRule="auto"/>
              <w:ind w:left="537"/>
              <w:rPr>
                <w:sz w:val="20"/>
                <w:szCs w:val="20"/>
              </w:rPr>
            </w:pPr>
            <w:r>
              <w:rPr>
                <w:sz w:val="20"/>
                <w:szCs w:val="20"/>
              </w:rPr>
              <w:t>t</w:t>
            </w:r>
          </w:p>
        </w:tc>
        <w:tc>
          <w:tcPr>
            <w:tcW w:w="1416" w:type="dxa"/>
            <w:gridSpan w:val="4"/>
            <w:vAlign w:val="top"/>
          </w:tcPr>
          <w:p w14:paraId="10DAA792">
            <w:pPr>
              <w:pStyle w:val="6"/>
              <w:spacing w:before="121" w:line="190" w:lineRule="auto"/>
              <w:ind w:left="513"/>
              <w:rPr>
                <w:sz w:val="20"/>
                <w:szCs w:val="20"/>
              </w:rPr>
            </w:pPr>
            <w:r>
              <w:rPr>
                <w:spacing w:val="2"/>
                <w:sz w:val="20"/>
                <w:szCs w:val="20"/>
              </w:rPr>
              <w:t>0.16</w:t>
            </w:r>
          </w:p>
        </w:tc>
        <w:tc>
          <w:tcPr>
            <w:tcW w:w="2345" w:type="dxa"/>
            <w:tcBorders>
              <w:right w:val="single" w:color="000000" w:sz="10" w:space="0"/>
            </w:tcBorders>
            <w:vAlign w:val="top"/>
          </w:tcPr>
          <w:p w14:paraId="0BA3E3F5">
            <w:pPr>
              <w:rPr>
                <w:rFonts w:ascii="Arial"/>
                <w:sz w:val="21"/>
              </w:rPr>
            </w:pPr>
          </w:p>
        </w:tc>
      </w:tr>
      <w:tr w14:paraId="5C58F7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664" w:type="dxa"/>
            <w:vMerge w:val="continue"/>
            <w:tcBorders>
              <w:top w:val="nil"/>
              <w:left w:val="single" w:color="000000" w:sz="10" w:space="0"/>
              <w:bottom w:val="nil"/>
            </w:tcBorders>
            <w:vAlign w:val="top"/>
          </w:tcPr>
          <w:p w14:paraId="18F23F0B">
            <w:pPr>
              <w:rPr>
                <w:rFonts w:ascii="Arial"/>
                <w:sz w:val="21"/>
              </w:rPr>
            </w:pPr>
          </w:p>
        </w:tc>
        <w:tc>
          <w:tcPr>
            <w:tcW w:w="1126" w:type="dxa"/>
            <w:gridSpan w:val="4"/>
            <w:vAlign w:val="top"/>
          </w:tcPr>
          <w:p w14:paraId="134CB8DD">
            <w:pPr>
              <w:spacing w:before="127" w:line="192" w:lineRule="auto"/>
              <w:ind w:left="562"/>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c>
          <w:tcPr>
            <w:tcW w:w="2207" w:type="dxa"/>
            <w:gridSpan w:val="2"/>
            <w:vAlign w:val="top"/>
          </w:tcPr>
          <w:p w14:paraId="1C5A0A98">
            <w:pPr>
              <w:pStyle w:val="6"/>
              <w:spacing w:before="88" w:line="209" w:lineRule="auto"/>
              <w:ind w:left="1002"/>
              <w:rPr>
                <w:sz w:val="20"/>
                <w:szCs w:val="20"/>
              </w:rPr>
            </w:pPr>
            <w:r>
              <w:rPr>
                <w:sz w:val="20"/>
                <w:szCs w:val="20"/>
              </w:rPr>
              <w:t>水</w:t>
            </w:r>
          </w:p>
        </w:tc>
        <w:tc>
          <w:tcPr>
            <w:tcW w:w="1146" w:type="dxa"/>
            <w:gridSpan w:val="2"/>
            <w:vAlign w:val="top"/>
          </w:tcPr>
          <w:p w14:paraId="303400D7">
            <w:pPr>
              <w:pStyle w:val="6"/>
              <w:spacing w:before="88" w:line="209" w:lineRule="auto"/>
              <w:ind w:left="532"/>
              <w:rPr>
                <w:sz w:val="20"/>
                <w:szCs w:val="20"/>
              </w:rPr>
            </w:pPr>
            <w:r>
              <w:rPr>
                <w:sz w:val="20"/>
                <w:szCs w:val="20"/>
              </w:rPr>
              <w:t>t</w:t>
            </w:r>
          </w:p>
        </w:tc>
        <w:tc>
          <w:tcPr>
            <w:tcW w:w="1416" w:type="dxa"/>
            <w:gridSpan w:val="4"/>
            <w:vAlign w:val="top"/>
          </w:tcPr>
          <w:p w14:paraId="3883FA22">
            <w:pPr>
              <w:pStyle w:val="6"/>
              <w:spacing w:before="121" w:line="179" w:lineRule="auto"/>
              <w:ind w:left="578"/>
              <w:rPr>
                <w:sz w:val="20"/>
                <w:szCs w:val="20"/>
              </w:rPr>
            </w:pPr>
            <w:r>
              <w:rPr>
                <w:spacing w:val="-3"/>
                <w:sz w:val="20"/>
                <w:szCs w:val="20"/>
              </w:rPr>
              <w:t>120</w:t>
            </w:r>
          </w:p>
        </w:tc>
        <w:tc>
          <w:tcPr>
            <w:tcW w:w="2345" w:type="dxa"/>
            <w:tcBorders>
              <w:right w:val="single" w:color="000000" w:sz="10" w:space="0"/>
            </w:tcBorders>
            <w:vAlign w:val="top"/>
          </w:tcPr>
          <w:p w14:paraId="6877278E">
            <w:pPr>
              <w:rPr>
                <w:rFonts w:ascii="Arial"/>
                <w:sz w:val="21"/>
              </w:rPr>
            </w:pPr>
          </w:p>
        </w:tc>
      </w:tr>
      <w:tr w14:paraId="713664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664" w:type="dxa"/>
            <w:vMerge w:val="continue"/>
            <w:tcBorders>
              <w:top w:val="nil"/>
              <w:left w:val="single" w:color="000000" w:sz="10" w:space="0"/>
              <w:bottom w:val="nil"/>
            </w:tcBorders>
            <w:vAlign w:val="top"/>
          </w:tcPr>
          <w:p w14:paraId="3A118735">
            <w:pPr>
              <w:rPr>
                <w:rFonts w:ascii="Arial"/>
                <w:sz w:val="21"/>
              </w:rPr>
            </w:pPr>
          </w:p>
        </w:tc>
        <w:tc>
          <w:tcPr>
            <w:tcW w:w="1126" w:type="dxa"/>
            <w:gridSpan w:val="4"/>
            <w:tcBorders>
              <w:bottom w:val="single" w:color="000000" w:sz="10" w:space="0"/>
            </w:tcBorders>
            <w:vAlign w:val="top"/>
          </w:tcPr>
          <w:p w14:paraId="51C386CE">
            <w:pPr>
              <w:spacing w:before="125" w:line="195" w:lineRule="auto"/>
              <w:ind w:left="561"/>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c>
          <w:tcPr>
            <w:tcW w:w="2207" w:type="dxa"/>
            <w:gridSpan w:val="2"/>
            <w:tcBorders>
              <w:bottom w:val="single" w:color="000000" w:sz="10" w:space="0"/>
            </w:tcBorders>
            <w:vAlign w:val="top"/>
          </w:tcPr>
          <w:p w14:paraId="3D964F59">
            <w:pPr>
              <w:pStyle w:val="6"/>
              <w:spacing w:before="90" w:line="216" w:lineRule="auto"/>
              <w:ind w:left="1024"/>
              <w:rPr>
                <w:sz w:val="20"/>
                <w:szCs w:val="20"/>
              </w:rPr>
            </w:pPr>
            <w:r>
              <w:rPr>
                <w:sz w:val="20"/>
                <w:szCs w:val="20"/>
              </w:rPr>
              <w:t>电</w:t>
            </w:r>
          </w:p>
        </w:tc>
        <w:tc>
          <w:tcPr>
            <w:tcW w:w="1146" w:type="dxa"/>
            <w:gridSpan w:val="2"/>
            <w:tcBorders>
              <w:bottom w:val="single" w:color="000000" w:sz="10" w:space="0"/>
            </w:tcBorders>
            <w:vAlign w:val="top"/>
          </w:tcPr>
          <w:p w14:paraId="017E2788">
            <w:pPr>
              <w:pStyle w:val="6"/>
              <w:spacing w:before="90" w:line="216" w:lineRule="auto"/>
              <w:ind w:left="313"/>
              <w:rPr>
                <w:sz w:val="20"/>
                <w:szCs w:val="20"/>
              </w:rPr>
            </w:pPr>
            <w:r>
              <w:rPr>
                <w:spacing w:val="-16"/>
                <w:sz w:val="20"/>
                <w:szCs w:val="20"/>
              </w:rPr>
              <w:t>Kw</w:t>
            </w:r>
            <w:r>
              <w:rPr>
                <w:spacing w:val="-18"/>
                <w:sz w:val="20"/>
                <w:szCs w:val="20"/>
              </w:rPr>
              <w:t xml:space="preserve"> </w:t>
            </w:r>
            <w:r>
              <w:rPr>
                <w:spacing w:val="-16"/>
                <w:sz w:val="20"/>
                <w:szCs w:val="20"/>
              </w:rPr>
              <w:t>·h</w:t>
            </w:r>
          </w:p>
        </w:tc>
        <w:tc>
          <w:tcPr>
            <w:tcW w:w="1416" w:type="dxa"/>
            <w:gridSpan w:val="4"/>
            <w:tcBorders>
              <w:bottom w:val="single" w:color="000000" w:sz="10" w:space="0"/>
            </w:tcBorders>
            <w:vAlign w:val="top"/>
          </w:tcPr>
          <w:p w14:paraId="518B580E">
            <w:pPr>
              <w:pStyle w:val="6"/>
              <w:spacing w:before="123" w:line="185" w:lineRule="auto"/>
              <w:ind w:left="513"/>
              <w:rPr>
                <w:sz w:val="20"/>
                <w:szCs w:val="20"/>
              </w:rPr>
            </w:pPr>
            <w:r>
              <w:rPr>
                <w:spacing w:val="2"/>
                <w:sz w:val="20"/>
                <w:szCs w:val="20"/>
              </w:rPr>
              <w:t>5000</w:t>
            </w:r>
          </w:p>
        </w:tc>
        <w:tc>
          <w:tcPr>
            <w:tcW w:w="2345" w:type="dxa"/>
            <w:tcBorders>
              <w:bottom w:val="single" w:color="000000" w:sz="10" w:space="0"/>
              <w:right w:val="single" w:color="000000" w:sz="10" w:space="0"/>
            </w:tcBorders>
            <w:vAlign w:val="top"/>
          </w:tcPr>
          <w:p w14:paraId="432AA3C7">
            <w:pPr>
              <w:rPr>
                <w:rFonts w:ascii="Arial"/>
                <w:sz w:val="21"/>
              </w:rPr>
            </w:pPr>
          </w:p>
        </w:tc>
      </w:tr>
      <w:tr w14:paraId="016DAA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2" w:hRule="atLeast"/>
        </w:trPr>
        <w:tc>
          <w:tcPr>
            <w:tcW w:w="664" w:type="dxa"/>
            <w:vMerge w:val="continue"/>
            <w:tcBorders>
              <w:top w:val="nil"/>
              <w:left w:val="single" w:color="000000" w:sz="10" w:space="0"/>
              <w:bottom w:val="nil"/>
            </w:tcBorders>
            <w:vAlign w:val="top"/>
          </w:tcPr>
          <w:p w14:paraId="4ADA83D7">
            <w:pPr>
              <w:rPr>
                <w:rFonts w:ascii="Arial"/>
                <w:sz w:val="21"/>
              </w:rPr>
            </w:pPr>
          </w:p>
        </w:tc>
        <w:tc>
          <w:tcPr>
            <w:tcW w:w="8240" w:type="dxa"/>
            <w:gridSpan w:val="13"/>
            <w:tcBorders>
              <w:top w:val="single" w:color="000000" w:sz="10" w:space="0"/>
              <w:bottom w:val="single" w:color="000000" w:sz="10" w:space="0"/>
              <w:right w:val="single" w:color="000000" w:sz="10" w:space="0"/>
            </w:tcBorders>
            <w:vAlign w:val="top"/>
          </w:tcPr>
          <w:p w14:paraId="32F6C1F0">
            <w:pPr>
              <w:pStyle w:val="6"/>
              <w:spacing w:before="38" w:line="355" w:lineRule="auto"/>
              <w:ind w:left="103" w:right="90" w:firstLine="480"/>
              <w:jc w:val="both"/>
            </w:pPr>
            <w:r>
              <w:rPr>
                <w:spacing w:val="-2"/>
              </w:rPr>
              <w:t>本项目拆解能力为</w:t>
            </w:r>
            <w:r>
              <w:rPr>
                <w:spacing w:val="-39"/>
              </w:rPr>
              <w:t xml:space="preserve"> </w:t>
            </w:r>
            <w:r>
              <w:rPr>
                <w:spacing w:val="-2"/>
              </w:rPr>
              <w:t>800</w:t>
            </w:r>
            <w:r>
              <w:rPr>
                <w:spacing w:val="-32"/>
              </w:rPr>
              <w:t xml:space="preserve"> </w:t>
            </w:r>
            <w:r>
              <w:rPr>
                <w:spacing w:val="-2"/>
              </w:rPr>
              <w:t>台/年，待处理废旧农机包括拖拉机、收割机、水</w:t>
            </w:r>
            <w:r>
              <w:t xml:space="preserve"> </w:t>
            </w:r>
            <w:r>
              <w:rPr>
                <w:spacing w:val="1"/>
              </w:rPr>
              <w:t>稻插秧机、玉米收割机等，不进行自走式农业机械拆解，按每台农机</w:t>
            </w:r>
            <w:r>
              <w:t>车</w:t>
            </w:r>
            <w:r>
              <w:rPr>
                <w:spacing w:val="-46"/>
              </w:rPr>
              <w:t xml:space="preserve"> </w:t>
            </w:r>
            <w:r>
              <w:t xml:space="preserve">3t计 </w:t>
            </w:r>
            <w:r>
              <w:rPr>
                <w:spacing w:val="-2"/>
              </w:rPr>
              <w:t>算，年处理总重量</w:t>
            </w:r>
            <w:r>
              <w:rPr>
                <w:spacing w:val="-48"/>
              </w:rPr>
              <w:t xml:space="preserve"> </w:t>
            </w:r>
            <w:r>
              <w:rPr>
                <w:spacing w:val="-2"/>
              </w:rPr>
              <w:t>2400t。本项目报废农机拆解产物</w:t>
            </w:r>
            <w:r>
              <w:rPr>
                <w:spacing w:val="-3"/>
              </w:rPr>
              <w:t>一般工业固体废物种类：</w:t>
            </w:r>
            <w:r>
              <w:t xml:space="preserve"> </w:t>
            </w:r>
            <w:r>
              <w:rPr>
                <w:spacing w:val="3"/>
              </w:rPr>
              <w:t xml:space="preserve">玻璃、废旧轮胎、塑料、密封胶条、金属类（钢、铸钢、铅、铜）、电子电 器产品；危险废物：燃料箱、废油液、废铅酸电池、制冷剂、液压油管、催 </w:t>
            </w:r>
            <w:r>
              <w:rPr>
                <w:spacing w:val="-1"/>
              </w:rPr>
              <w:t>化器。废农机拆解下来的产品及去向如下。</w:t>
            </w:r>
          </w:p>
          <w:p w14:paraId="14D3247D">
            <w:pPr>
              <w:pStyle w:val="6"/>
              <w:spacing w:before="33" w:line="201" w:lineRule="auto"/>
              <w:ind w:left="2665"/>
            </w:pPr>
            <w:r>
              <w:rPr>
                <w:b/>
                <w:bCs/>
                <w:spacing w:val="-2"/>
              </w:rPr>
              <w:t>表</w:t>
            </w:r>
            <w:r>
              <w:rPr>
                <w:spacing w:val="-50"/>
              </w:rPr>
              <w:t xml:space="preserve"> </w:t>
            </w:r>
            <w:r>
              <w:rPr>
                <w:rFonts w:ascii="Times New Roman" w:hAnsi="Times New Roman" w:eastAsia="Times New Roman" w:cs="Times New Roman"/>
                <w:b/>
                <w:bCs/>
                <w:spacing w:val="-2"/>
              </w:rPr>
              <w:t xml:space="preserve">2-4      </w:t>
            </w:r>
            <w:r>
              <w:rPr>
                <w:b/>
                <w:bCs/>
                <w:spacing w:val="-2"/>
              </w:rPr>
              <w:t>拆解农机物料平衡</w:t>
            </w:r>
          </w:p>
        </w:tc>
      </w:tr>
      <w:tr w14:paraId="7C31410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664" w:type="dxa"/>
            <w:vMerge w:val="continue"/>
            <w:tcBorders>
              <w:top w:val="nil"/>
              <w:left w:val="single" w:color="000000" w:sz="10" w:space="0"/>
              <w:bottom w:val="nil"/>
            </w:tcBorders>
            <w:vAlign w:val="top"/>
          </w:tcPr>
          <w:p w14:paraId="25E70E67">
            <w:pPr>
              <w:rPr>
                <w:rFonts w:ascii="Arial"/>
                <w:sz w:val="21"/>
              </w:rPr>
            </w:pPr>
          </w:p>
        </w:tc>
        <w:tc>
          <w:tcPr>
            <w:tcW w:w="1008" w:type="dxa"/>
            <w:gridSpan w:val="3"/>
            <w:tcBorders>
              <w:top w:val="single" w:color="000000" w:sz="10" w:space="0"/>
            </w:tcBorders>
            <w:vAlign w:val="top"/>
          </w:tcPr>
          <w:p w14:paraId="01528129">
            <w:pPr>
              <w:pStyle w:val="6"/>
              <w:spacing w:before="86" w:line="202" w:lineRule="auto"/>
              <w:ind w:left="344"/>
              <w:rPr>
                <w:sz w:val="20"/>
                <w:szCs w:val="20"/>
              </w:rPr>
            </w:pPr>
            <w:r>
              <w:rPr>
                <w:b/>
                <w:bCs/>
                <w:spacing w:val="2"/>
                <w:sz w:val="20"/>
                <w:szCs w:val="20"/>
              </w:rPr>
              <w:t>投入</w:t>
            </w:r>
          </w:p>
        </w:tc>
        <w:tc>
          <w:tcPr>
            <w:tcW w:w="7232" w:type="dxa"/>
            <w:gridSpan w:val="10"/>
            <w:tcBorders>
              <w:top w:val="single" w:color="000000" w:sz="10" w:space="0"/>
              <w:right w:val="single" w:color="000000" w:sz="10" w:space="0"/>
            </w:tcBorders>
            <w:vAlign w:val="top"/>
          </w:tcPr>
          <w:p w14:paraId="6F2DA02B">
            <w:pPr>
              <w:pStyle w:val="6"/>
              <w:spacing w:before="86" w:line="202" w:lineRule="auto"/>
              <w:ind w:left="3351"/>
              <w:rPr>
                <w:sz w:val="20"/>
                <w:szCs w:val="20"/>
              </w:rPr>
            </w:pPr>
            <w:r>
              <w:rPr>
                <w:b/>
                <w:bCs/>
                <w:spacing w:val="3"/>
                <w:sz w:val="20"/>
                <w:szCs w:val="20"/>
              </w:rPr>
              <w:t>产出</w:t>
            </w:r>
          </w:p>
        </w:tc>
      </w:tr>
      <w:tr w14:paraId="634D18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02" w:hRule="atLeast"/>
        </w:trPr>
        <w:tc>
          <w:tcPr>
            <w:tcW w:w="664" w:type="dxa"/>
            <w:vMerge w:val="continue"/>
            <w:tcBorders>
              <w:top w:val="nil"/>
              <w:left w:val="single" w:color="000000" w:sz="10" w:space="0"/>
              <w:bottom w:val="nil"/>
            </w:tcBorders>
            <w:vAlign w:val="top"/>
          </w:tcPr>
          <w:p w14:paraId="17710CDF">
            <w:pPr>
              <w:rPr>
                <w:rFonts w:ascii="Arial"/>
                <w:sz w:val="21"/>
              </w:rPr>
            </w:pPr>
          </w:p>
        </w:tc>
        <w:tc>
          <w:tcPr>
            <w:tcW w:w="449" w:type="dxa"/>
            <w:textDirection w:val="tbRlV"/>
            <w:vAlign w:val="top"/>
          </w:tcPr>
          <w:p w14:paraId="3B1CC391">
            <w:pPr>
              <w:pStyle w:val="6"/>
              <w:spacing w:before="33" w:line="218" w:lineRule="auto"/>
              <w:ind w:left="577"/>
              <w:rPr>
                <w:sz w:val="20"/>
                <w:szCs w:val="20"/>
              </w:rPr>
            </w:pPr>
            <w:r>
              <w:rPr>
                <w:b/>
                <w:bCs/>
                <w:spacing w:val="6"/>
                <w:sz w:val="20"/>
                <w:szCs w:val="20"/>
              </w:rPr>
              <w:t>名</w:t>
            </w:r>
            <w:r>
              <w:rPr>
                <w:spacing w:val="10"/>
                <w:sz w:val="20"/>
                <w:szCs w:val="20"/>
              </w:rPr>
              <w:t xml:space="preserve"> </w:t>
            </w:r>
            <w:r>
              <w:rPr>
                <w:b/>
                <w:bCs/>
                <w:spacing w:val="6"/>
                <w:sz w:val="20"/>
                <w:szCs w:val="20"/>
              </w:rPr>
              <w:t>称</w:t>
            </w:r>
          </w:p>
        </w:tc>
        <w:tc>
          <w:tcPr>
            <w:tcW w:w="559" w:type="dxa"/>
            <w:gridSpan w:val="2"/>
            <w:textDirection w:val="tbRlV"/>
            <w:vAlign w:val="top"/>
          </w:tcPr>
          <w:p w14:paraId="24CC95A4">
            <w:pPr>
              <w:pStyle w:val="6"/>
              <w:spacing w:before="183" w:line="217" w:lineRule="auto"/>
              <w:ind w:left="416"/>
              <w:rPr>
                <w:sz w:val="20"/>
                <w:szCs w:val="20"/>
              </w:rPr>
            </w:pPr>
            <w:r>
              <w:rPr>
                <w:b/>
                <w:bCs/>
                <w:spacing w:val="7"/>
                <w:sz w:val="20"/>
                <w:szCs w:val="20"/>
              </w:rPr>
              <w:t>投</w:t>
            </w:r>
            <w:r>
              <w:rPr>
                <w:spacing w:val="7"/>
                <w:sz w:val="20"/>
                <w:szCs w:val="20"/>
              </w:rPr>
              <w:t xml:space="preserve"> </w:t>
            </w:r>
            <w:r>
              <w:rPr>
                <w:b/>
                <w:bCs/>
                <w:spacing w:val="7"/>
                <w:sz w:val="20"/>
                <w:szCs w:val="20"/>
              </w:rPr>
              <w:t>入</w:t>
            </w:r>
            <w:r>
              <w:rPr>
                <w:spacing w:val="14"/>
                <w:sz w:val="20"/>
                <w:szCs w:val="20"/>
              </w:rPr>
              <w:t xml:space="preserve"> </w:t>
            </w:r>
            <w:r>
              <w:rPr>
                <w:b/>
                <w:bCs/>
                <w:spacing w:val="7"/>
                <w:sz w:val="20"/>
                <w:szCs w:val="20"/>
              </w:rPr>
              <w:t>量</w:t>
            </w:r>
          </w:p>
        </w:tc>
        <w:tc>
          <w:tcPr>
            <w:tcW w:w="3471" w:type="dxa"/>
            <w:gridSpan w:val="5"/>
            <w:vAlign w:val="top"/>
          </w:tcPr>
          <w:p w14:paraId="20E274C5">
            <w:pPr>
              <w:spacing w:line="333" w:lineRule="auto"/>
              <w:rPr>
                <w:rFonts w:ascii="Arial"/>
                <w:sz w:val="21"/>
              </w:rPr>
            </w:pPr>
          </w:p>
          <w:p w14:paraId="115C76C4">
            <w:pPr>
              <w:spacing w:line="333" w:lineRule="auto"/>
              <w:rPr>
                <w:rFonts w:ascii="Arial"/>
                <w:sz w:val="21"/>
              </w:rPr>
            </w:pPr>
          </w:p>
          <w:p w14:paraId="61E096E3">
            <w:pPr>
              <w:pStyle w:val="6"/>
              <w:spacing w:before="65" w:line="230" w:lineRule="auto"/>
              <w:ind w:left="1525"/>
              <w:rPr>
                <w:sz w:val="20"/>
                <w:szCs w:val="20"/>
              </w:rPr>
            </w:pPr>
            <w:r>
              <w:rPr>
                <w:b/>
                <w:bCs/>
                <w:spacing w:val="2"/>
                <w:sz w:val="20"/>
                <w:szCs w:val="20"/>
              </w:rPr>
              <w:t>名称</w:t>
            </w:r>
          </w:p>
        </w:tc>
        <w:tc>
          <w:tcPr>
            <w:tcW w:w="623" w:type="dxa"/>
            <w:gridSpan w:val="2"/>
            <w:vAlign w:val="top"/>
          </w:tcPr>
          <w:p w14:paraId="5AD7DE05">
            <w:pPr>
              <w:pStyle w:val="6"/>
              <w:spacing w:before="97" w:line="276" w:lineRule="auto"/>
              <w:ind w:left="105" w:right="117" w:firstLine="99"/>
              <w:jc w:val="right"/>
              <w:rPr>
                <w:sz w:val="20"/>
                <w:szCs w:val="20"/>
              </w:rPr>
            </w:pPr>
            <w:r>
              <w:rPr>
                <w:b/>
                <w:bCs/>
                <w:spacing w:val="-2"/>
                <w:sz w:val="20"/>
                <w:szCs w:val="20"/>
              </w:rPr>
              <w:t>产</w:t>
            </w:r>
            <w:r>
              <w:rPr>
                <w:sz w:val="20"/>
                <w:szCs w:val="20"/>
              </w:rPr>
              <w:t xml:space="preserve">  </w:t>
            </w:r>
            <w:r>
              <w:rPr>
                <w:b/>
                <w:bCs/>
                <w:spacing w:val="47"/>
                <w:w w:val="125"/>
                <w:sz w:val="20"/>
                <w:szCs w:val="20"/>
              </w:rPr>
              <w:t>出</w:t>
            </w:r>
            <w:r>
              <w:rPr>
                <w:sz w:val="20"/>
                <w:szCs w:val="20"/>
              </w:rPr>
              <w:t xml:space="preserve">  </w:t>
            </w:r>
            <w:r>
              <w:rPr>
                <w:b/>
                <w:bCs/>
                <w:spacing w:val="31"/>
                <w:w w:val="133"/>
                <w:sz w:val="20"/>
                <w:szCs w:val="20"/>
              </w:rPr>
              <w:t>量</w:t>
            </w:r>
            <w:r>
              <w:rPr>
                <w:sz w:val="20"/>
                <w:szCs w:val="20"/>
              </w:rPr>
              <w:t xml:space="preserve">  </w:t>
            </w:r>
            <w:r>
              <w:rPr>
                <w:b/>
                <w:bCs/>
                <w:spacing w:val="24"/>
                <w:sz w:val="20"/>
                <w:szCs w:val="20"/>
              </w:rPr>
              <w:t>（t</w:t>
            </w:r>
            <w:r>
              <w:rPr>
                <w:sz w:val="20"/>
                <w:szCs w:val="20"/>
              </w:rPr>
              <w:t xml:space="preserve"> </w:t>
            </w:r>
            <w:r>
              <w:rPr>
                <w:b/>
                <w:bCs/>
                <w:spacing w:val="-4"/>
                <w:sz w:val="20"/>
                <w:szCs w:val="20"/>
              </w:rPr>
              <w:t>/a）</w:t>
            </w:r>
          </w:p>
        </w:tc>
        <w:tc>
          <w:tcPr>
            <w:tcW w:w="3138" w:type="dxa"/>
            <w:gridSpan w:val="3"/>
            <w:tcBorders>
              <w:right w:val="single" w:color="000000" w:sz="10" w:space="0"/>
            </w:tcBorders>
            <w:vAlign w:val="top"/>
          </w:tcPr>
          <w:p w14:paraId="76EF4DD0">
            <w:pPr>
              <w:spacing w:line="333" w:lineRule="auto"/>
              <w:rPr>
                <w:rFonts w:ascii="Arial"/>
                <w:sz w:val="21"/>
              </w:rPr>
            </w:pPr>
          </w:p>
          <w:p w14:paraId="4B7D1DA8">
            <w:pPr>
              <w:spacing w:line="333" w:lineRule="auto"/>
              <w:rPr>
                <w:rFonts w:ascii="Arial"/>
                <w:sz w:val="21"/>
              </w:rPr>
            </w:pPr>
          </w:p>
          <w:p w14:paraId="587DF4C9">
            <w:pPr>
              <w:pStyle w:val="6"/>
              <w:spacing w:before="65" w:line="229" w:lineRule="auto"/>
              <w:ind w:left="1310"/>
              <w:rPr>
                <w:sz w:val="20"/>
                <w:szCs w:val="20"/>
              </w:rPr>
            </w:pPr>
            <w:r>
              <w:rPr>
                <w:b/>
                <w:bCs/>
                <w:spacing w:val="2"/>
                <w:sz w:val="20"/>
                <w:szCs w:val="20"/>
              </w:rPr>
              <w:t>去向</w:t>
            </w:r>
          </w:p>
        </w:tc>
      </w:tr>
      <w:tr w14:paraId="03983F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64" w:type="dxa"/>
            <w:vMerge w:val="continue"/>
            <w:tcBorders>
              <w:top w:val="nil"/>
              <w:left w:val="single" w:color="000000" w:sz="10" w:space="0"/>
              <w:bottom w:val="nil"/>
            </w:tcBorders>
            <w:vAlign w:val="top"/>
          </w:tcPr>
          <w:p w14:paraId="26125AB4">
            <w:pPr>
              <w:rPr>
                <w:rFonts w:ascii="Arial"/>
                <w:sz w:val="21"/>
              </w:rPr>
            </w:pPr>
          </w:p>
        </w:tc>
        <w:tc>
          <w:tcPr>
            <w:tcW w:w="449" w:type="dxa"/>
            <w:vMerge w:val="restart"/>
            <w:tcBorders>
              <w:bottom w:val="nil"/>
            </w:tcBorders>
            <w:textDirection w:val="tbRlV"/>
            <w:vAlign w:val="top"/>
          </w:tcPr>
          <w:p w14:paraId="41C1221B">
            <w:pPr>
              <w:pStyle w:val="6"/>
              <w:spacing w:before="33" w:line="216" w:lineRule="auto"/>
              <w:ind w:left="467"/>
              <w:rPr>
                <w:sz w:val="20"/>
                <w:szCs w:val="20"/>
              </w:rPr>
            </w:pPr>
            <w:r>
              <w:rPr>
                <w:spacing w:val="9"/>
                <w:sz w:val="20"/>
                <w:szCs w:val="20"/>
              </w:rPr>
              <w:t>报</w:t>
            </w:r>
            <w:r>
              <w:rPr>
                <w:spacing w:val="12"/>
                <w:sz w:val="20"/>
                <w:szCs w:val="20"/>
              </w:rPr>
              <w:t xml:space="preserve"> </w:t>
            </w:r>
            <w:r>
              <w:rPr>
                <w:spacing w:val="9"/>
                <w:sz w:val="20"/>
                <w:szCs w:val="20"/>
              </w:rPr>
              <w:t>废 农</w:t>
            </w:r>
            <w:r>
              <w:rPr>
                <w:spacing w:val="10"/>
                <w:sz w:val="20"/>
                <w:szCs w:val="20"/>
              </w:rPr>
              <w:t xml:space="preserve"> </w:t>
            </w:r>
            <w:r>
              <w:rPr>
                <w:spacing w:val="9"/>
                <w:sz w:val="20"/>
                <w:szCs w:val="20"/>
              </w:rPr>
              <w:t>机</w:t>
            </w:r>
          </w:p>
        </w:tc>
        <w:tc>
          <w:tcPr>
            <w:tcW w:w="559" w:type="dxa"/>
            <w:gridSpan w:val="2"/>
            <w:vMerge w:val="restart"/>
            <w:tcBorders>
              <w:bottom w:val="nil"/>
            </w:tcBorders>
            <w:vAlign w:val="top"/>
          </w:tcPr>
          <w:p w14:paraId="17C6090D">
            <w:pPr>
              <w:pStyle w:val="6"/>
              <w:spacing w:before="179" w:line="285" w:lineRule="auto"/>
              <w:ind w:left="117" w:right="127" w:hanging="12"/>
              <w:jc w:val="both"/>
              <w:rPr>
                <w:sz w:val="20"/>
                <w:szCs w:val="20"/>
              </w:rPr>
            </w:pPr>
            <w:r>
              <w:rPr>
                <w:spacing w:val="1"/>
                <w:sz w:val="20"/>
                <w:szCs w:val="20"/>
              </w:rPr>
              <w:t>800</w:t>
            </w:r>
            <w:r>
              <w:rPr>
                <w:sz w:val="20"/>
                <w:szCs w:val="20"/>
              </w:rPr>
              <w:t xml:space="preserve"> </w:t>
            </w:r>
            <w:r>
              <w:rPr>
                <w:spacing w:val="44"/>
                <w:w w:val="105"/>
                <w:sz w:val="20"/>
                <w:szCs w:val="20"/>
              </w:rPr>
              <w:t>台</w:t>
            </w:r>
            <w:r>
              <w:rPr>
                <w:sz w:val="20"/>
                <w:szCs w:val="20"/>
              </w:rPr>
              <w:t xml:space="preserve"> </w:t>
            </w:r>
            <w:r>
              <w:rPr>
                <w:spacing w:val="11"/>
                <w:w w:val="116"/>
                <w:sz w:val="20"/>
                <w:szCs w:val="20"/>
              </w:rPr>
              <w:t>/a</w:t>
            </w:r>
            <w:r>
              <w:rPr>
                <w:sz w:val="20"/>
                <w:szCs w:val="20"/>
              </w:rPr>
              <w:t xml:space="preserve"> </w:t>
            </w:r>
            <w:r>
              <w:rPr>
                <w:spacing w:val="2"/>
                <w:sz w:val="20"/>
                <w:szCs w:val="20"/>
              </w:rPr>
              <w:t>（2</w:t>
            </w:r>
            <w:r>
              <w:rPr>
                <w:sz w:val="20"/>
                <w:szCs w:val="20"/>
              </w:rPr>
              <w:t xml:space="preserve"> </w:t>
            </w:r>
            <w:r>
              <w:rPr>
                <w:spacing w:val="2"/>
                <w:sz w:val="20"/>
                <w:szCs w:val="20"/>
              </w:rPr>
              <w:t>400</w:t>
            </w:r>
            <w:r>
              <w:rPr>
                <w:spacing w:val="1"/>
                <w:sz w:val="20"/>
                <w:szCs w:val="20"/>
              </w:rPr>
              <w:t xml:space="preserve"> </w:t>
            </w:r>
            <w:r>
              <w:rPr>
                <w:spacing w:val="2"/>
                <w:sz w:val="20"/>
                <w:szCs w:val="20"/>
              </w:rPr>
              <w:t>t/a</w:t>
            </w:r>
          </w:p>
        </w:tc>
        <w:tc>
          <w:tcPr>
            <w:tcW w:w="3471" w:type="dxa"/>
            <w:gridSpan w:val="5"/>
            <w:vAlign w:val="top"/>
          </w:tcPr>
          <w:p w14:paraId="4413D288">
            <w:pPr>
              <w:pStyle w:val="6"/>
              <w:spacing w:before="301" w:line="228" w:lineRule="auto"/>
              <w:ind w:left="367"/>
              <w:rPr>
                <w:sz w:val="20"/>
                <w:szCs w:val="20"/>
              </w:rPr>
            </w:pPr>
            <w:r>
              <w:rPr>
                <w:spacing w:val="8"/>
                <w:sz w:val="20"/>
                <w:szCs w:val="20"/>
              </w:rPr>
              <w:t>燃料箱(油箱、碳纤维偖氢瓶)</w:t>
            </w:r>
          </w:p>
        </w:tc>
        <w:tc>
          <w:tcPr>
            <w:tcW w:w="623" w:type="dxa"/>
            <w:gridSpan w:val="2"/>
            <w:vAlign w:val="top"/>
          </w:tcPr>
          <w:p w14:paraId="7A3751BB">
            <w:pPr>
              <w:pStyle w:val="6"/>
              <w:spacing w:before="271" w:line="184" w:lineRule="auto"/>
              <w:ind w:left="209"/>
            </w:pPr>
            <w:r>
              <w:rPr>
                <w:spacing w:val="-14"/>
              </w:rPr>
              <w:t>16</w:t>
            </w:r>
          </w:p>
        </w:tc>
        <w:tc>
          <w:tcPr>
            <w:tcW w:w="3138" w:type="dxa"/>
            <w:gridSpan w:val="3"/>
            <w:tcBorders>
              <w:right w:val="single" w:color="000000" w:sz="10" w:space="0"/>
            </w:tcBorders>
            <w:vAlign w:val="top"/>
          </w:tcPr>
          <w:p w14:paraId="52E1D9C6">
            <w:pPr>
              <w:pStyle w:val="6"/>
              <w:spacing w:before="98" w:line="247" w:lineRule="auto"/>
              <w:ind w:left="482" w:right="330" w:hanging="250"/>
              <w:rPr>
                <w:sz w:val="20"/>
                <w:szCs w:val="20"/>
              </w:rPr>
            </w:pPr>
            <w:r>
              <w:rPr>
                <w:spacing w:val="6"/>
                <w:sz w:val="20"/>
                <w:szCs w:val="20"/>
              </w:rPr>
              <w:t>分类暂存于</w:t>
            </w:r>
            <w:r>
              <w:rPr>
                <w:spacing w:val="-20"/>
                <w:sz w:val="20"/>
                <w:szCs w:val="20"/>
              </w:rPr>
              <w:t xml:space="preserve"> </w:t>
            </w:r>
            <w:r>
              <w:rPr>
                <w:spacing w:val="6"/>
                <w:sz w:val="20"/>
                <w:szCs w:val="20"/>
              </w:rPr>
              <w:t>1#其他危废暂存</w:t>
            </w:r>
            <w:r>
              <w:rPr>
                <w:sz w:val="20"/>
                <w:szCs w:val="20"/>
              </w:rPr>
              <w:t xml:space="preserve"> </w:t>
            </w:r>
            <w:r>
              <w:rPr>
                <w:spacing w:val="7"/>
                <w:sz w:val="20"/>
                <w:szCs w:val="20"/>
              </w:rPr>
              <w:t>区，由有资质单位处理</w:t>
            </w:r>
          </w:p>
        </w:tc>
      </w:tr>
      <w:tr w14:paraId="789185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3" w:hRule="atLeast"/>
        </w:trPr>
        <w:tc>
          <w:tcPr>
            <w:tcW w:w="664" w:type="dxa"/>
            <w:vMerge w:val="continue"/>
            <w:tcBorders>
              <w:top w:val="nil"/>
              <w:left w:val="single" w:color="000000" w:sz="10" w:space="0"/>
              <w:bottom w:val="single" w:color="000000" w:sz="10" w:space="0"/>
            </w:tcBorders>
            <w:vAlign w:val="top"/>
          </w:tcPr>
          <w:p w14:paraId="0C1C212A">
            <w:pPr>
              <w:rPr>
                <w:rFonts w:ascii="Arial"/>
                <w:sz w:val="21"/>
              </w:rPr>
            </w:pPr>
          </w:p>
        </w:tc>
        <w:tc>
          <w:tcPr>
            <w:tcW w:w="449" w:type="dxa"/>
            <w:vMerge w:val="continue"/>
            <w:tcBorders>
              <w:top w:val="nil"/>
              <w:bottom w:val="single" w:color="000000" w:sz="10" w:space="0"/>
            </w:tcBorders>
            <w:textDirection w:val="tbRlV"/>
            <w:vAlign w:val="top"/>
          </w:tcPr>
          <w:p w14:paraId="03B4C5DE">
            <w:pPr>
              <w:rPr>
                <w:rFonts w:ascii="Arial"/>
                <w:sz w:val="21"/>
              </w:rPr>
            </w:pPr>
          </w:p>
        </w:tc>
        <w:tc>
          <w:tcPr>
            <w:tcW w:w="559" w:type="dxa"/>
            <w:gridSpan w:val="2"/>
            <w:vMerge w:val="continue"/>
            <w:tcBorders>
              <w:top w:val="nil"/>
              <w:bottom w:val="single" w:color="000000" w:sz="10" w:space="0"/>
            </w:tcBorders>
            <w:vAlign w:val="top"/>
          </w:tcPr>
          <w:p w14:paraId="146D7C1A">
            <w:pPr>
              <w:rPr>
                <w:rFonts w:ascii="Arial"/>
                <w:sz w:val="21"/>
              </w:rPr>
            </w:pPr>
          </w:p>
        </w:tc>
        <w:tc>
          <w:tcPr>
            <w:tcW w:w="3471" w:type="dxa"/>
            <w:gridSpan w:val="5"/>
            <w:tcBorders>
              <w:bottom w:val="single" w:color="000000" w:sz="10" w:space="0"/>
            </w:tcBorders>
            <w:vAlign w:val="top"/>
          </w:tcPr>
          <w:p w14:paraId="2017F4F0">
            <w:pPr>
              <w:pStyle w:val="6"/>
              <w:spacing w:before="188" w:line="227" w:lineRule="auto"/>
              <w:ind w:left="103"/>
              <w:rPr>
                <w:sz w:val="20"/>
                <w:szCs w:val="20"/>
              </w:rPr>
            </w:pPr>
            <w:r>
              <w:rPr>
                <w:spacing w:val="2"/>
                <w:sz w:val="20"/>
                <w:szCs w:val="20"/>
              </w:rPr>
              <w:t>废油液〔发动机油、变速器、齿轮箱</w:t>
            </w:r>
          </w:p>
          <w:p w14:paraId="398DCC53">
            <w:pPr>
              <w:pStyle w:val="6"/>
              <w:spacing w:before="72" w:line="228" w:lineRule="auto"/>
              <w:ind w:left="141"/>
              <w:rPr>
                <w:sz w:val="20"/>
                <w:szCs w:val="20"/>
              </w:rPr>
            </w:pPr>
            <w:r>
              <w:rPr>
                <w:spacing w:val="6"/>
                <w:sz w:val="20"/>
                <w:szCs w:val="20"/>
              </w:rPr>
              <w:t>(包括后差速器和/或分动器)油、力</w:t>
            </w:r>
          </w:p>
          <w:p w14:paraId="6B159B04">
            <w:pPr>
              <w:pStyle w:val="6"/>
              <w:spacing w:before="74" w:line="256" w:lineRule="auto"/>
              <w:ind w:left="1313" w:right="114" w:hanging="1208"/>
              <w:rPr>
                <w:sz w:val="20"/>
                <w:szCs w:val="20"/>
              </w:rPr>
            </w:pPr>
            <w:r>
              <w:rPr>
                <w:spacing w:val="2"/>
                <w:sz w:val="20"/>
                <w:szCs w:val="20"/>
              </w:rPr>
              <w:t>转向油、制动液等石油基油或者合成</w:t>
            </w:r>
            <w:r>
              <w:rPr>
                <w:spacing w:val="12"/>
                <w:sz w:val="20"/>
                <w:szCs w:val="20"/>
              </w:rPr>
              <w:t xml:space="preserve"> </w:t>
            </w:r>
            <w:r>
              <w:rPr>
                <w:spacing w:val="4"/>
                <w:sz w:val="20"/>
                <w:szCs w:val="20"/>
              </w:rPr>
              <w:t>润滑剂〕</w:t>
            </w:r>
          </w:p>
        </w:tc>
        <w:tc>
          <w:tcPr>
            <w:tcW w:w="623" w:type="dxa"/>
            <w:gridSpan w:val="2"/>
            <w:tcBorders>
              <w:bottom w:val="single" w:color="000000" w:sz="10" w:space="0"/>
            </w:tcBorders>
            <w:vAlign w:val="top"/>
          </w:tcPr>
          <w:p w14:paraId="204EEF33">
            <w:pPr>
              <w:spacing w:line="277" w:lineRule="auto"/>
              <w:rPr>
                <w:rFonts w:ascii="Arial"/>
                <w:sz w:val="21"/>
              </w:rPr>
            </w:pPr>
          </w:p>
          <w:p w14:paraId="79CFFDDF">
            <w:pPr>
              <w:spacing w:line="278" w:lineRule="auto"/>
              <w:rPr>
                <w:rFonts w:ascii="Arial"/>
                <w:sz w:val="21"/>
              </w:rPr>
            </w:pPr>
          </w:p>
          <w:p w14:paraId="33DEFCDD">
            <w:pPr>
              <w:pStyle w:val="6"/>
              <w:spacing w:before="78" w:line="183" w:lineRule="auto"/>
              <w:ind w:left="130"/>
            </w:pPr>
            <w:r>
              <w:rPr>
                <w:spacing w:val="-3"/>
              </w:rPr>
              <w:t>4.8</w:t>
            </w:r>
          </w:p>
        </w:tc>
        <w:tc>
          <w:tcPr>
            <w:tcW w:w="3138" w:type="dxa"/>
            <w:gridSpan w:val="3"/>
            <w:tcBorders>
              <w:bottom w:val="single" w:color="000000" w:sz="10" w:space="0"/>
              <w:right w:val="single" w:color="000000" w:sz="10" w:space="0"/>
            </w:tcBorders>
            <w:vAlign w:val="top"/>
          </w:tcPr>
          <w:p w14:paraId="19F4050B">
            <w:pPr>
              <w:pStyle w:val="6"/>
              <w:spacing w:before="304" w:line="286" w:lineRule="auto"/>
              <w:ind w:left="107" w:right="241" w:hanging="1"/>
              <w:jc w:val="both"/>
              <w:rPr>
                <w:sz w:val="20"/>
                <w:szCs w:val="20"/>
              </w:rPr>
            </w:pPr>
            <w:r>
              <w:rPr>
                <w:spacing w:val="9"/>
                <w:sz w:val="20"/>
                <w:szCs w:val="20"/>
              </w:rPr>
              <w:t>废液的专用密闭容器分类暂存</w:t>
            </w:r>
            <w:r>
              <w:rPr>
                <w:spacing w:val="3"/>
                <w:sz w:val="20"/>
                <w:szCs w:val="20"/>
              </w:rPr>
              <w:t xml:space="preserve"> </w:t>
            </w:r>
            <w:r>
              <w:rPr>
                <w:spacing w:val="7"/>
                <w:sz w:val="20"/>
                <w:szCs w:val="20"/>
              </w:rPr>
              <w:t>于</w:t>
            </w:r>
            <w:r>
              <w:rPr>
                <w:spacing w:val="-27"/>
                <w:sz w:val="20"/>
                <w:szCs w:val="20"/>
              </w:rPr>
              <w:t xml:space="preserve"> </w:t>
            </w:r>
            <w:r>
              <w:rPr>
                <w:spacing w:val="7"/>
                <w:sz w:val="20"/>
                <w:szCs w:val="20"/>
              </w:rPr>
              <w:t>3#废矿物油暂存区，由有资</w:t>
            </w:r>
            <w:r>
              <w:rPr>
                <w:sz w:val="20"/>
                <w:szCs w:val="20"/>
              </w:rPr>
              <w:t xml:space="preserve"> </w:t>
            </w:r>
            <w:r>
              <w:rPr>
                <w:spacing w:val="7"/>
                <w:sz w:val="20"/>
                <w:szCs w:val="20"/>
              </w:rPr>
              <w:t>质单位处理</w:t>
            </w:r>
          </w:p>
        </w:tc>
      </w:tr>
    </w:tbl>
    <w:p w14:paraId="1A9DA72C">
      <w:pPr>
        <w:pStyle w:val="2"/>
        <w:spacing w:line="209" w:lineRule="exact"/>
        <w:rPr>
          <w:sz w:val="18"/>
        </w:rPr>
      </w:pPr>
    </w:p>
    <w:p w14:paraId="4BC336B3">
      <w:pPr>
        <w:spacing w:line="209" w:lineRule="exact"/>
        <w:rPr>
          <w:sz w:val="18"/>
          <w:szCs w:val="18"/>
        </w:rPr>
        <w:sectPr>
          <w:footerReference r:id="rId47" w:type="default"/>
          <w:pgSz w:w="11906" w:h="16839"/>
          <w:pgMar w:top="1270" w:right="1488" w:bottom="1263" w:left="1487" w:header="0" w:footer="1097" w:gutter="0"/>
          <w:cols w:space="720" w:num="1"/>
        </w:sectPr>
      </w:pPr>
    </w:p>
    <w:tbl>
      <w:tblPr>
        <w:tblStyle w:val="5"/>
        <w:tblW w:w="8904"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64"/>
        <w:gridCol w:w="449"/>
        <w:gridCol w:w="558"/>
        <w:gridCol w:w="3462"/>
        <w:gridCol w:w="623"/>
        <w:gridCol w:w="3148"/>
      </w:tblGrid>
      <w:tr w14:paraId="487D3D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9" w:hRule="atLeast"/>
        </w:trPr>
        <w:tc>
          <w:tcPr>
            <w:tcW w:w="664" w:type="dxa"/>
            <w:vMerge w:val="restart"/>
            <w:tcBorders>
              <w:top w:val="single" w:color="000000" w:sz="10" w:space="0"/>
              <w:left w:val="single" w:color="000000" w:sz="10" w:space="0"/>
              <w:bottom w:val="nil"/>
            </w:tcBorders>
            <w:vAlign w:val="top"/>
          </w:tcPr>
          <w:p w14:paraId="0509F023">
            <w:pPr>
              <w:rPr>
                <w:rFonts w:ascii="Arial"/>
                <w:sz w:val="21"/>
              </w:rPr>
            </w:pPr>
          </w:p>
        </w:tc>
        <w:tc>
          <w:tcPr>
            <w:tcW w:w="449" w:type="dxa"/>
            <w:vMerge w:val="restart"/>
            <w:tcBorders>
              <w:top w:val="single" w:color="000000" w:sz="10" w:space="0"/>
              <w:bottom w:val="nil"/>
            </w:tcBorders>
            <w:vAlign w:val="top"/>
          </w:tcPr>
          <w:p w14:paraId="39B373A8">
            <w:pPr>
              <w:rPr>
                <w:rFonts w:ascii="Arial"/>
                <w:sz w:val="21"/>
              </w:rPr>
            </w:pPr>
          </w:p>
        </w:tc>
        <w:tc>
          <w:tcPr>
            <w:tcW w:w="558" w:type="dxa"/>
            <w:vMerge w:val="restart"/>
            <w:tcBorders>
              <w:top w:val="single" w:color="000000" w:sz="10" w:space="0"/>
              <w:bottom w:val="nil"/>
            </w:tcBorders>
            <w:vAlign w:val="top"/>
          </w:tcPr>
          <w:p w14:paraId="1336C49F">
            <w:pPr>
              <w:pStyle w:val="6"/>
              <w:spacing w:before="90" w:line="231" w:lineRule="auto"/>
              <w:ind w:left="193"/>
              <w:rPr>
                <w:sz w:val="20"/>
                <w:szCs w:val="20"/>
              </w:rPr>
            </w:pPr>
            <w:r>
              <w:rPr>
                <w:sz w:val="20"/>
                <w:szCs w:val="20"/>
              </w:rPr>
              <w:t>)</w:t>
            </w:r>
          </w:p>
        </w:tc>
        <w:tc>
          <w:tcPr>
            <w:tcW w:w="3462" w:type="dxa"/>
            <w:tcBorders>
              <w:top w:val="single" w:color="000000" w:sz="10" w:space="0"/>
            </w:tcBorders>
            <w:vAlign w:val="top"/>
          </w:tcPr>
          <w:p w14:paraId="11A32BB5">
            <w:pPr>
              <w:pStyle w:val="6"/>
              <w:spacing w:before="294" w:line="228" w:lineRule="auto"/>
              <w:ind w:left="1103"/>
              <w:rPr>
                <w:sz w:val="20"/>
                <w:szCs w:val="20"/>
              </w:rPr>
            </w:pPr>
            <w:r>
              <w:rPr>
                <w:spacing w:val="8"/>
                <w:sz w:val="20"/>
                <w:szCs w:val="20"/>
              </w:rPr>
              <w:t>废铅酸蓄电池</w:t>
            </w:r>
          </w:p>
        </w:tc>
        <w:tc>
          <w:tcPr>
            <w:tcW w:w="623" w:type="dxa"/>
            <w:tcBorders>
              <w:top w:val="single" w:color="000000" w:sz="10" w:space="0"/>
            </w:tcBorders>
            <w:vAlign w:val="top"/>
          </w:tcPr>
          <w:p w14:paraId="00644C39">
            <w:pPr>
              <w:pStyle w:val="6"/>
              <w:spacing w:before="263" w:line="183" w:lineRule="auto"/>
              <w:ind w:left="146"/>
            </w:pPr>
            <w:r>
              <w:rPr>
                <w:spacing w:val="-5"/>
              </w:rPr>
              <w:t>3.0</w:t>
            </w:r>
          </w:p>
        </w:tc>
        <w:tc>
          <w:tcPr>
            <w:tcW w:w="3148" w:type="dxa"/>
            <w:tcBorders>
              <w:top w:val="single" w:color="000000" w:sz="10" w:space="0"/>
              <w:right w:val="single" w:color="000000" w:sz="10" w:space="0"/>
            </w:tcBorders>
            <w:vAlign w:val="top"/>
          </w:tcPr>
          <w:p w14:paraId="0E24DB2C">
            <w:pPr>
              <w:pStyle w:val="6"/>
              <w:spacing w:before="92" w:line="257" w:lineRule="auto"/>
              <w:ind w:left="791" w:right="225" w:hanging="651"/>
              <w:rPr>
                <w:sz w:val="20"/>
                <w:szCs w:val="20"/>
              </w:rPr>
            </w:pPr>
            <w:r>
              <w:rPr>
                <w:spacing w:val="7"/>
                <w:sz w:val="20"/>
                <w:szCs w:val="20"/>
              </w:rPr>
              <w:t>暂存于</w:t>
            </w:r>
            <w:r>
              <w:rPr>
                <w:spacing w:val="-32"/>
                <w:sz w:val="20"/>
                <w:szCs w:val="20"/>
              </w:rPr>
              <w:t xml:space="preserve"> </w:t>
            </w:r>
            <w:r>
              <w:rPr>
                <w:spacing w:val="7"/>
                <w:sz w:val="20"/>
                <w:szCs w:val="20"/>
              </w:rPr>
              <w:t>2#废蓄电池暂存区，由</w:t>
            </w:r>
            <w:r>
              <w:rPr>
                <w:sz w:val="20"/>
                <w:szCs w:val="20"/>
              </w:rPr>
              <w:t xml:space="preserve"> </w:t>
            </w:r>
            <w:r>
              <w:rPr>
                <w:spacing w:val="8"/>
                <w:sz w:val="20"/>
                <w:szCs w:val="20"/>
              </w:rPr>
              <w:t>有资质单位处理</w:t>
            </w:r>
          </w:p>
        </w:tc>
      </w:tr>
      <w:tr w14:paraId="3F2CD1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3" w:hRule="atLeast"/>
        </w:trPr>
        <w:tc>
          <w:tcPr>
            <w:tcW w:w="664" w:type="dxa"/>
            <w:vMerge w:val="continue"/>
            <w:tcBorders>
              <w:top w:val="nil"/>
              <w:left w:val="single" w:color="000000" w:sz="10" w:space="0"/>
              <w:bottom w:val="nil"/>
            </w:tcBorders>
            <w:vAlign w:val="top"/>
          </w:tcPr>
          <w:p w14:paraId="1DDF09FA">
            <w:pPr>
              <w:rPr>
                <w:rFonts w:ascii="Arial"/>
                <w:sz w:val="21"/>
              </w:rPr>
            </w:pPr>
          </w:p>
        </w:tc>
        <w:tc>
          <w:tcPr>
            <w:tcW w:w="449" w:type="dxa"/>
            <w:vMerge w:val="continue"/>
            <w:tcBorders>
              <w:top w:val="nil"/>
              <w:bottom w:val="nil"/>
            </w:tcBorders>
            <w:vAlign w:val="top"/>
          </w:tcPr>
          <w:p w14:paraId="3CB27E9D">
            <w:pPr>
              <w:rPr>
                <w:rFonts w:ascii="Arial"/>
                <w:sz w:val="21"/>
              </w:rPr>
            </w:pPr>
          </w:p>
        </w:tc>
        <w:tc>
          <w:tcPr>
            <w:tcW w:w="558" w:type="dxa"/>
            <w:vMerge w:val="continue"/>
            <w:tcBorders>
              <w:top w:val="nil"/>
              <w:bottom w:val="nil"/>
            </w:tcBorders>
            <w:vAlign w:val="top"/>
          </w:tcPr>
          <w:p w14:paraId="31C4B7BC">
            <w:pPr>
              <w:rPr>
                <w:rFonts w:ascii="Arial"/>
                <w:sz w:val="21"/>
              </w:rPr>
            </w:pPr>
          </w:p>
        </w:tc>
        <w:tc>
          <w:tcPr>
            <w:tcW w:w="3462" w:type="dxa"/>
            <w:vAlign w:val="top"/>
          </w:tcPr>
          <w:p w14:paraId="1BF5439B">
            <w:pPr>
              <w:spacing w:line="372" w:lineRule="auto"/>
              <w:rPr>
                <w:rFonts w:ascii="Arial"/>
                <w:sz w:val="21"/>
              </w:rPr>
            </w:pPr>
          </w:p>
          <w:p w14:paraId="1DB17794">
            <w:pPr>
              <w:pStyle w:val="6"/>
              <w:spacing w:before="65" w:line="227" w:lineRule="auto"/>
              <w:ind w:left="1419"/>
              <w:rPr>
                <w:sz w:val="20"/>
                <w:szCs w:val="20"/>
              </w:rPr>
            </w:pPr>
            <w:r>
              <w:rPr>
                <w:spacing w:val="6"/>
                <w:sz w:val="20"/>
                <w:szCs w:val="20"/>
              </w:rPr>
              <w:t>制冷剂</w:t>
            </w:r>
          </w:p>
        </w:tc>
        <w:tc>
          <w:tcPr>
            <w:tcW w:w="623" w:type="dxa"/>
            <w:vAlign w:val="top"/>
          </w:tcPr>
          <w:p w14:paraId="5852AEB6">
            <w:pPr>
              <w:pStyle w:val="6"/>
              <w:spacing w:before="249" w:line="251" w:lineRule="auto"/>
              <w:ind w:left="260" w:right="125" w:hanging="117"/>
            </w:pPr>
            <w:r>
              <w:rPr>
                <w:spacing w:val="-4"/>
              </w:rPr>
              <w:t>0.2</w:t>
            </w:r>
            <w:r>
              <w:t xml:space="preserve"> 4</w:t>
            </w:r>
          </w:p>
        </w:tc>
        <w:tc>
          <w:tcPr>
            <w:tcW w:w="3148" w:type="dxa"/>
            <w:tcBorders>
              <w:right w:val="single" w:color="000000" w:sz="10" w:space="0"/>
            </w:tcBorders>
            <w:vAlign w:val="top"/>
          </w:tcPr>
          <w:p w14:paraId="79FC1ADE">
            <w:pPr>
              <w:pStyle w:val="6"/>
              <w:spacing w:before="78" w:line="269" w:lineRule="auto"/>
              <w:ind w:left="117" w:right="241" w:hanging="1"/>
              <w:jc w:val="both"/>
              <w:rPr>
                <w:sz w:val="20"/>
                <w:szCs w:val="20"/>
              </w:rPr>
            </w:pPr>
            <w:r>
              <w:rPr>
                <w:spacing w:val="9"/>
                <w:sz w:val="20"/>
                <w:szCs w:val="20"/>
              </w:rPr>
              <w:t>废液的专用密闭容器分类暂存</w:t>
            </w:r>
            <w:r>
              <w:rPr>
                <w:spacing w:val="3"/>
                <w:sz w:val="20"/>
                <w:szCs w:val="20"/>
              </w:rPr>
              <w:t xml:space="preserve"> </w:t>
            </w:r>
            <w:r>
              <w:rPr>
                <w:spacing w:val="7"/>
                <w:sz w:val="20"/>
                <w:szCs w:val="20"/>
              </w:rPr>
              <w:t>于</w:t>
            </w:r>
            <w:r>
              <w:rPr>
                <w:spacing w:val="-27"/>
                <w:sz w:val="20"/>
                <w:szCs w:val="20"/>
              </w:rPr>
              <w:t xml:space="preserve"> </w:t>
            </w:r>
            <w:r>
              <w:rPr>
                <w:spacing w:val="7"/>
                <w:sz w:val="20"/>
                <w:szCs w:val="20"/>
              </w:rPr>
              <w:t>3#废矿物油暂存区，由有资</w:t>
            </w:r>
            <w:r>
              <w:rPr>
                <w:sz w:val="20"/>
                <w:szCs w:val="20"/>
              </w:rPr>
              <w:t xml:space="preserve"> </w:t>
            </w:r>
            <w:r>
              <w:rPr>
                <w:spacing w:val="7"/>
                <w:sz w:val="20"/>
                <w:szCs w:val="20"/>
              </w:rPr>
              <w:t>质单位处理</w:t>
            </w:r>
          </w:p>
        </w:tc>
      </w:tr>
      <w:tr w14:paraId="6C633C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64" w:type="dxa"/>
            <w:vMerge w:val="continue"/>
            <w:tcBorders>
              <w:top w:val="nil"/>
              <w:left w:val="single" w:color="000000" w:sz="10" w:space="0"/>
              <w:bottom w:val="nil"/>
            </w:tcBorders>
            <w:vAlign w:val="top"/>
          </w:tcPr>
          <w:p w14:paraId="679B66E1">
            <w:pPr>
              <w:rPr>
                <w:rFonts w:ascii="Arial"/>
                <w:sz w:val="21"/>
              </w:rPr>
            </w:pPr>
          </w:p>
        </w:tc>
        <w:tc>
          <w:tcPr>
            <w:tcW w:w="449" w:type="dxa"/>
            <w:vMerge w:val="continue"/>
            <w:tcBorders>
              <w:top w:val="nil"/>
              <w:bottom w:val="nil"/>
            </w:tcBorders>
            <w:vAlign w:val="top"/>
          </w:tcPr>
          <w:p w14:paraId="5E1C5507">
            <w:pPr>
              <w:rPr>
                <w:rFonts w:ascii="Arial"/>
                <w:sz w:val="21"/>
              </w:rPr>
            </w:pPr>
          </w:p>
        </w:tc>
        <w:tc>
          <w:tcPr>
            <w:tcW w:w="558" w:type="dxa"/>
            <w:vMerge w:val="continue"/>
            <w:tcBorders>
              <w:top w:val="nil"/>
              <w:bottom w:val="nil"/>
            </w:tcBorders>
            <w:vAlign w:val="top"/>
          </w:tcPr>
          <w:p w14:paraId="52553FE9">
            <w:pPr>
              <w:rPr>
                <w:rFonts w:ascii="Arial"/>
                <w:sz w:val="21"/>
              </w:rPr>
            </w:pPr>
          </w:p>
        </w:tc>
        <w:tc>
          <w:tcPr>
            <w:tcW w:w="3462" w:type="dxa"/>
            <w:vAlign w:val="top"/>
          </w:tcPr>
          <w:p w14:paraId="561BD018">
            <w:pPr>
              <w:pStyle w:val="6"/>
              <w:spacing w:before="283" w:line="227" w:lineRule="auto"/>
              <w:ind w:left="264"/>
              <w:rPr>
                <w:sz w:val="20"/>
                <w:szCs w:val="20"/>
              </w:rPr>
            </w:pPr>
            <w:r>
              <w:rPr>
                <w:spacing w:val="8"/>
                <w:sz w:val="20"/>
                <w:szCs w:val="20"/>
              </w:rPr>
              <w:t>催化器(配套发动机的农业机械)</w:t>
            </w:r>
          </w:p>
        </w:tc>
        <w:tc>
          <w:tcPr>
            <w:tcW w:w="623" w:type="dxa"/>
            <w:vAlign w:val="top"/>
          </w:tcPr>
          <w:p w14:paraId="2F348F2A">
            <w:pPr>
              <w:pStyle w:val="6"/>
              <w:spacing w:before="90" w:line="209" w:lineRule="auto"/>
              <w:ind w:left="262" w:right="125" w:hanging="119"/>
            </w:pPr>
            <w:r>
              <w:rPr>
                <w:spacing w:val="-4"/>
              </w:rPr>
              <w:t>0.0</w:t>
            </w:r>
            <w:r>
              <w:t xml:space="preserve"> 8</w:t>
            </w:r>
          </w:p>
        </w:tc>
        <w:tc>
          <w:tcPr>
            <w:tcW w:w="3148" w:type="dxa"/>
            <w:tcBorders>
              <w:right w:val="single" w:color="000000" w:sz="10" w:space="0"/>
            </w:tcBorders>
            <w:vAlign w:val="top"/>
          </w:tcPr>
          <w:p w14:paraId="54560486">
            <w:pPr>
              <w:pStyle w:val="6"/>
              <w:spacing w:before="79" w:line="256" w:lineRule="auto"/>
              <w:ind w:left="492" w:right="330" w:hanging="250"/>
              <w:rPr>
                <w:sz w:val="20"/>
                <w:szCs w:val="20"/>
              </w:rPr>
            </w:pPr>
            <w:r>
              <w:rPr>
                <w:spacing w:val="6"/>
                <w:sz w:val="20"/>
                <w:szCs w:val="20"/>
              </w:rPr>
              <w:t>分类暂存于</w:t>
            </w:r>
            <w:r>
              <w:rPr>
                <w:spacing w:val="-20"/>
                <w:sz w:val="20"/>
                <w:szCs w:val="20"/>
              </w:rPr>
              <w:t xml:space="preserve"> </w:t>
            </w:r>
            <w:r>
              <w:rPr>
                <w:spacing w:val="6"/>
                <w:sz w:val="20"/>
                <w:szCs w:val="20"/>
              </w:rPr>
              <w:t>1#其他危废暂存</w:t>
            </w:r>
            <w:r>
              <w:rPr>
                <w:sz w:val="20"/>
                <w:szCs w:val="20"/>
              </w:rPr>
              <w:t xml:space="preserve"> </w:t>
            </w:r>
            <w:r>
              <w:rPr>
                <w:spacing w:val="7"/>
                <w:sz w:val="20"/>
                <w:szCs w:val="20"/>
              </w:rPr>
              <w:t>区，由有资质单位处理</w:t>
            </w:r>
          </w:p>
        </w:tc>
      </w:tr>
      <w:tr w14:paraId="470209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64" w:type="dxa"/>
            <w:vMerge w:val="continue"/>
            <w:tcBorders>
              <w:top w:val="nil"/>
              <w:left w:val="single" w:color="000000" w:sz="10" w:space="0"/>
              <w:bottom w:val="nil"/>
            </w:tcBorders>
            <w:vAlign w:val="top"/>
          </w:tcPr>
          <w:p w14:paraId="0189C097">
            <w:pPr>
              <w:rPr>
                <w:rFonts w:ascii="Arial"/>
                <w:sz w:val="21"/>
              </w:rPr>
            </w:pPr>
          </w:p>
        </w:tc>
        <w:tc>
          <w:tcPr>
            <w:tcW w:w="449" w:type="dxa"/>
            <w:vMerge w:val="continue"/>
            <w:tcBorders>
              <w:top w:val="nil"/>
              <w:bottom w:val="nil"/>
            </w:tcBorders>
            <w:vAlign w:val="top"/>
          </w:tcPr>
          <w:p w14:paraId="7AD0B8A9">
            <w:pPr>
              <w:rPr>
                <w:rFonts w:ascii="Arial"/>
                <w:sz w:val="21"/>
              </w:rPr>
            </w:pPr>
          </w:p>
        </w:tc>
        <w:tc>
          <w:tcPr>
            <w:tcW w:w="558" w:type="dxa"/>
            <w:vMerge w:val="continue"/>
            <w:tcBorders>
              <w:top w:val="nil"/>
              <w:bottom w:val="nil"/>
            </w:tcBorders>
            <w:vAlign w:val="top"/>
          </w:tcPr>
          <w:p w14:paraId="6CC812B2">
            <w:pPr>
              <w:rPr>
                <w:rFonts w:ascii="Arial"/>
                <w:sz w:val="21"/>
              </w:rPr>
            </w:pPr>
          </w:p>
        </w:tc>
        <w:tc>
          <w:tcPr>
            <w:tcW w:w="3462" w:type="dxa"/>
            <w:vAlign w:val="top"/>
          </w:tcPr>
          <w:p w14:paraId="1508AD60">
            <w:pPr>
              <w:pStyle w:val="6"/>
              <w:spacing w:before="284" w:line="228" w:lineRule="auto"/>
              <w:ind w:left="1317"/>
              <w:rPr>
                <w:sz w:val="20"/>
                <w:szCs w:val="20"/>
              </w:rPr>
            </w:pPr>
            <w:r>
              <w:rPr>
                <w:spacing w:val="6"/>
                <w:sz w:val="20"/>
                <w:szCs w:val="20"/>
              </w:rPr>
              <w:t>液压油管</w:t>
            </w:r>
          </w:p>
        </w:tc>
        <w:tc>
          <w:tcPr>
            <w:tcW w:w="623" w:type="dxa"/>
            <w:vAlign w:val="top"/>
          </w:tcPr>
          <w:p w14:paraId="04765F78">
            <w:pPr>
              <w:pStyle w:val="6"/>
              <w:spacing w:before="93" w:line="208" w:lineRule="auto"/>
              <w:ind w:left="262" w:right="125" w:hanging="119"/>
            </w:pPr>
            <w:r>
              <w:rPr>
                <w:spacing w:val="-4"/>
              </w:rPr>
              <w:t>0.0</w:t>
            </w:r>
            <w:r>
              <w:t xml:space="preserve"> 8</w:t>
            </w:r>
          </w:p>
        </w:tc>
        <w:tc>
          <w:tcPr>
            <w:tcW w:w="3148" w:type="dxa"/>
            <w:tcBorders>
              <w:right w:val="single" w:color="000000" w:sz="10" w:space="0"/>
            </w:tcBorders>
            <w:vAlign w:val="top"/>
          </w:tcPr>
          <w:p w14:paraId="65746CEB">
            <w:pPr>
              <w:pStyle w:val="6"/>
              <w:spacing w:before="81" w:line="255" w:lineRule="auto"/>
              <w:ind w:left="492" w:right="330" w:hanging="250"/>
              <w:rPr>
                <w:sz w:val="20"/>
                <w:szCs w:val="20"/>
              </w:rPr>
            </w:pPr>
            <w:r>
              <w:rPr>
                <w:spacing w:val="6"/>
                <w:sz w:val="20"/>
                <w:szCs w:val="20"/>
              </w:rPr>
              <w:t>分类暂存于</w:t>
            </w:r>
            <w:r>
              <w:rPr>
                <w:spacing w:val="-20"/>
                <w:sz w:val="20"/>
                <w:szCs w:val="20"/>
              </w:rPr>
              <w:t xml:space="preserve"> </w:t>
            </w:r>
            <w:r>
              <w:rPr>
                <w:spacing w:val="6"/>
                <w:sz w:val="20"/>
                <w:szCs w:val="20"/>
              </w:rPr>
              <w:t>1#其他危废暂存</w:t>
            </w:r>
            <w:r>
              <w:rPr>
                <w:sz w:val="20"/>
                <w:szCs w:val="20"/>
              </w:rPr>
              <w:t xml:space="preserve"> </w:t>
            </w:r>
            <w:r>
              <w:rPr>
                <w:spacing w:val="7"/>
                <w:sz w:val="20"/>
                <w:szCs w:val="20"/>
              </w:rPr>
              <w:t>区，由有资质单位处理</w:t>
            </w:r>
          </w:p>
        </w:tc>
      </w:tr>
      <w:tr w14:paraId="457152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45" w:hRule="atLeast"/>
        </w:trPr>
        <w:tc>
          <w:tcPr>
            <w:tcW w:w="664" w:type="dxa"/>
            <w:vMerge w:val="continue"/>
            <w:tcBorders>
              <w:top w:val="nil"/>
              <w:left w:val="single" w:color="000000" w:sz="10" w:space="0"/>
              <w:bottom w:val="nil"/>
            </w:tcBorders>
            <w:vAlign w:val="top"/>
          </w:tcPr>
          <w:p w14:paraId="3F6C1A4E">
            <w:pPr>
              <w:rPr>
                <w:rFonts w:ascii="Arial"/>
                <w:sz w:val="21"/>
              </w:rPr>
            </w:pPr>
          </w:p>
        </w:tc>
        <w:tc>
          <w:tcPr>
            <w:tcW w:w="449" w:type="dxa"/>
            <w:vMerge w:val="continue"/>
            <w:tcBorders>
              <w:top w:val="nil"/>
              <w:bottom w:val="nil"/>
            </w:tcBorders>
            <w:vAlign w:val="top"/>
          </w:tcPr>
          <w:p w14:paraId="63DCA9AA">
            <w:pPr>
              <w:rPr>
                <w:rFonts w:ascii="Arial"/>
                <w:sz w:val="21"/>
              </w:rPr>
            </w:pPr>
          </w:p>
        </w:tc>
        <w:tc>
          <w:tcPr>
            <w:tcW w:w="558" w:type="dxa"/>
            <w:vMerge w:val="continue"/>
            <w:tcBorders>
              <w:top w:val="nil"/>
              <w:bottom w:val="nil"/>
            </w:tcBorders>
            <w:vAlign w:val="top"/>
          </w:tcPr>
          <w:p w14:paraId="5CE0E29A">
            <w:pPr>
              <w:rPr>
                <w:rFonts w:ascii="Arial"/>
                <w:sz w:val="21"/>
              </w:rPr>
            </w:pPr>
          </w:p>
        </w:tc>
        <w:tc>
          <w:tcPr>
            <w:tcW w:w="3462" w:type="dxa"/>
            <w:vAlign w:val="top"/>
          </w:tcPr>
          <w:p w14:paraId="21D48AD9">
            <w:pPr>
              <w:pStyle w:val="6"/>
              <w:spacing w:before="192" w:line="282" w:lineRule="auto"/>
              <w:ind w:left="109" w:right="34" w:firstLine="21"/>
              <w:rPr>
                <w:sz w:val="20"/>
                <w:szCs w:val="20"/>
              </w:rPr>
            </w:pPr>
            <w:r>
              <w:rPr>
                <w:spacing w:val="1"/>
                <w:sz w:val="20"/>
                <w:szCs w:val="20"/>
              </w:rPr>
              <w:t>电子电器产品/元器件(传感器、摄像</w:t>
            </w:r>
            <w:r>
              <w:rPr>
                <w:spacing w:val="4"/>
                <w:sz w:val="20"/>
                <w:szCs w:val="20"/>
              </w:rPr>
              <w:t xml:space="preserve"> </w:t>
            </w:r>
            <w:r>
              <w:rPr>
                <w:spacing w:val="7"/>
                <w:sz w:val="20"/>
                <w:szCs w:val="20"/>
              </w:rPr>
              <w:t>头、喇叭、指示灯、电路板及模块、</w:t>
            </w:r>
          </w:p>
          <w:p w14:paraId="0F272B10">
            <w:pPr>
              <w:pStyle w:val="6"/>
              <w:spacing w:before="142" w:line="280" w:lineRule="auto"/>
              <w:ind w:left="105" w:right="34" w:hanging="1"/>
              <w:rPr>
                <w:sz w:val="20"/>
                <w:szCs w:val="20"/>
              </w:rPr>
            </w:pPr>
            <w:r>
              <w:rPr>
                <w:spacing w:val="1"/>
                <w:sz w:val="20"/>
                <w:szCs w:val="20"/>
              </w:rPr>
              <w:t>控制器、开关、风扇、线束、电 机、</w:t>
            </w:r>
            <w:r>
              <w:rPr>
                <w:sz w:val="20"/>
                <w:szCs w:val="20"/>
              </w:rPr>
              <w:t xml:space="preserve"> </w:t>
            </w:r>
            <w:r>
              <w:rPr>
                <w:spacing w:val="6"/>
                <w:sz w:val="20"/>
                <w:szCs w:val="20"/>
              </w:rPr>
              <w:t>仪表、继</w:t>
            </w:r>
            <w:r>
              <w:rPr>
                <w:spacing w:val="43"/>
                <w:sz w:val="20"/>
                <w:szCs w:val="20"/>
              </w:rPr>
              <w:t xml:space="preserve"> </w:t>
            </w:r>
            <w:r>
              <w:rPr>
                <w:spacing w:val="6"/>
                <w:sz w:val="20"/>
                <w:szCs w:val="20"/>
              </w:rPr>
              <w:t>电器、显示器、遥控器、</w:t>
            </w:r>
          </w:p>
          <w:p w14:paraId="751BED97">
            <w:pPr>
              <w:pStyle w:val="6"/>
              <w:spacing w:before="31" w:line="228" w:lineRule="auto"/>
              <w:ind w:left="107"/>
              <w:rPr>
                <w:sz w:val="20"/>
                <w:szCs w:val="20"/>
              </w:rPr>
            </w:pPr>
            <w:r>
              <w:rPr>
                <w:spacing w:val="9"/>
                <w:sz w:val="20"/>
                <w:szCs w:val="20"/>
              </w:rPr>
              <w:t>路由器、激光雷达、电 磁阀、液压</w:t>
            </w:r>
          </w:p>
          <w:p w14:paraId="421521D1">
            <w:pPr>
              <w:pStyle w:val="6"/>
              <w:spacing w:before="75" w:line="211" w:lineRule="auto"/>
              <w:ind w:left="1272"/>
              <w:rPr>
                <w:sz w:val="20"/>
                <w:szCs w:val="20"/>
              </w:rPr>
            </w:pPr>
            <w:r>
              <w:rPr>
                <w:spacing w:val="5"/>
                <w:sz w:val="20"/>
                <w:szCs w:val="20"/>
              </w:rPr>
              <w:t>多路阀等)</w:t>
            </w:r>
          </w:p>
        </w:tc>
        <w:tc>
          <w:tcPr>
            <w:tcW w:w="623" w:type="dxa"/>
            <w:vAlign w:val="top"/>
          </w:tcPr>
          <w:p w14:paraId="41FFFCC8">
            <w:pPr>
              <w:spacing w:line="253" w:lineRule="auto"/>
              <w:rPr>
                <w:rFonts w:ascii="Arial"/>
                <w:sz w:val="21"/>
              </w:rPr>
            </w:pPr>
          </w:p>
          <w:p w14:paraId="1BD0541C">
            <w:pPr>
              <w:spacing w:line="254" w:lineRule="auto"/>
              <w:rPr>
                <w:rFonts w:ascii="Arial"/>
                <w:sz w:val="21"/>
              </w:rPr>
            </w:pPr>
          </w:p>
          <w:p w14:paraId="53A27E60">
            <w:pPr>
              <w:spacing w:line="254" w:lineRule="auto"/>
              <w:rPr>
                <w:rFonts w:ascii="Arial"/>
                <w:sz w:val="21"/>
              </w:rPr>
            </w:pPr>
          </w:p>
          <w:p w14:paraId="688F5F72">
            <w:pPr>
              <w:pStyle w:val="6"/>
              <w:spacing w:before="78" w:line="253" w:lineRule="auto"/>
              <w:ind w:left="262" w:right="125" w:hanging="118"/>
            </w:pPr>
            <w:r>
              <w:rPr>
                <w:spacing w:val="-5"/>
              </w:rPr>
              <w:t>21.</w:t>
            </w:r>
            <w:r>
              <w:rPr>
                <w:spacing w:val="1"/>
              </w:rPr>
              <w:t xml:space="preserve"> </w:t>
            </w:r>
            <w:r>
              <w:t>8</w:t>
            </w:r>
          </w:p>
        </w:tc>
        <w:tc>
          <w:tcPr>
            <w:tcW w:w="3148" w:type="dxa"/>
            <w:tcBorders>
              <w:right w:val="single" w:color="000000" w:sz="10" w:space="0"/>
            </w:tcBorders>
            <w:vAlign w:val="top"/>
          </w:tcPr>
          <w:p w14:paraId="43E27C5D">
            <w:pPr>
              <w:spacing w:line="445" w:lineRule="auto"/>
              <w:rPr>
                <w:rFonts w:ascii="Arial"/>
                <w:sz w:val="21"/>
              </w:rPr>
            </w:pPr>
          </w:p>
          <w:p w14:paraId="15070E48">
            <w:pPr>
              <w:pStyle w:val="6"/>
              <w:spacing w:before="65" w:line="285" w:lineRule="auto"/>
              <w:ind w:left="162" w:right="249"/>
              <w:jc w:val="both"/>
              <w:rPr>
                <w:sz w:val="20"/>
                <w:szCs w:val="20"/>
              </w:rPr>
            </w:pPr>
            <w:r>
              <w:rPr>
                <w:spacing w:val="9"/>
                <w:sz w:val="20"/>
                <w:szCs w:val="20"/>
              </w:rPr>
              <w:t>拆解的电器产品及电子元器件</w:t>
            </w:r>
            <w:r>
              <w:rPr>
                <w:spacing w:val="2"/>
                <w:sz w:val="20"/>
                <w:szCs w:val="20"/>
              </w:rPr>
              <w:t xml:space="preserve"> </w:t>
            </w:r>
            <w:r>
              <w:rPr>
                <w:spacing w:val="9"/>
                <w:sz w:val="20"/>
                <w:szCs w:val="20"/>
              </w:rPr>
              <w:t>暂存在拆解后物料存储区分类</w:t>
            </w:r>
            <w:r>
              <w:rPr>
                <w:spacing w:val="1"/>
                <w:sz w:val="20"/>
                <w:szCs w:val="20"/>
              </w:rPr>
              <w:t xml:space="preserve"> </w:t>
            </w:r>
            <w:r>
              <w:rPr>
                <w:spacing w:val="8"/>
                <w:sz w:val="20"/>
                <w:szCs w:val="20"/>
              </w:rPr>
              <w:t>存放，由专业企业进行拆检、</w:t>
            </w:r>
          </w:p>
          <w:p w14:paraId="22DE591D">
            <w:pPr>
              <w:pStyle w:val="6"/>
              <w:spacing w:before="33" w:line="228" w:lineRule="auto"/>
              <w:ind w:left="918"/>
              <w:rPr>
                <w:sz w:val="20"/>
                <w:szCs w:val="20"/>
              </w:rPr>
            </w:pPr>
            <w:r>
              <w:rPr>
                <w:spacing w:val="4"/>
                <w:sz w:val="20"/>
                <w:szCs w:val="20"/>
              </w:rPr>
              <w:t>回收处理利用</w:t>
            </w:r>
          </w:p>
        </w:tc>
      </w:tr>
      <w:tr w14:paraId="529408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664" w:type="dxa"/>
            <w:vMerge w:val="continue"/>
            <w:tcBorders>
              <w:top w:val="nil"/>
              <w:left w:val="single" w:color="000000" w:sz="10" w:space="0"/>
              <w:bottom w:val="nil"/>
            </w:tcBorders>
            <w:vAlign w:val="top"/>
          </w:tcPr>
          <w:p w14:paraId="33D5DED9">
            <w:pPr>
              <w:rPr>
                <w:rFonts w:ascii="Arial"/>
                <w:sz w:val="21"/>
              </w:rPr>
            </w:pPr>
          </w:p>
        </w:tc>
        <w:tc>
          <w:tcPr>
            <w:tcW w:w="449" w:type="dxa"/>
            <w:vMerge w:val="continue"/>
            <w:tcBorders>
              <w:top w:val="nil"/>
              <w:bottom w:val="nil"/>
            </w:tcBorders>
            <w:vAlign w:val="top"/>
          </w:tcPr>
          <w:p w14:paraId="4343394C">
            <w:pPr>
              <w:rPr>
                <w:rFonts w:ascii="Arial"/>
                <w:sz w:val="21"/>
              </w:rPr>
            </w:pPr>
          </w:p>
        </w:tc>
        <w:tc>
          <w:tcPr>
            <w:tcW w:w="558" w:type="dxa"/>
            <w:vMerge w:val="continue"/>
            <w:tcBorders>
              <w:top w:val="nil"/>
              <w:bottom w:val="nil"/>
            </w:tcBorders>
            <w:vAlign w:val="top"/>
          </w:tcPr>
          <w:p w14:paraId="2335E903">
            <w:pPr>
              <w:rPr>
                <w:rFonts w:ascii="Arial"/>
                <w:sz w:val="21"/>
              </w:rPr>
            </w:pPr>
          </w:p>
        </w:tc>
        <w:tc>
          <w:tcPr>
            <w:tcW w:w="3462" w:type="dxa"/>
            <w:vAlign w:val="top"/>
          </w:tcPr>
          <w:p w14:paraId="24E8CAD5">
            <w:pPr>
              <w:pStyle w:val="6"/>
              <w:spacing w:before="137" w:line="211" w:lineRule="auto"/>
              <w:ind w:left="1527"/>
              <w:rPr>
                <w:sz w:val="20"/>
                <w:szCs w:val="20"/>
              </w:rPr>
            </w:pPr>
            <w:r>
              <w:rPr>
                <w:spacing w:val="3"/>
                <w:sz w:val="20"/>
                <w:szCs w:val="20"/>
              </w:rPr>
              <w:t>玻璃</w:t>
            </w:r>
          </w:p>
        </w:tc>
        <w:tc>
          <w:tcPr>
            <w:tcW w:w="623" w:type="dxa"/>
            <w:vAlign w:val="top"/>
          </w:tcPr>
          <w:p w14:paraId="2EE84DB1">
            <w:pPr>
              <w:pStyle w:val="6"/>
              <w:spacing w:before="122" w:line="183" w:lineRule="auto"/>
              <w:ind w:left="143"/>
            </w:pPr>
            <w:r>
              <w:rPr>
                <w:spacing w:val="-4"/>
              </w:rPr>
              <w:t>6.4</w:t>
            </w:r>
          </w:p>
        </w:tc>
        <w:tc>
          <w:tcPr>
            <w:tcW w:w="3148" w:type="dxa"/>
            <w:vMerge w:val="restart"/>
            <w:tcBorders>
              <w:bottom w:val="nil"/>
              <w:right w:val="single" w:color="000000" w:sz="10" w:space="0"/>
            </w:tcBorders>
            <w:vAlign w:val="top"/>
          </w:tcPr>
          <w:p w14:paraId="6CE52B6A">
            <w:pPr>
              <w:spacing w:line="310" w:lineRule="auto"/>
              <w:rPr>
                <w:rFonts w:ascii="Arial"/>
                <w:sz w:val="21"/>
              </w:rPr>
            </w:pPr>
          </w:p>
          <w:p w14:paraId="7E71C1C8">
            <w:pPr>
              <w:spacing w:line="310" w:lineRule="auto"/>
              <w:rPr>
                <w:rFonts w:ascii="Arial"/>
                <w:sz w:val="21"/>
              </w:rPr>
            </w:pPr>
          </w:p>
          <w:p w14:paraId="6D44B583">
            <w:pPr>
              <w:pStyle w:val="6"/>
              <w:spacing w:before="65" w:line="228" w:lineRule="auto"/>
              <w:ind w:left="169"/>
              <w:rPr>
                <w:sz w:val="20"/>
                <w:szCs w:val="20"/>
              </w:rPr>
            </w:pPr>
            <w:r>
              <w:rPr>
                <w:spacing w:val="8"/>
                <w:sz w:val="20"/>
                <w:szCs w:val="20"/>
              </w:rPr>
              <w:t>暂存在拆解后物料存储区分类</w:t>
            </w:r>
          </w:p>
          <w:p w14:paraId="46B7B3A0">
            <w:pPr>
              <w:pStyle w:val="6"/>
              <w:spacing w:before="74" w:line="228" w:lineRule="auto"/>
              <w:ind w:left="162"/>
              <w:rPr>
                <w:sz w:val="20"/>
                <w:szCs w:val="20"/>
              </w:rPr>
            </w:pPr>
            <w:r>
              <w:rPr>
                <w:spacing w:val="9"/>
                <w:sz w:val="20"/>
                <w:szCs w:val="20"/>
              </w:rPr>
              <w:t>存放，外售给废旧资源回收公</w:t>
            </w:r>
          </w:p>
          <w:p w14:paraId="6F6551D1">
            <w:pPr>
              <w:pStyle w:val="6"/>
              <w:spacing w:before="72" w:line="230" w:lineRule="auto"/>
              <w:ind w:left="1431"/>
              <w:rPr>
                <w:sz w:val="20"/>
                <w:szCs w:val="20"/>
              </w:rPr>
            </w:pPr>
            <w:r>
              <w:rPr>
                <w:sz w:val="20"/>
                <w:szCs w:val="20"/>
              </w:rPr>
              <w:t>司</w:t>
            </w:r>
          </w:p>
        </w:tc>
      </w:tr>
      <w:tr w14:paraId="3CC61B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664" w:type="dxa"/>
            <w:vMerge w:val="continue"/>
            <w:tcBorders>
              <w:top w:val="nil"/>
              <w:left w:val="single" w:color="000000" w:sz="10" w:space="0"/>
              <w:bottom w:val="nil"/>
            </w:tcBorders>
            <w:vAlign w:val="top"/>
          </w:tcPr>
          <w:p w14:paraId="1E94426F">
            <w:pPr>
              <w:rPr>
                <w:rFonts w:ascii="Arial"/>
                <w:sz w:val="21"/>
              </w:rPr>
            </w:pPr>
          </w:p>
        </w:tc>
        <w:tc>
          <w:tcPr>
            <w:tcW w:w="449" w:type="dxa"/>
            <w:vMerge w:val="continue"/>
            <w:tcBorders>
              <w:top w:val="nil"/>
              <w:bottom w:val="nil"/>
            </w:tcBorders>
            <w:vAlign w:val="top"/>
          </w:tcPr>
          <w:p w14:paraId="35E6A3D7">
            <w:pPr>
              <w:rPr>
                <w:rFonts w:ascii="Arial"/>
                <w:sz w:val="21"/>
              </w:rPr>
            </w:pPr>
          </w:p>
        </w:tc>
        <w:tc>
          <w:tcPr>
            <w:tcW w:w="558" w:type="dxa"/>
            <w:vMerge w:val="continue"/>
            <w:tcBorders>
              <w:top w:val="nil"/>
              <w:bottom w:val="nil"/>
            </w:tcBorders>
            <w:vAlign w:val="top"/>
          </w:tcPr>
          <w:p w14:paraId="164C0453">
            <w:pPr>
              <w:rPr>
                <w:rFonts w:ascii="Arial"/>
                <w:sz w:val="21"/>
              </w:rPr>
            </w:pPr>
          </w:p>
        </w:tc>
        <w:tc>
          <w:tcPr>
            <w:tcW w:w="3462" w:type="dxa"/>
            <w:vAlign w:val="top"/>
          </w:tcPr>
          <w:p w14:paraId="61057E7A">
            <w:pPr>
              <w:pStyle w:val="6"/>
              <w:spacing w:before="138" w:line="211" w:lineRule="auto"/>
              <w:ind w:left="1314"/>
              <w:rPr>
                <w:sz w:val="20"/>
                <w:szCs w:val="20"/>
              </w:rPr>
            </w:pPr>
            <w:r>
              <w:rPr>
                <w:spacing w:val="7"/>
                <w:sz w:val="20"/>
                <w:szCs w:val="20"/>
              </w:rPr>
              <w:t>废旧轮胎</w:t>
            </w:r>
          </w:p>
        </w:tc>
        <w:tc>
          <w:tcPr>
            <w:tcW w:w="623" w:type="dxa"/>
            <w:vAlign w:val="top"/>
          </w:tcPr>
          <w:p w14:paraId="2C85AD60">
            <w:pPr>
              <w:pStyle w:val="6"/>
              <w:spacing w:before="125" w:line="183" w:lineRule="auto"/>
              <w:ind w:left="203"/>
            </w:pPr>
            <w:r>
              <w:rPr>
                <w:spacing w:val="-6"/>
              </w:rPr>
              <w:t>64</w:t>
            </w:r>
          </w:p>
        </w:tc>
        <w:tc>
          <w:tcPr>
            <w:tcW w:w="3148" w:type="dxa"/>
            <w:vMerge w:val="continue"/>
            <w:tcBorders>
              <w:top w:val="nil"/>
              <w:bottom w:val="nil"/>
              <w:right w:val="single" w:color="000000" w:sz="10" w:space="0"/>
            </w:tcBorders>
            <w:vAlign w:val="top"/>
          </w:tcPr>
          <w:p w14:paraId="1CD3540D">
            <w:pPr>
              <w:rPr>
                <w:rFonts w:ascii="Arial"/>
                <w:sz w:val="21"/>
              </w:rPr>
            </w:pPr>
          </w:p>
        </w:tc>
      </w:tr>
      <w:tr w14:paraId="52216E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664" w:type="dxa"/>
            <w:vMerge w:val="continue"/>
            <w:tcBorders>
              <w:top w:val="nil"/>
              <w:left w:val="single" w:color="000000" w:sz="10" w:space="0"/>
              <w:bottom w:val="nil"/>
            </w:tcBorders>
            <w:vAlign w:val="top"/>
          </w:tcPr>
          <w:p w14:paraId="0A900FF6">
            <w:pPr>
              <w:rPr>
                <w:rFonts w:ascii="Arial"/>
                <w:sz w:val="21"/>
              </w:rPr>
            </w:pPr>
          </w:p>
        </w:tc>
        <w:tc>
          <w:tcPr>
            <w:tcW w:w="449" w:type="dxa"/>
            <w:vMerge w:val="continue"/>
            <w:tcBorders>
              <w:top w:val="nil"/>
              <w:bottom w:val="nil"/>
            </w:tcBorders>
            <w:vAlign w:val="top"/>
          </w:tcPr>
          <w:p w14:paraId="157A4FAE">
            <w:pPr>
              <w:rPr>
                <w:rFonts w:ascii="Arial"/>
                <w:sz w:val="21"/>
              </w:rPr>
            </w:pPr>
          </w:p>
        </w:tc>
        <w:tc>
          <w:tcPr>
            <w:tcW w:w="558" w:type="dxa"/>
            <w:vMerge w:val="continue"/>
            <w:tcBorders>
              <w:top w:val="nil"/>
              <w:bottom w:val="nil"/>
            </w:tcBorders>
            <w:vAlign w:val="top"/>
          </w:tcPr>
          <w:p w14:paraId="13200BFC">
            <w:pPr>
              <w:rPr>
                <w:rFonts w:ascii="Arial"/>
                <w:sz w:val="21"/>
              </w:rPr>
            </w:pPr>
          </w:p>
        </w:tc>
        <w:tc>
          <w:tcPr>
            <w:tcW w:w="3462" w:type="dxa"/>
            <w:vAlign w:val="top"/>
          </w:tcPr>
          <w:p w14:paraId="4E1F80ED">
            <w:pPr>
              <w:pStyle w:val="6"/>
              <w:spacing w:before="140" w:line="208" w:lineRule="auto"/>
              <w:ind w:left="1528"/>
              <w:rPr>
                <w:sz w:val="20"/>
                <w:szCs w:val="20"/>
              </w:rPr>
            </w:pPr>
            <w:r>
              <w:rPr>
                <w:spacing w:val="2"/>
                <w:sz w:val="20"/>
                <w:szCs w:val="20"/>
              </w:rPr>
              <w:t>塑料</w:t>
            </w:r>
          </w:p>
        </w:tc>
        <w:tc>
          <w:tcPr>
            <w:tcW w:w="623" w:type="dxa"/>
            <w:vAlign w:val="top"/>
          </w:tcPr>
          <w:p w14:paraId="2AEA205C">
            <w:pPr>
              <w:pStyle w:val="6"/>
              <w:spacing w:before="125" w:line="183" w:lineRule="auto"/>
              <w:ind w:left="264"/>
            </w:pPr>
            <w:r>
              <w:t>2</w:t>
            </w:r>
          </w:p>
        </w:tc>
        <w:tc>
          <w:tcPr>
            <w:tcW w:w="3148" w:type="dxa"/>
            <w:vMerge w:val="continue"/>
            <w:tcBorders>
              <w:top w:val="nil"/>
              <w:bottom w:val="nil"/>
              <w:right w:val="single" w:color="000000" w:sz="10" w:space="0"/>
            </w:tcBorders>
            <w:vAlign w:val="top"/>
          </w:tcPr>
          <w:p w14:paraId="020FBD44">
            <w:pPr>
              <w:rPr>
                <w:rFonts w:ascii="Arial"/>
                <w:sz w:val="21"/>
              </w:rPr>
            </w:pPr>
          </w:p>
        </w:tc>
      </w:tr>
      <w:tr w14:paraId="44B52DE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664" w:type="dxa"/>
            <w:vMerge w:val="continue"/>
            <w:tcBorders>
              <w:top w:val="nil"/>
              <w:left w:val="single" w:color="000000" w:sz="10" w:space="0"/>
              <w:bottom w:val="nil"/>
            </w:tcBorders>
            <w:vAlign w:val="top"/>
          </w:tcPr>
          <w:p w14:paraId="7ACB74CF">
            <w:pPr>
              <w:rPr>
                <w:rFonts w:ascii="Arial"/>
                <w:sz w:val="21"/>
              </w:rPr>
            </w:pPr>
          </w:p>
        </w:tc>
        <w:tc>
          <w:tcPr>
            <w:tcW w:w="449" w:type="dxa"/>
            <w:vMerge w:val="continue"/>
            <w:tcBorders>
              <w:top w:val="nil"/>
              <w:bottom w:val="nil"/>
            </w:tcBorders>
            <w:vAlign w:val="top"/>
          </w:tcPr>
          <w:p w14:paraId="6784B091">
            <w:pPr>
              <w:rPr>
                <w:rFonts w:ascii="Arial"/>
                <w:sz w:val="21"/>
              </w:rPr>
            </w:pPr>
          </w:p>
        </w:tc>
        <w:tc>
          <w:tcPr>
            <w:tcW w:w="558" w:type="dxa"/>
            <w:vMerge w:val="continue"/>
            <w:tcBorders>
              <w:top w:val="nil"/>
              <w:bottom w:val="nil"/>
            </w:tcBorders>
            <w:vAlign w:val="top"/>
          </w:tcPr>
          <w:p w14:paraId="49F2E911">
            <w:pPr>
              <w:rPr>
                <w:rFonts w:ascii="Arial"/>
                <w:sz w:val="21"/>
              </w:rPr>
            </w:pPr>
          </w:p>
        </w:tc>
        <w:tc>
          <w:tcPr>
            <w:tcW w:w="3462" w:type="dxa"/>
            <w:vAlign w:val="top"/>
          </w:tcPr>
          <w:p w14:paraId="0043524C">
            <w:pPr>
              <w:pStyle w:val="6"/>
              <w:spacing w:before="140" w:line="209" w:lineRule="auto"/>
              <w:ind w:left="790"/>
              <w:rPr>
                <w:sz w:val="20"/>
                <w:szCs w:val="20"/>
              </w:rPr>
            </w:pPr>
            <w:r>
              <w:rPr>
                <w:spacing w:val="7"/>
                <w:sz w:val="20"/>
                <w:szCs w:val="20"/>
              </w:rPr>
              <w:t>密封胶条（带、圈）</w:t>
            </w:r>
          </w:p>
        </w:tc>
        <w:tc>
          <w:tcPr>
            <w:tcW w:w="623" w:type="dxa"/>
            <w:vAlign w:val="top"/>
          </w:tcPr>
          <w:p w14:paraId="1D84EFE9">
            <w:pPr>
              <w:pStyle w:val="6"/>
              <w:spacing w:before="124" w:line="184" w:lineRule="auto"/>
              <w:ind w:left="159"/>
            </w:pPr>
            <w:r>
              <w:rPr>
                <w:spacing w:val="-10"/>
              </w:rPr>
              <w:t>1.6</w:t>
            </w:r>
          </w:p>
        </w:tc>
        <w:tc>
          <w:tcPr>
            <w:tcW w:w="3148" w:type="dxa"/>
            <w:vMerge w:val="continue"/>
            <w:tcBorders>
              <w:top w:val="nil"/>
              <w:bottom w:val="nil"/>
              <w:right w:val="single" w:color="000000" w:sz="10" w:space="0"/>
            </w:tcBorders>
            <w:vAlign w:val="top"/>
          </w:tcPr>
          <w:p w14:paraId="2943EF1E">
            <w:pPr>
              <w:rPr>
                <w:rFonts w:ascii="Arial"/>
                <w:sz w:val="21"/>
              </w:rPr>
            </w:pPr>
          </w:p>
        </w:tc>
      </w:tr>
      <w:tr w14:paraId="413085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664" w:type="dxa"/>
            <w:vMerge w:val="continue"/>
            <w:tcBorders>
              <w:top w:val="nil"/>
              <w:left w:val="single" w:color="000000" w:sz="10" w:space="0"/>
              <w:bottom w:val="nil"/>
            </w:tcBorders>
            <w:vAlign w:val="top"/>
          </w:tcPr>
          <w:p w14:paraId="58BBB125">
            <w:pPr>
              <w:rPr>
                <w:rFonts w:ascii="Arial"/>
                <w:sz w:val="21"/>
              </w:rPr>
            </w:pPr>
          </w:p>
        </w:tc>
        <w:tc>
          <w:tcPr>
            <w:tcW w:w="449" w:type="dxa"/>
            <w:vMerge w:val="continue"/>
            <w:tcBorders>
              <w:top w:val="nil"/>
              <w:bottom w:val="nil"/>
            </w:tcBorders>
            <w:vAlign w:val="top"/>
          </w:tcPr>
          <w:p w14:paraId="4FA699CB">
            <w:pPr>
              <w:rPr>
                <w:rFonts w:ascii="Arial"/>
                <w:sz w:val="21"/>
              </w:rPr>
            </w:pPr>
          </w:p>
        </w:tc>
        <w:tc>
          <w:tcPr>
            <w:tcW w:w="558" w:type="dxa"/>
            <w:vMerge w:val="continue"/>
            <w:tcBorders>
              <w:top w:val="nil"/>
              <w:bottom w:val="nil"/>
            </w:tcBorders>
            <w:vAlign w:val="top"/>
          </w:tcPr>
          <w:p w14:paraId="56365637">
            <w:pPr>
              <w:rPr>
                <w:rFonts w:ascii="Arial"/>
                <w:sz w:val="21"/>
              </w:rPr>
            </w:pPr>
          </w:p>
        </w:tc>
        <w:tc>
          <w:tcPr>
            <w:tcW w:w="3462" w:type="dxa"/>
            <w:vAlign w:val="top"/>
          </w:tcPr>
          <w:p w14:paraId="6E067CFC">
            <w:pPr>
              <w:pStyle w:val="6"/>
              <w:spacing w:before="248" w:line="228" w:lineRule="auto"/>
              <w:ind w:left="469"/>
              <w:rPr>
                <w:sz w:val="20"/>
                <w:szCs w:val="20"/>
              </w:rPr>
            </w:pPr>
            <w:r>
              <w:rPr>
                <w:spacing w:val="-7"/>
                <w:sz w:val="20"/>
                <w:szCs w:val="20"/>
              </w:rPr>
              <w:t>金属类（钢、铸钢、铅、铜）</w:t>
            </w:r>
          </w:p>
        </w:tc>
        <w:tc>
          <w:tcPr>
            <w:tcW w:w="623" w:type="dxa"/>
            <w:vAlign w:val="top"/>
          </w:tcPr>
          <w:p w14:paraId="274BADC7">
            <w:pPr>
              <w:pStyle w:val="6"/>
              <w:spacing w:before="101" w:line="183" w:lineRule="auto"/>
              <w:ind w:left="144"/>
            </w:pPr>
            <w:r>
              <w:rPr>
                <w:spacing w:val="-5"/>
              </w:rPr>
              <w:t>228</w:t>
            </w:r>
          </w:p>
          <w:p w14:paraId="48BDBA34">
            <w:pPr>
              <w:pStyle w:val="6"/>
              <w:spacing w:before="81" w:line="164" w:lineRule="auto"/>
              <w:ind w:left="263"/>
            </w:pPr>
            <w:r>
              <w:t>0</w:t>
            </w:r>
          </w:p>
        </w:tc>
        <w:tc>
          <w:tcPr>
            <w:tcW w:w="3148" w:type="dxa"/>
            <w:vMerge w:val="continue"/>
            <w:tcBorders>
              <w:top w:val="nil"/>
              <w:right w:val="single" w:color="000000" w:sz="10" w:space="0"/>
            </w:tcBorders>
            <w:vAlign w:val="top"/>
          </w:tcPr>
          <w:p w14:paraId="095A1294">
            <w:pPr>
              <w:rPr>
                <w:rFonts w:ascii="Arial"/>
                <w:sz w:val="21"/>
              </w:rPr>
            </w:pPr>
          </w:p>
        </w:tc>
      </w:tr>
      <w:tr w14:paraId="42B9BC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664" w:type="dxa"/>
            <w:vMerge w:val="continue"/>
            <w:tcBorders>
              <w:top w:val="nil"/>
              <w:left w:val="single" w:color="000000" w:sz="10" w:space="0"/>
              <w:bottom w:val="nil"/>
            </w:tcBorders>
            <w:vAlign w:val="top"/>
          </w:tcPr>
          <w:p w14:paraId="73113B71">
            <w:pPr>
              <w:rPr>
                <w:rFonts w:ascii="Arial"/>
                <w:sz w:val="21"/>
              </w:rPr>
            </w:pPr>
          </w:p>
        </w:tc>
        <w:tc>
          <w:tcPr>
            <w:tcW w:w="449" w:type="dxa"/>
            <w:vMerge w:val="continue"/>
            <w:tcBorders>
              <w:top w:val="nil"/>
              <w:bottom w:val="single" w:color="000000" w:sz="10" w:space="0"/>
            </w:tcBorders>
            <w:vAlign w:val="top"/>
          </w:tcPr>
          <w:p w14:paraId="046BDBD7">
            <w:pPr>
              <w:rPr>
                <w:rFonts w:ascii="Arial"/>
                <w:sz w:val="21"/>
              </w:rPr>
            </w:pPr>
          </w:p>
        </w:tc>
        <w:tc>
          <w:tcPr>
            <w:tcW w:w="558" w:type="dxa"/>
            <w:vMerge w:val="continue"/>
            <w:tcBorders>
              <w:top w:val="nil"/>
              <w:bottom w:val="single" w:color="000000" w:sz="10" w:space="0"/>
            </w:tcBorders>
            <w:vAlign w:val="top"/>
          </w:tcPr>
          <w:p w14:paraId="5F1CD438">
            <w:pPr>
              <w:rPr>
                <w:rFonts w:ascii="Arial"/>
                <w:sz w:val="21"/>
              </w:rPr>
            </w:pPr>
          </w:p>
        </w:tc>
        <w:tc>
          <w:tcPr>
            <w:tcW w:w="3462" w:type="dxa"/>
            <w:tcBorders>
              <w:bottom w:val="single" w:color="000000" w:sz="10" w:space="0"/>
            </w:tcBorders>
            <w:vAlign w:val="top"/>
          </w:tcPr>
          <w:p w14:paraId="5E5E1463">
            <w:pPr>
              <w:pStyle w:val="6"/>
              <w:spacing w:before="249" w:line="229" w:lineRule="auto"/>
              <w:ind w:left="1524"/>
              <w:rPr>
                <w:sz w:val="20"/>
                <w:szCs w:val="20"/>
              </w:rPr>
            </w:pPr>
            <w:r>
              <w:rPr>
                <w:spacing w:val="4"/>
                <w:sz w:val="20"/>
                <w:szCs w:val="20"/>
              </w:rPr>
              <w:t>合计</w:t>
            </w:r>
          </w:p>
        </w:tc>
        <w:tc>
          <w:tcPr>
            <w:tcW w:w="623" w:type="dxa"/>
            <w:tcBorders>
              <w:bottom w:val="single" w:color="000000" w:sz="10" w:space="0"/>
            </w:tcBorders>
            <w:vAlign w:val="top"/>
          </w:tcPr>
          <w:p w14:paraId="295F1738">
            <w:pPr>
              <w:pStyle w:val="6"/>
              <w:spacing w:before="124" w:line="189" w:lineRule="auto"/>
              <w:ind w:left="167"/>
              <w:rPr>
                <w:sz w:val="20"/>
                <w:szCs w:val="20"/>
              </w:rPr>
            </w:pPr>
            <w:r>
              <w:rPr>
                <w:spacing w:val="1"/>
                <w:sz w:val="20"/>
                <w:szCs w:val="20"/>
              </w:rPr>
              <w:t>240</w:t>
            </w:r>
          </w:p>
          <w:p w14:paraId="74733091">
            <w:pPr>
              <w:pStyle w:val="6"/>
              <w:spacing w:before="114" w:line="184" w:lineRule="auto"/>
              <w:ind w:left="269"/>
              <w:rPr>
                <w:sz w:val="20"/>
                <w:szCs w:val="20"/>
              </w:rPr>
            </w:pPr>
            <w:r>
              <w:rPr>
                <w:sz w:val="20"/>
                <w:szCs w:val="20"/>
              </w:rPr>
              <w:t>0</w:t>
            </w:r>
          </w:p>
        </w:tc>
        <w:tc>
          <w:tcPr>
            <w:tcW w:w="3148" w:type="dxa"/>
            <w:tcBorders>
              <w:bottom w:val="single" w:color="000000" w:sz="10" w:space="0"/>
              <w:right w:val="single" w:color="000000" w:sz="10" w:space="0"/>
            </w:tcBorders>
            <w:vAlign w:val="top"/>
          </w:tcPr>
          <w:p w14:paraId="1A486579">
            <w:pPr>
              <w:pStyle w:val="6"/>
              <w:spacing w:before="249" w:line="233" w:lineRule="auto"/>
              <w:ind w:left="1472"/>
              <w:rPr>
                <w:sz w:val="20"/>
                <w:szCs w:val="20"/>
              </w:rPr>
            </w:pPr>
            <w:r>
              <w:rPr>
                <w:sz w:val="20"/>
                <w:szCs w:val="20"/>
              </w:rPr>
              <w:t>/</w:t>
            </w:r>
          </w:p>
        </w:tc>
      </w:tr>
      <w:tr w14:paraId="3E4B3D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91" w:hRule="atLeast"/>
        </w:trPr>
        <w:tc>
          <w:tcPr>
            <w:tcW w:w="664" w:type="dxa"/>
            <w:vMerge w:val="continue"/>
            <w:tcBorders>
              <w:top w:val="nil"/>
              <w:left w:val="single" w:color="000000" w:sz="10" w:space="0"/>
              <w:bottom w:val="single" w:color="000000" w:sz="10" w:space="0"/>
            </w:tcBorders>
            <w:vAlign w:val="top"/>
          </w:tcPr>
          <w:p w14:paraId="13086392">
            <w:pPr>
              <w:rPr>
                <w:rFonts w:ascii="Arial"/>
                <w:sz w:val="21"/>
              </w:rPr>
            </w:pPr>
          </w:p>
        </w:tc>
        <w:tc>
          <w:tcPr>
            <w:tcW w:w="8240" w:type="dxa"/>
            <w:gridSpan w:val="5"/>
            <w:tcBorders>
              <w:top w:val="single" w:color="000000" w:sz="10" w:space="0"/>
              <w:bottom w:val="single" w:color="000000" w:sz="10" w:space="0"/>
              <w:right w:val="single" w:color="000000" w:sz="10" w:space="0"/>
            </w:tcBorders>
            <w:vAlign w:val="top"/>
          </w:tcPr>
          <w:p w14:paraId="3E1FCAF6">
            <w:pPr>
              <w:pStyle w:val="6"/>
              <w:spacing w:before="121" w:line="219" w:lineRule="auto"/>
              <w:ind w:left="580"/>
            </w:pPr>
            <w:r>
              <w:rPr>
                <w:rFonts w:ascii="Times New Roman" w:hAnsi="Times New Roman" w:eastAsia="Times New Roman" w:cs="Times New Roman"/>
                <w:b/>
                <w:bCs/>
                <w:spacing w:val="-5"/>
              </w:rPr>
              <w:t>4</w:t>
            </w:r>
            <w:r>
              <w:rPr>
                <w:rFonts w:ascii="Times New Roman" w:hAnsi="Times New Roman" w:eastAsia="Times New Roman" w:cs="Times New Roman"/>
                <w:b/>
                <w:bCs/>
                <w:spacing w:val="-23"/>
              </w:rPr>
              <w:t xml:space="preserve"> </w:t>
            </w:r>
            <w:r>
              <w:rPr>
                <w:b/>
                <w:bCs/>
                <w:spacing w:val="-5"/>
              </w:rPr>
              <w:t>、劳动定员及工作制度结合</w:t>
            </w:r>
          </w:p>
          <w:p w14:paraId="1A754B23">
            <w:pPr>
              <w:pStyle w:val="6"/>
              <w:spacing w:before="182" w:line="219" w:lineRule="auto"/>
              <w:ind w:left="584"/>
            </w:pPr>
            <w:r>
              <w:t>本项目劳动定员为</w:t>
            </w:r>
            <w:r>
              <w:rPr>
                <w:spacing w:val="-42"/>
              </w:rPr>
              <w:t xml:space="preserve"> </w:t>
            </w:r>
            <w:r>
              <w:rPr>
                <w:rFonts w:ascii="Times New Roman" w:hAnsi="Times New Roman" w:eastAsia="Times New Roman" w:cs="Times New Roman"/>
              </w:rPr>
              <w:t xml:space="preserve">5 </w:t>
            </w:r>
            <w:r>
              <w:t>人，每年工作</w:t>
            </w:r>
            <w:r>
              <w:rPr>
                <w:rFonts w:ascii="Times New Roman" w:hAnsi="Times New Roman" w:eastAsia="Times New Roman" w:cs="Times New Roman"/>
              </w:rPr>
              <w:t xml:space="preserve">300 </w:t>
            </w:r>
            <w:r>
              <w:t>天，每班工作</w:t>
            </w:r>
            <w:r>
              <w:rPr>
                <w:spacing w:val="-46"/>
              </w:rPr>
              <w:t xml:space="preserve"> </w:t>
            </w:r>
            <w:r>
              <w:rPr>
                <w:rFonts w:ascii="Times New Roman" w:hAnsi="Times New Roman" w:eastAsia="Times New Roman" w:cs="Times New Roman"/>
              </w:rPr>
              <w:t>8</w:t>
            </w:r>
            <w:r>
              <w:rPr>
                <w:rFonts w:ascii="Times New Roman" w:hAnsi="Times New Roman" w:eastAsia="Times New Roman" w:cs="Times New Roman"/>
                <w:spacing w:val="16"/>
                <w:w w:val="101"/>
              </w:rPr>
              <w:t xml:space="preserve"> </w:t>
            </w:r>
            <w:r>
              <w:t>小时，一班制。</w:t>
            </w:r>
          </w:p>
          <w:p w14:paraId="5720BAB8">
            <w:pPr>
              <w:pStyle w:val="6"/>
              <w:spacing w:before="183" w:line="220" w:lineRule="auto"/>
              <w:ind w:left="582"/>
            </w:pPr>
            <w:r>
              <w:rPr>
                <w:rFonts w:ascii="Times New Roman" w:hAnsi="Times New Roman" w:eastAsia="Times New Roman" w:cs="Times New Roman"/>
                <w:b/>
                <w:bCs/>
                <w:spacing w:val="-8"/>
              </w:rPr>
              <w:t>5</w:t>
            </w:r>
            <w:r>
              <w:rPr>
                <w:rFonts w:ascii="Times New Roman" w:hAnsi="Times New Roman" w:eastAsia="Times New Roman" w:cs="Times New Roman"/>
                <w:b/>
                <w:bCs/>
                <w:spacing w:val="-32"/>
              </w:rPr>
              <w:t xml:space="preserve"> </w:t>
            </w:r>
            <w:r>
              <w:rPr>
                <w:b/>
                <w:bCs/>
                <w:spacing w:val="-8"/>
              </w:rPr>
              <w:t>、工程进度</w:t>
            </w:r>
          </w:p>
          <w:p w14:paraId="491DCC8A">
            <w:pPr>
              <w:pStyle w:val="6"/>
              <w:spacing w:before="182" w:line="219" w:lineRule="auto"/>
              <w:ind w:left="587"/>
            </w:pPr>
            <w:r>
              <w:rPr>
                <w:spacing w:val="-2"/>
              </w:rPr>
              <w:t>项目建设周期</w:t>
            </w:r>
            <w:r>
              <w:rPr>
                <w:spacing w:val="-37"/>
              </w:rPr>
              <w:t xml:space="preserve"> </w:t>
            </w:r>
            <w:r>
              <w:rPr>
                <w:rFonts w:ascii="Times New Roman" w:hAnsi="Times New Roman" w:eastAsia="Times New Roman" w:cs="Times New Roman"/>
                <w:spacing w:val="-2"/>
              </w:rPr>
              <w:t xml:space="preserve">2 </w:t>
            </w:r>
            <w:r>
              <w:rPr>
                <w:spacing w:val="-2"/>
              </w:rPr>
              <w:t>个月，预计于</w:t>
            </w:r>
            <w:r>
              <w:rPr>
                <w:spacing w:val="-55"/>
              </w:rPr>
              <w:t xml:space="preserve"> </w:t>
            </w:r>
            <w:r>
              <w:rPr>
                <w:rFonts w:ascii="Times New Roman" w:hAnsi="Times New Roman" w:eastAsia="Times New Roman" w:cs="Times New Roman"/>
                <w:spacing w:val="-2"/>
              </w:rPr>
              <w:t xml:space="preserve">2025 </w:t>
            </w:r>
            <w:r>
              <w:rPr>
                <w:spacing w:val="-2"/>
              </w:rPr>
              <w:t>年</w:t>
            </w:r>
            <w:r>
              <w:rPr>
                <w:spacing w:val="-50"/>
              </w:rPr>
              <w:t xml:space="preserve"> </w:t>
            </w:r>
            <w:r>
              <w:rPr>
                <w:rFonts w:ascii="Times New Roman" w:hAnsi="Times New Roman" w:eastAsia="Times New Roman" w:cs="Times New Roman"/>
                <w:spacing w:val="-2"/>
              </w:rPr>
              <w:t>3</w:t>
            </w:r>
            <w:r>
              <w:rPr>
                <w:rFonts w:ascii="Times New Roman" w:hAnsi="Times New Roman" w:eastAsia="Times New Roman" w:cs="Times New Roman"/>
                <w:spacing w:val="15"/>
                <w:w w:val="101"/>
              </w:rPr>
              <w:t xml:space="preserve"> </w:t>
            </w:r>
            <w:r>
              <w:rPr>
                <w:spacing w:val="-2"/>
              </w:rPr>
              <w:t>月完成工程建设并投入运营。</w:t>
            </w:r>
          </w:p>
          <w:p w14:paraId="1543675E">
            <w:pPr>
              <w:pStyle w:val="6"/>
              <w:spacing w:before="183" w:line="220" w:lineRule="auto"/>
              <w:ind w:left="583"/>
            </w:pPr>
            <w:r>
              <w:rPr>
                <w:rFonts w:ascii="Times New Roman" w:hAnsi="Times New Roman" w:eastAsia="Times New Roman" w:cs="Times New Roman"/>
                <w:b/>
                <w:bCs/>
                <w:spacing w:val="-8"/>
              </w:rPr>
              <w:t>6</w:t>
            </w:r>
            <w:r>
              <w:rPr>
                <w:rFonts w:ascii="Times New Roman" w:hAnsi="Times New Roman" w:eastAsia="Times New Roman" w:cs="Times New Roman"/>
                <w:b/>
                <w:bCs/>
                <w:spacing w:val="-30"/>
              </w:rPr>
              <w:t xml:space="preserve"> </w:t>
            </w:r>
            <w:r>
              <w:rPr>
                <w:b/>
                <w:bCs/>
                <w:spacing w:val="-8"/>
              </w:rPr>
              <w:t>、公用工程</w:t>
            </w:r>
          </w:p>
          <w:p w14:paraId="0A5C5FD3">
            <w:pPr>
              <w:pStyle w:val="6"/>
              <w:spacing w:before="181" w:line="346" w:lineRule="auto"/>
              <w:ind w:left="582" w:right="6330" w:firstLine="12"/>
            </w:pPr>
            <w:r>
              <w:rPr>
                <w:spacing w:val="-4"/>
              </w:rPr>
              <w:t>（</w:t>
            </w:r>
            <w:r>
              <w:rPr>
                <w:rFonts w:ascii="Times New Roman" w:hAnsi="Times New Roman" w:eastAsia="Times New Roman" w:cs="Times New Roman"/>
                <w:spacing w:val="-4"/>
              </w:rPr>
              <w:t>1</w:t>
            </w:r>
            <w:r>
              <w:rPr>
                <w:spacing w:val="-4"/>
              </w:rPr>
              <w:t>）给排水</w:t>
            </w:r>
            <w:r>
              <w:rPr>
                <w:spacing w:val="2"/>
              </w:rPr>
              <w:t xml:space="preserve"> </w:t>
            </w:r>
            <w:r>
              <w:rPr>
                <w:spacing w:val="-3"/>
              </w:rPr>
              <w:t>①给水</w:t>
            </w:r>
          </w:p>
          <w:p w14:paraId="5BEBB849">
            <w:pPr>
              <w:pStyle w:val="6"/>
              <w:spacing w:before="37" w:line="219" w:lineRule="auto"/>
              <w:ind w:left="584"/>
            </w:pPr>
            <w:r>
              <w:rPr>
                <w:spacing w:val="-1"/>
              </w:rPr>
              <w:t>本项目用水主要是员工生活用水。</w:t>
            </w:r>
          </w:p>
          <w:p w14:paraId="40B4146B">
            <w:pPr>
              <w:pStyle w:val="6"/>
              <w:spacing w:before="183" w:line="351" w:lineRule="auto"/>
              <w:ind w:left="94" w:right="95" w:firstLine="490"/>
            </w:pPr>
            <w:r>
              <w:rPr>
                <w:spacing w:val="3"/>
              </w:rPr>
              <w:t>本项目职工人员为</w:t>
            </w:r>
            <w:r>
              <w:rPr>
                <w:spacing w:val="-44"/>
              </w:rPr>
              <w:t xml:space="preserve"> </w:t>
            </w:r>
            <w:r>
              <w:rPr>
                <w:rFonts w:ascii="Times New Roman" w:hAnsi="Times New Roman" w:eastAsia="Times New Roman" w:cs="Times New Roman"/>
                <w:spacing w:val="3"/>
              </w:rPr>
              <w:t xml:space="preserve">5 </w:t>
            </w:r>
            <w:r>
              <w:rPr>
                <w:spacing w:val="3"/>
              </w:rPr>
              <w:t>人，不设食堂，生活用水量按</w:t>
            </w:r>
            <w:r>
              <w:rPr>
                <w:spacing w:val="2"/>
              </w:rPr>
              <w:t>《黑龙江省地方标准</w:t>
            </w:r>
            <w:r>
              <w:t xml:space="preserve"> </w:t>
            </w:r>
            <w:r>
              <w:rPr>
                <w:spacing w:val="-2"/>
              </w:rPr>
              <w:t>用水定额》（</w:t>
            </w:r>
            <w:r>
              <w:rPr>
                <w:rFonts w:ascii="Times New Roman" w:hAnsi="Times New Roman" w:eastAsia="Times New Roman" w:cs="Times New Roman"/>
                <w:spacing w:val="-2"/>
              </w:rPr>
              <w:t>DB23/T727-2021</w:t>
            </w:r>
            <w:r>
              <w:rPr>
                <w:spacing w:val="-2"/>
              </w:rPr>
              <w:t>）规定的</w:t>
            </w:r>
            <w:r>
              <w:rPr>
                <w:spacing w:val="-45"/>
              </w:rPr>
              <w:t xml:space="preserve"> </w:t>
            </w:r>
            <w:r>
              <w:rPr>
                <w:rFonts w:ascii="Times New Roman" w:hAnsi="Times New Roman" w:eastAsia="Times New Roman" w:cs="Times New Roman"/>
                <w:spacing w:val="-2"/>
              </w:rPr>
              <w:t>80L/</w:t>
            </w:r>
            <w:r>
              <w:rPr>
                <w:spacing w:val="-2"/>
              </w:rPr>
              <w:t>（人</w:t>
            </w:r>
            <w:r>
              <w:rPr>
                <w:rFonts w:ascii="Times New Roman" w:hAnsi="Times New Roman" w:eastAsia="Times New Roman" w:cs="Times New Roman"/>
                <w:spacing w:val="-2"/>
              </w:rPr>
              <w:t>·d</w:t>
            </w:r>
            <w:r>
              <w:rPr>
                <w:spacing w:val="-9"/>
              </w:rPr>
              <w:t>），</w:t>
            </w:r>
            <w:r>
              <w:rPr>
                <w:spacing w:val="-2"/>
              </w:rPr>
              <w:t>则</w:t>
            </w:r>
            <w:r>
              <w:rPr>
                <w:spacing w:val="-3"/>
              </w:rPr>
              <w:t>生活用水量为</w:t>
            </w:r>
            <w:r>
              <w:rPr>
                <w:spacing w:val="-51"/>
              </w:rPr>
              <w:t xml:space="preserve"> </w:t>
            </w:r>
            <w:r>
              <w:rPr>
                <w:rFonts w:ascii="Times New Roman" w:hAnsi="Times New Roman" w:eastAsia="Times New Roman" w:cs="Times New Roman"/>
                <w:spacing w:val="-3"/>
              </w:rPr>
              <w:t>0.4m</w:t>
            </w:r>
            <w:r>
              <w:rPr>
                <w:spacing w:val="-3"/>
              </w:rPr>
              <w:t>³</w:t>
            </w:r>
            <w:r>
              <w:t xml:space="preserve"> </w:t>
            </w:r>
            <w:r>
              <w:rPr>
                <w:rFonts w:ascii="Times New Roman" w:hAnsi="Times New Roman" w:eastAsia="Times New Roman" w:cs="Times New Roman"/>
                <w:spacing w:val="-3"/>
              </w:rPr>
              <w:t>/d</w:t>
            </w:r>
            <w:r>
              <w:rPr>
                <w:rFonts w:ascii="Times New Roman" w:hAnsi="Times New Roman" w:eastAsia="Times New Roman" w:cs="Times New Roman"/>
                <w:spacing w:val="-31"/>
              </w:rPr>
              <w:t xml:space="preserve"> </w:t>
            </w:r>
            <w:r>
              <w:rPr>
                <w:spacing w:val="-3"/>
              </w:rPr>
              <w:t>，</w:t>
            </w:r>
            <w:r>
              <w:rPr>
                <w:rFonts w:ascii="Times New Roman" w:hAnsi="Times New Roman" w:eastAsia="Times New Roman" w:cs="Times New Roman"/>
                <w:spacing w:val="-3"/>
              </w:rPr>
              <w:t>120t/a</w:t>
            </w:r>
            <w:r>
              <w:rPr>
                <w:spacing w:val="-3"/>
              </w:rPr>
              <w:t>（工作天数按</w:t>
            </w:r>
            <w:r>
              <w:rPr>
                <w:spacing w:val="-50"/>
              </w:rPr>
              <w:t xml:space="preserve"> </w:t>
            </w:r>
            <w:r>
              <w:rPr>
                <w:rFonts w:ascii="Times New Roman" w:hAnsi="Times New Roman" w:eastAsia="Times New Roman" w:cs="Times New Roman"/>
                <w:spacing w:val="-3"/>
              </w:rPr>
              <w:t>300</w:t>
            </w:r>
            <w:r>
              <w:rPr>
                <w:rFonts w:ascii="Times New Roman" w:hAnsi="Times New Roman" w:eastAsia="Times New Roman" w:cs="Times New Roman"/>
                <w:spacing w:val="14"/>
              </w:rPr>
              <w:t xml:space="preserve"> </w:t>
            </w:r>
            <w:r>
              <w:rPr>
                <w:spacing w:val="-3"/>
              </w:rPr>
              <w:t>天计</w:t>
            </w:r>
            <w:r>
              <w:rPr>
                <w:spacing w:val="19"/>
              </w:rPr>
              <w:t>），</w:t>
            </w:r>
            <w:r>
              <w:rPr>
                <w:spacing w:val="-3"/>
              </w:rPr>
              <w:t>由市政供水管网提</w:t>
            </w:r>
            <w:r>
              <w:rPr>
                <w:spacing w:val="-4"/>
              </w:rPr>
              <w:t>供。</w:t>
            </w:r>
          </w:p>
          <w:p w14:paraId="2296F4D4">
            <w:pPr>
              <w:pStyle w:val="6"/>
              <w:spacing w:before="36" w:line="312" w:lineRule="auto"/>
              <w:ind w:left="105" w:right="98" w:firstLine="479"/>
            </w:pPr>
            <w:r>
              <w:rPr>
                <w:spacing w:val="3"/>
              </w:rPr>
              <w:t>本项目设备及车辆不在厂区内清洗，本项目收购来的报废农机运至拆解</w:t>
            </w:r>
            <w:r>
              <w:rPr>
                <w:spacing w:val="8"/>
              </w:rPr>
              <w:t xml:space="preserve"> </w:t>
            </w:r>
            <w:r>
              <w:rPr>
                <w:spacing w:val="1"/>
              </w:rPr>
              <w:t>车间内暂存，车间地面不用水冲洗，地面如有油渍，采用抹布</w:t>
            </w:r>
            <w:r>
              <w:rPr>
                <w:rFonts w:ascii="Times New Roman" w:hAnsi="Times New Roman" w:eastAsia="Times New Roman" w:cs="Times New Roman"/>
                <w:spacing w:val="1"/>
              </w:rPr>
              <w:t>/</w:t>
            </w:r>
            <w:r>
              <w:rPr>
                <w:spacing w:val="1"/>
              </w:rPr>
              <w:t>拖布擦干，废</w:t>
            </w:r>
          </w:p>
        </w:tc>
      </w:tr>
    </w:tbl>
    <w:p w14:paraId="0FA1E0E6">
      <w:pPr>
        <w:pStyle w:val="2"/>
        <w:spacing w:line="221" w:lineRule="exact"/>
        <w:rPr>
          <w:sz w:val="19"/>
        </w:rPr>
      </w:pPr>
    </w:p>
    <w:p w14:paraId="0D47E000">
      <w:pPr>
        <w:spacing w:line="221" w:lineRule="exact"/>
        <w:rPr>
          <w:sz w:val="19"/>
          <w:szCs w:val="19"/>
        </w:rPr>
        <w:sectPr>
          <w:footerReference r:id="rId48" w:type="default"/>
          <w:pgSz w:w="11906" w:h="16839"/>
          <w:pgMar w:top="1270" w:right="1488" w:bottom="1261" w:left="1487" w:header="0" w:footer="1097" w:gutter="0"/>
          <w:cols w:space="720" w:num="1"/>
        </w:sectPr>
      </w:pPr>
    </w:p>
    <w:tbl>
      <w:tblPr>
        <w:tblStyle w:val="5"/>
        <w:tblW w:w="8904"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64"/>
        <w:gridCol w:w="7083"/>
        <w:gridCol w:w="1157"/>
      </w:tblGrid>
      <w:tr w14:paraId="4CE25633">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2808" w:hRule="atLeast"/>
        </w:trPr>
        <w:tc>
          <w:tcPr>
            <w:tcW w:w="664" w:type="dxa"/>
            <w:vMerge w:val="restart"/>
            <w:tcBorders>
              <w:bottom w:val="nil"/>
              <w:right w:val="single" w:color="000000" w:sz="2" w:space="0"/>
            </w:tcBorders>
            <w:vAlign w:val="top"/>
          </w:tcPr>
          <w:p w14:paraId="6110DCAE">
            <w:pPr>
              <w:rPr>
                <w:rFonts w:ascii="Arial"/>
                <w:sz w:val="21"/>
              </w:rPr>
            </w:pPr>
          </w:p>
        </w:tc>
        <w:tc>
          <w:tcPr>
            <w:tcW w:w="8240" w:type="dxa"/>
            <w:gridSpan w:val="2"/>
            <w:tcBorders>
              <w:left w:val="single" w:color="000000" w:sz="2" w:space="0"/>
              <w:bottom w:val="nil"/>
            </w:tcBorders>
            <w:vAlign w:val="top"/>
          </w:tcPr>
          <w:p w14:paraId="2CBF7214">
            <w:pPr>
              <w:pStyle w:val="6"/>
              <w:spacing w:before="120" w:line="346" w:lineRule="auto"/>
              <w:ind w:left="583" w:right="903" w:hanging="480"/>
            </w:pPr>
            <w:r>
              <w:rPr>
                <w:spacing w:val="-2"/>
              </w:rPr>
              <w:t>抹布</w:t>
            </w:r>
            <w:r>
              <w:rPr>
                <w:rFonts w:ascii="Times New Roman" w:hAnsi="Times New Roman" w:eastAsia="Times New Roman" w:cs="Times New Roman"/>
                <w:spacing w:val="-2"/>
              </w:rPr>
              <w:t>/</w:t>
            </w:r>
            <w:r>
              <w:rPr>
                <w:spacing w:val="-2"/>
              </w:rPr>
              <w:t>拖布作为危险废物暂存在危险废物贮存库，由有资质单位处理。</w:t>
            </w:r>
            <w:r>
              <w:rPr>
                <w:spacing w:val="12"/>
              </w:rPr>
              <w:t xml:space="preserve"> </w:t>
            </w:r>
            <w:r>
              <w:rPr>
                <w:spacing w:val="-2"/>
              </w:rPr>
              <w:t>本项目无生产用水。</w:t>
            </w:r>
          </w:p>
          <w:p w14:paraId="7532D5A6">
            <w:pPr>
              <w:pStyle w:val="6"/>
              <w:spacing w:before="35" w:line="217" w:lineRule="auto"/>
              <w:ind w:left="581"/>
            </w:pPr>
            <w:r>
              <w:rPr>
                <w:spacing w:val="-3"/>
              </w:rPr>
              <w:t>②排水</w:t>
            </w:r>
          </w:p>
          <w:p w14:paraId="16785F6C">
            <w:pPr>
              <w:pStyle w:val="6"/>
              <w:spacing w:before="185" w:line="219" w:lineRule="auto"/>
              <w:ind w:left="584"/>
            </w:pPr>
            <w:r>
              <w:rPr>
                <w:spacing w:val="-1"/>
              </w:rPr>
              <w:t>本项目主要为员工生活污水。无生产废水产生，无地面清洗废水。</w:t>
            </w:r>
          </w:p>
          <w:p w14:paraId="591E7F6C">
            <w:pPr>
              <w:pStyle w:val="6"/>
              <w:spacing w:before="183" w:line="310" w:lineRule="auto"/>
              <w:ind w:left="103" w:right="34" w:firstLine="480"/>
            </w:pPr>
            <w:r>
              <w:rPr>
                <w:spacing w:val="-4"/>
              </w:rPr>
              <w:t>本项目生活污水按生活用水量的</w:t>
            </w:r>
            <w:r>
              <w:rPr>
                <w:spacing w:val="-29"/>
              </w:rPr>
              <w:t xml:space="preserve"> </w:t>
            </w:r>
            <w:r>
              <w:rPr>
                <w:rFonts w:ascii="Times New Roman" w:hAnsi="Times New Roman" w:eastAsia="Times New Roman" w:cs="Times New Roman"/>
                <w:spacing w:val="-4"/>
              </w:rPr>
              <w:t>80%</w:t>
            </w:r>
            <w:r>
              <w:rPr>
                <w:spacing w:val="-4"/>
              </w:rPr>
              <w:t>计，则生活污水排放量为</w:t>
            </w:r>
            <w:r>
              <w:rPr>
                <w:spacing w:val="-51"/>
              </w:rPr>
              <w:t xml:space="preserve"> </w:t>
            </w:r>
            <w:r>
              <w:rPr>
                <w:rFonts w:ascii="Times New Roman" w:hAnsi="Times New Roman" w:eastAsia="Times New Roman" w:cs="Times New Roman"/>
                <w:spacing w:val="-4"/>
              </w:rPr>
              <w:t>0.32m</w:t>
            </w:r>
            <w:r>
              <w:rPr>
                <w:spacing w:val="-4"/>
              </w:rPr>
              <w:t>³</w:t>
            </w:r>
            <w:r>
              <w:rPr>
                <w:rFonts w:ascii="Times New Roman" w:hAnsi="Times New Roman" w:eastAsia="Times New Roman" w:cs="Times New Roman"/>
                <w:spacing w:val="-4"/>
              </w:rPr>
              <w:t>/d</w:t>
            </w:r>
            <w:r>
              <w:rPr>
                <w:spacing w:val="-4"/>
              </w:rPr>
              <w:t>，</w:t>
            </w:r>
            <w:r>
              <w:t xml:space="preserve"> </w:t>
            </w:r>
            <w:r>
              <w:rPr>
                <w:rFonts w:ascii="Times New Roman" w:hAnsi="Times New Roman" w:eastAsia="Times New Roman" w:cs="Times New Roman"/>
                <w:spacing w:val="-2"/>
              </w:rPr>
              <w:t>96t/a</w:t>
            </w:r>
            <w:r>
              <w:rPr>
                <w:rFonts w:ascii="Times New Roman" w:hAnsi="Times New Roman" w:eastAsia="Times New Roman" w:cs="Times New Roman"/>
                <w:spacing w:val="-21"/>
              </w:rPr>
              <w:t xml:space="preserve"> </w:t>
            </w:r>
            <w:r>
              <w:rPr>
                <w:spacing w:val="-2"/>
              </w:rPr>
              <w:t>。设防渗旱厕供员工使用，定期清掏作农肥。</w:t>
            </w:r>
          </w:p>
        </w:tc>
      </w:tr>
      <w:tr w14:paraId="63BC755E">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761" w:hRule="atLeast"/>
        </w:trPr>
        <w:tc>
          <w:tcPr>
            <w:tcW w:w="664" w:type="dxa"/>
            <w:vMerge w:val="continue"/>
            <w:tcBorders>
              <w:top w:val="nil"/>
              <w:bottom w:val="nil"/>
              <w:right w:val="single" w:color="000000" w:sz="2" w:space="0"/>
            </w:tcBorders>
            <w:vAlign w:val="top"/>
          </w:tcPr>
          <w:p w14:paraId="48942A1F">
            <w:pPr>
              <w:rPr>
                <w:rFonts w:ascii="Arial"/>
                <w:sz w:val="21"/>
              </w:rPr>
            </w:pPr>
          </w:p>
        </w:tc>
        <w:tc>
          <w:tcPr>
            <w:tcW w:w="7083" w:type="dxa"/>
            <w:tcBorders>
              <w:top w:val="nil"/>
              <w:left w:val="single" w:color="000000" w:sz="2" w:space="0"/>
              <w:bottom w:val="nil"/>
              <w:right w:val="nil"/>
            </w:tcBorders>
            <w:vAlign w:val="top"/>
          </w:tcPr>
          <w:p w14:paraId="3B6C8079">
            <w:pPr>
              <w:pStyle w:val="6"/>
              <w:spacing w:before="120" w:line="217" w:lineRule="auto"/>
              <w:ind w:left="581"/>
            </w:pPr>
            <w:r>
              <w:drawing>
                <wp:anchor distT="0" distB="0" distL="0" distR="0" simplePos="0" relativeHeight="251670528" behindDoc="1" locked="0" layoutInCell="1" allowOverlap="1">
                  <wp:simplePos x="0" y="0"/>
                  <wp:positionH relativeFrom="rightMargin">
                    <wp:posOffset>-2582545</wp:posOffset>
                  </wp:positionH>
                  <wp:positionV relativeFrom="topMargin">
                    <wp:posOffset>476250</wp:posOffset>
                  </wp:positionV>
                  <wp:extent cx="142875" cy="8826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14"/>
                          <a:stretch>
                            <a:fillRect/>
                          </a:stretch>
                        </pic:blipFill>
                        <pic:spPr>
                          <a:xfrm>
                            <a:off x="0" y="0"/>
                            <a:ext cx="142608" cy="88176"/>
                          </a:xfrm>
                          <a:prstGeom prst="rect">
                            <a:avLst/>
                          </a:prstGeom>
                        </pic:spPr>
                      </pic:pic>
                    </a:graphicData>
                  </a:graphic>
                </wp:anchor>
              </w:drawing>
            </w:r>
            <w:r>
              <w:rPr>
                <w:spacing w:val="-2"/>
              </w:rPr>
              <w:t>③水平衡</w:t>
            </w:r>
          </w:p>
          <w:p w14:paraId="3292346B">
            <w:pPr>
              <w:spacing w:before="20" w:line="186" w:lineRule="auto"/>
              <w:ind w:left="3504"/>
              <w:rPr>
                <w:rFonts w:ascii="Calibri" w:hAnsi="Calibri" w:eastAsia="Calibri" w:cs="Calibri"/>
                <w:sz w:val="20"/>
                <w:szCs w:val="20"/>
              </w:rPr>
            </w:pPr>
            <w:r>
              <w:rPr>
                <w:rFonts w:ascii="Calibri" w:hAnsi="Calibri" w:eastAsia="Calibri" w:cs="Calibri"/>
                <w:spacing w:val="1"/>
                <w:sz w:val="20"/>
                <w:szCs w:val="20"/>
              </w:rPr>
              <w:t>0.08</w:t>
            </w:r>
          </w:p>
          <w:p w14:paraId="6A9AA765">
            <w:pPr>
              <w:spacing w:before="53" w:line="119" w:lineRule="exact"/>
              <w:ind w:left="3261"/>
            </w:pPr>
            <w:r>
              <w:rPr>
                <w:position w:val="-2"/>
              </w:rPr>
              <w:drawing>
                <wp:inline distT="0" distB="0" distL="0" distR="0">
                  <wp:extent cx="102235" cy="7493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15"/>
                          <a:stretch>
                            <a:fillRect/>
                          </a:stretch>
                        </pic:blipFill>
                        <pic:spPr>
                          <a:xfrm>
                            <a:off x="0" y="0"/>
                            <a:ext cx="102590" cy="75196"/>
                          </a:xfrm>
                          <a:prstGeom prst="rect">
                            <a:avLst/>
                          </a:prstGeom>
                        </pic:spPr>
                      </pic:pic>
                    </a:graphicData>
                  </a:graphic>
                </wp:inline>
              </w:drawing>
            </w:r>
          </w:p>
          <w:p w14:paraId="533CE6E0">
            <w:pPr>
              <w:pStyle w:val="6"/>
              <w:spacing w:before="51" w:line="230" w:lineRule="exact"/>
              <w:ind w:left="1051"/>
              <w:rPr>
                <w:rFonts w:ascii="Calibri" w:hAnsi="Calibri" w:eastAsia="Calibri" w:cs="Calibri"/>
                <w:sz w:val="20"/>
                <w:szCs w:val="20"/>
              </w:rPr>
            </w:pPr>
            <w:r>
              <w:drawing>
                <wp:anchor distT="0" distB="0" distL="0" distR="0" simplePos="0" relativeHeight="251669504" behindDoc="1" locked="0" layoutInCell="1" allowOverlap="1">
                  <wp:simplePos x="0" y="0"/>
                  <wp:positionH relativeFrom="column">
                    <wp:posOffset>1543685</wp:posOffset>
                  </wp:positionH>
                  <wp:positionV relativeFrom="paragraph">
                    <wp:posOffset>81280</wp:posOffset>
                  </wp:positionV>
                  <wp:extent cx="2395220" cy="31242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16"/>
                          <a:stretch>
                            <a:fillRect/>
                          </a:stretch>
                        </pic:blipFill>
                        <pic:spPr>
                          <a:xfrm>
                            <a:off x="0" y="0"/>
                            <a:ext cx="2395220" cy="312420"/>
                          </a:xfrm>
                          <a:prstGeom prst="rect">
                            <a:avLst/>
                          </a:prstGeom>
                        </pic:spPr>
                      </pic:pic>
                    </a:graphicData>
                  </a:graphic>
                </wp:anchor>
              </w:drawing>
            </w:r>
            <w:r>
              <w:rPr>
                <w:spacing w:val="3"/>
                <w:position w:val="-2"/>
                <w:sz w:val="20"/>
                <w:szCs w:val="20"/>
              </w:rPr>
              <w:t>市政管网</w:t>
            </w:r>
            <w:r>
              <w:rPr>
                <w:spacing w:val="2"/>
                <w:position w:val="-2"/>
                <w:sz w:val="20"/>
                <w:szCs w:val="20"/>
              </w:rPr>
              <w:t xml:space="preserve">          </w:t>
            </w:r>
            <w:r>
              <w:rPr>
                <w:position w:val="8"/>
                <w:sz w:val="20"/>
                <w:szCs w:val="20"/>
              </w:rPr>
              <w:drawing>
                <wp:inline distT="0" distB="0" distL="0" distR="0">
                  <wp:extent cx="57150" cy="3746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17"/>
                          <a:stretch>
                            <a:fillRect/>
                          </a:stretch>
                        </pic:blipFill>
                        <pic:spPr>
                          <a:xfrm>
                            <a:off x="0" y="0"/>
                            <a:ext cx="57314" cy="37816"/>
                          </a:xfrm>
                          <a:prstGeom prst="rect">
                            <a:avLst/>
                          </a:prstGeom>
                        </pic:spPr>
                      </pic:pic>
                    </a:graphicData>
                  </a:graphic>
                </wp:inline>
              </w:drawing>
            </w:r>
            <w:r>
              <w:rPr>
                <w:spacing w:val="1"/>
                <w:position w:val="-2"/>
                <w:sz w:val="20"/>
                <w:szCs w:val="20"/>
              </w:rPr>
              <w:t xml:space="preserve">            </w:t>
            </w:r>
            <w:r>
              <w:rPr>
                <w:rFonts w:ascii="Calibri" w:hAnsi="Calibri" w:eastAsia="Calibri" w:cs="Calibri"/>
                <w:spacing w:val="3"/>
                <w:sz w:val="20"/>
                <w:szCs w:val="20"/>
              </w:rPr>
              <w:t>0.32</w:t>
            </w:r>
            <w:r>
              <w:rPr>
                <w:rFonts w:ascii="Calibri" w:hAnsi="Calibri" w:eastAsia="Calibri" w:cs="Calibri"/>
                <w:spacing w:val="1"/>
                <w:sz w:val="20"/>
                <w:szCs w:val="20"/>
              </w:rPr>
              <w:t xml:space="preserve">                                        </w:t>
            </w:r>
            <w:r>
              <w:rPr>
                <w:rFonts w:ascii="Calibri" w:hAnsi="Calibri" w:eastAsia="Calibri" w:cs="Calibri"/>
                <w:spacing w:val="3"/>
                <w:position w:val="6"/>
                <w:sz w:val="20"/>
                <w:szCs w:val="20"/>
              </w:rPr>
              <w:t>0.32</w:t>
            </w:r>
          </w:p>
          <w:p w14:paraId="7CE85B96">
            <w:pPr>
              <w:pStyle w:val="6"/>
              <w:spacing w:line="203" w:lineRule="exact"/>
              <w:ind w:left="797"/>
              <w:rPr>
                <w:rFonts w:ascii="微软雅黑" w:hAnsi="微软雅黑" w:eastAsia="微软雅黑" w:cs="微软雅黑"/>
                <w:sz w:val="40"/>
                <w:szCs w:val="40"/>
              </w:rPr>
            </w:pPr>
            <w:r>
              <w:pict>
                <v:shape id="_x0000_s1035" o:spid="_x0000_s1035" o:spt="202" type="#_x0000_t202" style="position:absolute;left:0pt;margin-left:65.6pt;margin-top:7.05pt;height:11.5pt;width:14.85pt;z-index:251671552;mso-width-relative:page;mso-height-relative:page;" filled="f" stroked="f" coordsize="21600,21600">
                  <v:path/>
                  <v:fill on="f" focussize="0,0"/>
                  <v:stroke on="f"/>
                  <v:imagedata o:title=""/>
                  <o:lock v:ext="edit" aspectratio="f"/>
                  <v:textbox inset="0mm,0mm,0mm,0mm">
                    <w:txbxContent>
                      <w:p w14:paraId="2849CE35">
                        <w:pPr>
                          <w:spacing w:before="20" w:line="186" w:lineRule="auto"/>
                          <w:ind w:left="20"/>
                          <w:rPr>
                            <w:rFonts w:ascii="Calibri" w:hAnsi="Calibri" w:eastAsia="Calibri" w:cs="Calibri"/>
                            <w:sz w:val="20"/>
                            <w:szCs w:val="20"/>
                          </w:rPr>
                        </w:pPr>
                        <w:r>
                          <w:rPr>
                            <w:rFonts w:ascii="Calibri" w:hAnsi="Calibri" w:eastAsia="Calibri" w:cs="Calibri"/>
                            <w:spacing w:val="1"/>
                            <w:sz w:val="20"/>
                            <w:szCs w:val="20"/>
                          </w:rPr>
                          <w:t>0.4</w:t>
                        </w:r>
                      </w:p>
                    </w:txbxContent>
                  </v:textbox>
                </v:shape>
              </w:pict>
            </w:r>
            <w:r>
              <w:rPr>
                <w:rFonts w:ascii="微软雅黑" w:hAnsi="微软雅黑" w:eastAsia="微软雅黑" w:cs="微软雅黑"/>
                <w:spacing w:val="78"/>
                <w:w w:val="175"/>
                <w:position w:val="-1"/>
                <w:sz w:val="40"/>
                <w:szCs w:val="40"/>
              </w:rPr>
              <w:t>—一</w:t>
            </w:r>
            <w:r>
              <w:rPr>
                <w:rFonts w:ascii="微软雅黑" w:hAnsi="微软雅黑" w:eastAsia="微软雅黑" w:cs="微软雅黑"/>
                <w:spacing w:val="53"/>
                <w:position w:val="-1"/>
                <w:sz w:val="40"/>
                <w:szCs w:val="40"/>
              </w:rPr>
              <w:t xml:space="preserve">  </w:t>
            </w:r>
            <w:r>
              <w:rPr>
                <w:spacing w:val="6"/>
                <w:position w:val="-4"/>
                <w:sz w:val="20"/>
                <w:szCs w:val="20"/>
              </w:rPr>
              <w:t>生活用水</w:t>
            </w:r>
            <w:r>
              <w:rPr>
                <w:spacing w:val="12"/>
                <w:position w:val="-4"/>
                <w:sz w:val="20"/>
                <w:szCs w:val="20"/>
              </w:rPr>
              <w:t xml:space="preserve">   </w:t>
            </w:r>
            <w:r>
              <w:rPr>
                <w:position w:val="-10"/>
                <w:sz w:val="20"/>
                <w:szCs w:val="20"/>
              </w:rPr>
              <w:drawing>
                <wp:inline distT="0" distB="0" distL="0" distR="0">
                  <wp:extent cx="508000" cy="6921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18"/>
                          <a:stretch>
                            <a:fillRect/>
                          </a:stretch>
                        </pic:blipFill>
                        <pic:spPr>
                          <a:xfrm>
                            <a:off x="0" y="0"/>
                            <a:ext cx="508076" cy="69634"/>
                          </a:xfrm>
                          <a:prstGeom prst="rect">
                            <a:avLst/>
                          </a:prstGeom>
                        </pic:spPr>
                      </pic:pic>
                    </a:graphicData>
                  </a:graphic>
                </wp:inline>
              </w:drawing>
            </w:r>
            <w:r>
              <w:rPr>
                <w:spacing w:val="18"/>
                <w:position w:val="-4"/>
                <w:sz w:val="20"/>
                <w:szCs w:val="20"/>
              </w:rPr>
              <w:t xml:space="preserve">   </w:t>
            </w:r>
            <w:r>
              <w:rPr>
                <w:spacing w:val="6"/>
                <w:position w:val="-4"/>
                <w:sz w:val="20"/>
                <w:szCs w:val="20"/>
              </w:rPr>
              <w:t xml:space="preserve">防渗旱厕   </w:t>
            </w:r>
            <w:r>
              <w:rPr>
                <w:rFonts w:ascii="微软雅黑" w:hAnsi="微软雅黑" w:eastAsia="微软雅黑" w:cs="微软雅黑"/>
                <w:spacing w:val="100"/>
                <w:w w:val="175"/>
                <w:position w:val="-4"/>
                <w:sz w:val="40"/>
                <w:szCs w:val="40"/>
              </w:rPr>
              <w:t>一</w:t>
            </w:r>
          </w:p>
        </w:tc>
        <w:tc>
          <w:tcPr>
            <w:tcW w:w="1157" w:type="dxa"/>
            <w:tcBorders>
              <w:top w:val="nil"/>
              <w:left w:val="nil"/>
              <w:bottom w:val="nil"/>
            </w:tcBorders>
            <w:vAlign w:val="top"/>
          </w:tcPr>
          <w:p w14:paraId="299A3E61">
            <w:pPr>
              <w:spacing w:line="323" w:lineRule="auto"/>
              <w:rPr>
                <w:rFonts w:ascii="Arial"/>
                <w:sz w:val="21"/>
              </w:rPr>
            </w:pPr>
          </w:p>
          <w:p w14:paraId="26ACA820">
            <w:pPr>
              <w:spacing w:line="323" w:lineRule="auto"/>
              <w:rPr>
                <w:rFonts w:ascii="Arial"/>
                <w:sz w:val="21"/>
              </w:rPr>
            </w:pPr>
          </w:p>
          <w:p w14:paraId="483A8056">
            <w:pPr>
              <w:pStyle w:val="6"/>
              <w:spacing w:before="65" w:line="228" w:lineRule="auto"/>
              <w:ind w:left="200"/>
              <w:rPr>
                <w:sz w:val="20"/>
                <w:szCs w:val="20"/>
              </w:rPr>
            </w:pPr>
            <w:r>
              <w:rPr>
                <w:spacing w:val="5"/>
                <w:sz w:val="20"/>
                <w:szCs w:val="20"/>
              </w:rPr>
              <w:t>定期清</w:t>
            </w:r>
          </w:p>
          <w:p w14:paraId="18CB816E">
            <w:pPr>
              <w:pStyle w:val="6"/>
              <w:spacing w:before="64" w:line="228" w:lineRule="auto"/>
              <w:ind w:left="90"/>
              <w:rPr>
                <w:sz w:val="20"/>
                <w:szCs w:val="20"/>
              </w:rPr>
            </w:pPr>
            <w:r>
              <w:rPr>
                <w:spacing w:val="7"/>
                <w:sz w:val="20"/>
                <w:szCs w:val="20"/>
              </w:rPr>
              <w:t>掏，用作</w:t>
            </w:r>
          </w:p>
          <w:p w14:paraId="7BD3F556">
            <w:pPr>
              <w:pStyle w:val="6"/>
              <w:spacing w:before="64" w:line="227" w:lineRule="auto"/>
              <w:ind w:left="195"/>
              <w:rPr>
                <w:sz w:val="20"/>
                <w:szCs w:val="20"/>
              </w:rPr>
            </w:pPr>
            <w:r>
              <w:rPr>
                <w:spacing w:val="6"/>
                <w:sz w:val="20"/>
                <w:szCs w:val="20"/>
              </w:rPr>
              <w:t>农家肥</w:t>
            </w:r>
          </w:p>
        </w:tc>
      </w:tr>
      <w:tr w14:paraId="349ACF2F">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9477" w:hRule="atLeast"/>
        </w:trPr>
        <w:tc>
          <w:tcPr>
            <w:tcW w:w="664" w:type="dxa"/>
            <w:vMerge w:val="continue"/>
            <w:tcBorders>
              <w:top w:val="nil"/>
              <w:right w:val="single" w:color="000000" w:sz="2" w:space="0"/>
            </w:tcBorders>
            <w:vAlign w:val="top"/>
          </w:tcPr>
          <w:p w14:paraId="78988B35">
            <w:pPr>
              <w:rPr>
                <w:rFonts w:ascii="Arial"/>
                <w:sz w:val="21"/>
              </w:rPr>
            </w:pPr>
          </w:p>
        </w:tc>
        <w:tc>
          <w:tcPr>
            <w:tcW w:w="8240" w:type="dxa"/>
            <w:gridSpan w:val="2"/>
            <w:tcBorders>
              <w:top w:val="nil"/>
              <w:left w:val="single" w:color="000000" w:sz="2" w:space="0"/>
            </w:tcBorders>
            <w:vAlign w:val="top"/>
          </w:tcPr>
          <w:p w14:paraId="0DFFCDB7">
            <w:pPr>
              <w:pStyle w:val="6"/>
              <w:spacing w:before="230" w:line="219" w:lineRule="auto"/>
              <w:ind w:left="2815"/>
            </w:pPr>
            <w:r>
              <w:rPr>
                <w:spacing w:val="-3"/>
              </w:rPr>
              <w:t>图</w:t>
            </w:r>
            <w:r>
              <w:rPr>
                <w:spacing w:val="-44"/>
              </w:rPr>
              <w:t xml:space="preserve"> </w:t>
            </w:r>
            <w:r>
              <w:rPr>
                <w:rFonts w:ascii="Times New Roman" w:hAnsi="Times New Roman" w:eastAsia="Times New Roman" w:cs="Times New Roman"/>
                <w:spacing w:val="-3"/>
              </w:rPr>
              <w:t xml:space="preserve">2-1      </w:t>
            </w:r>
            <w:r>
              <w:rPr>
                <w:spacing w:val="-3"/>
              </w:rPr>
              <w:t>本项目水平衡图</w:t>
            </w:r>
          </w:p>
          <w:p w14:paraId="0073EEE3">
            <w:pPr>
              <w:pStyle w:val="6"/>
              <w:spacing w:before="184" w:line="217" w:lineRule="auto"/>
              <w:ind w:left="581"/>
            </w:pPr>
            <w:r>
              <w:rPr>
                <w:spacing w:val="-3"/>
              </w:rPr>
              <w:t>④雨水</w:t>
            </w:r>
          </w:p>
          <w:p w14:paraId="57E4B33D">
            <w:pPr>
              <w:pStyle w:val="6"/>
              <w:spacing w:before="185" w:line="219" w:lineRule="auto"/>
              <w:ind w:left="586"/>
            </w:pPr>
            <w:r>
              <w:rPr>
                <w:spacing w:val="-2"/>
              </w:rPr>
              <w:t>大庆市地区暴雨强度公式：</w:t>
            </w:r>
          </w:p>
          <w:p w14:paraId="46B30C23">
            <w:pPr>
              <w:pStyle w:val="6"/>
              <w:spacing w:before="144" w:line="329" w:lineRule="auto"/>
              <w:ind w:left="588" w:right="1991" w:firstLine="1893"/>
            </w:pPr>
            <w:r>
              <w:rPr>
                <w:rFonts w:ascii="Calibri" w:hAnsi="Calibri" w:eastAsia="Calibri" w:cs="Calibri"/>
              </w:rPr>
              <w:t>q=1820×</w:t>
            </w:r>
            <w:r>
              <w:rPr>
                <w:rFonts w:ascii="仿宋" w:hAnsi="仿宋" w:eastAsia="仿宋" w:cs="仿宋"/>
              </w:rPr>
              <w:t>（</w:t>
            </w:r>
            <w:r>
              <w:rPr>
                <w:rFonts w:ascii="Calibri" w:hAnsi="Calibri" w:eastAsia="Calibri" w:cs="Calibri"/>
              </w:rPr>
              <w:t>1+0.91×lgP</w:t>
            </w:r>
            <w:r>
              <w:rPr>
                <w:rFonts w:ascii="仿宋" w:hAnsi="仿宋" w:eastAsia="仿宋" w:cs="仿宋"/>
              </w:rPr>
              <w:t>）</w:t>
            </w:r>
            <w:r>
              <w:rPr>
                <w:rFonts w:ascii="Calibri" w:hAnsi="Calibri" w:eastAsia="Calibri" w:cs="Calibri"/>
              </w:rPr>
              <w:t>/</w:t>
            </w:r>
            <w:r>
              <w:rPr>
                <w:rFonts w:ascii="仿宋" w:hAnsi="仿宋" w:eastAsia="仿宋" w:cs="仿宋"/>
              </w:rPr>
              <w:t>（</w:t>
            </w:r>
            <w:r>
              <w:rPr>
                <w:rFonts w:ascii="Calibri" w:hAnsi="Calibri" w:eastAsia="Calibri" w:cs="Calibri"/>
              </w:rPr>
              <w:t>t+8.3</w:t>
            </w:r>
            <w:r>
              <w:rPr>
                <w:rFonts w:ascii="仿宋" w:hAnsi="仿宋" w:eastAsia="仿宋" w:cs="仿宋"/>
              </w:rPr>
              <w:t>）</w:t>
            </w:r>
            <w:r>
              <w:rPr>
                <w:rFonts w:ascii="Calibri" w:hAnsi="Calibri" w:eastAsia="Calibri" w:cs="Calibri"/>
                <w:position w:val="7"/>
                <w:sz w:val="15"/>
                <w:szCs w:val="15"/>
              </w:rPr>
              <w:t>0.</w:t>
            </w:r>
            <w:r>
              <w:rPr>
                <w:rFonts w:ascii="Calibri" w:hAnsi="Calibri" w:eastAsia="Calibri" w:cs="Calibri"/>
                <w:spacing w:val="-1"/>
                <w:position w:val="7"/>
                <w:sz w:val="15"/>
                <w:szCs w:val="15"/>
              </w:rPr>
              <w:t>77</w:t>
            </w:r>
            <w:r>
              <w:rPr>
                <w:rFonts w:ascii="Calibri" w:hAnsi="Calibri" w:eastAsia="Calibri" w:cs="Calibri"/>
                <w:position w:val="7"/>
                <w:sz w:val="15"/>
                <w:szCs w:val="15"/>
              </w:rPr>
              <w:t xml:space="preserve"> </w:t>
            </w:r>
            <w:r>
              <w:rPr>
                <w:spacing w:val="-2"/>
              </w:rPr>
              <w:t>式中：</w:t>
            </w:r>
            <w:r>
              <w:rPr>
                <w:rFonts w:ascii="Calibri" w:hAnsi="Calibri" w:eastAsia="Calibri" w:cs="Calibri"/>
                <w:spacing w:val="-2"/>
              </w:rPr>
              <w:t>q</w:t>
            </w:r>
            <w:r>
              <w:rPr>
                <w:rFonts w:ascii="Calibri" w:hAnsi="Calibri" w:eastAsia="Calibri" w:cs="Calibri"/>
                <w:spacing w:val="-34"/>
              </w:rPr>
              <w:t xml:space="preserve"> </w:t>
            </w:r>
            <w:r>
              <w:rPr>
                <w:rFonts w:ascii="Calibri" w:hAnsi="Calibri" w:eastAsia="Calibri" w:cs="Calibri"/>
                <w:spacing w:val="-2"/>
              </w:rPr>
              <w:t>—</w:t>
            </w:r>
            <w:r>
              <w:rPr>
                <w:spacing w:val="-2"/>
              </w:rPr>
              <w:t>设计暴雨强度（</w:t>
            </w:r>
            <w:r>
              <w:rPr>
                <w:rFonts w:ascii="Calibri" w:hAnsi="Calibri" w:eastAsia="Calibri" w:cs="Calibri"/>
                <w:spacing w:val="-2"/>
              </w:rPr>
              <w:t>L/</w:t>
            </w:r>
            <w:r>
              <w:rPr>
                <w:spacing w:val="-2"/>
              </w:rPr>
              <w:t>（</w:t>
            </w:r>
            <w:r>
              <w:rPr>
                <w:rFonts w:ascii="Calibri" w:hAnsi="Calibri" w:eastAsia="Calibri" w:cs="Calibri"/>
                <w:spacing w:val="-2"/>
              </w:rPr>
              <w:t>s·ha</w:t>
            </w:r>
            <w:r>
              <w:rPr>
                <w:spacing w:val="1"/>
              </w:rPr>
              <w:t>））；</w:t>
            </w:r>
          </w:p>
          <w:p w14:paraId="0D9B5F7C">
            <w:pPr>
              <w:pStyle w:val="6"/>
              <w:spacing w:before="120" w:line="220" w:lineRule="auto"/>
              <w:ind w:left="1314"/>
            </w:pPr>
            <w:r>
              <w:rPr>
                <w:rFonts w:ascii="Calibri" w:hAnsi="Calibri" w:eastAsia="Calibri" w:cs="Calibri"/>
                <w:spacing w:val="-3"/>
              </w:rPr>
              <w:t>P—</w:t>
            </w:r>
            <w:r>
              <w:rPr>
                <w:spacing w:val="-3"/>
              </w:rPr>
              <w:t>设计重现期（</w:t>
            </w:r>
            <w:r>
              <w:rPr>
                <w:rFonts w:ascii="Calibri" w:hAnsi="Calibri" w:eastAsia="Calibri" w:cs="Calibri"/>
                <w:spacing w:val="-3"/>
              </w:rPr>
              <w:t>a</w:t>
            </w:r>
            <w:r>
              <w:rPr>
                <w:spacing w:val="2"/>
              </w:rPr>
              <w:t>）；</w:t>
            </w:r>
          </w:p>
          <w:p w14:paraId="45AEDB7F">
            <w:pPr>
              <w:pStyle w:val="6"/>
              <w:spacing w:before="181" w:line="347" w:lineRule="auto"/>
              <w:ind w:left="582" w:right="4157" w:firstLine="698"/>
            </w:pPr>
            <w:r>
              <w:rPr>
                <w:rFonts w:ascii="Calibri" w:hAnsi="Calibri" w:eastAsia="Calibri" w:cs="Calibri"/>
                <w:spacing w:val="-7"/>
              </w:rPr>
              <w:t>t—</w:t>
            </w:r>
            <w:r>
              <w:rPr>
                <w:spacing w:val="-7"/>
              </w:rPr>
              <w:t>设计降雨历时（</w:t>
            </w:r>
            <w:r>
              <w:rPr>
                <w:spacing w:val="-68"/>
              </w:rPr>
              <w:t xml:space="preserve"> </w:t>
            </w:r>
            <w:r>
              <w:rPr>
                <w:rFonts w:ascii="Calibri" w:hAnsi="Calibri" w:eastAsia="Calibri" w:cs="Calibri"/>
                <w:spacing w:val="-7"/>
              </w:rPr>
              <w:t>min</w:t>
            </w:r>
            <w:r>
              <w:rPr>
                <w:spacing w:val="-7"/>
              </w:rPr>
              <w:t>）。</w:t>
            </w:r>
            <w:r>
              <w:t xml:space="preserve"> </w:t>
            </w:r>
            <w:r>
              <w:rPr>
                <w:spacing w:val="-1"/>
              </w:rPr>
              <w:t>初期雨水量计算公式：</w:t>
            </w:r>
          </w:p>
          <w:p w14:paraId="215AE75D">
            <w:pPr>
              <w:spacing w:before="79" w:line="186" w:lineRule="auto"/>
              <w:ind w:left="3679"/>
              <w:rPr>
                <w:rFonts w:ascii="Calibri" w:hAnsi="Calibri" w:eastAsia="Calibri" w:cs="Calibri"/>
                <w:sz w:val="24"/>
                <w:szCs w:val="24"/>
              </w:rPr>
            </w:pPr>
            <w:r>
              <w:rPr>
                <w:rFonts w:ascii="Calibri" w:hAnsi="Calibri" w:eastAsia="Calibri" w:cs="Calibri"/>
                <w:spacing w:val="-4"/>
                <w:sz w:val="24"/>
                <w:szCs w:val="24"/>
              </w:rPr>
              <w:t>Q</w:t>
            </w:r>
            <w:r>
              <w:rPr>
                <w:rFonts w:ascii="Calibri" w:hAnsi="Calibri" w:eastAsia="Calibri" w:cs="Calibri"/>
                <w:spacing w:val="-4"/>
                <w:position w:val="-1"/>
                <w:sz w:val="15"/>
                <w:szCs w:val="15"/>
              </w:rPr>
              <w:t>y</w:t>
            </w:r>
            <w:r>
              <w:rPr>
                <w:rFonts w:ascii="Calibri" w:hAnsi="Calibri" w:eastAsia="Calibri" w:cs="Calibri"/>
                <w:spacing w:val="-4"/>
                <w:sz w:val="24"/>
                <w:szCs w:val="24"/>
              </w:rPr>
              <w:t>=Ψ·q</w:t>
            </w:r>
            <w:r>
              <w:rPr>
                <w:rFonts w:ascii="Calibri" w:hAnsi="Calibri" w:eastAsia="Calibri" w:cs="Calibri"/>
                <w:spacing w:val="-33"/>
                <w:sz w:val="24"/>
                <w:szCs w:val="24"/>
              </w:rPr>
              <w:t xml:space="preserve"> </w:t>
            </w:r>
            <w:r>
              <w:rPr>
                <w:rFonts w:ascii="Calibri" w:hAnsi="Calibri" w:eastAsia="Calibri" w:cs="Calibri"/>
                <w:spacing w:val="-4"/>
                <w:sz w:val="24"/>
                <w:szCs w:val="24"/>
              </w:rPr>
              <w:t>·F</w:t>
            </w:r>
          </w:p>
          <w:p w14:paraId="28511124">
            <w:pPr>
              <w:pStyle w:val="6"/>
              <w:spacing w:before="155" w:line="332" w:lineRule="auto"/>
              <w:ind w:left="1293" w:right="4913" w:hanging="705"/>
            </w:pPr>
            <w:r>
              <w:rPr>
                <w:spacing w:val="-6"/>
              </w:rPr>
              <w:t>式中：</w:t>
            </w:r>
            <w:r>
              <w:rPr>
                <w:rFonts w:ascii="Calibri" w:hAnsi="Calibri" w:eastAsia="Calibri" w:cs="Calibri"/>
                <w:spacing w:val="-6"/>
              </w:rPr>
              <w:t>Q</w:t>
            </w:r>
            <w:r>
              <w:rPr>
                <w:rFonts w:ascii="Calibri" w:hAnsi="Calibri" w:eastAsia="Calibri" w:cs="Calibri"/>
                <w:spacing w:val="-6"/>
                <w:position w:val="-2"/>
                <w:sz w:val="15"/>
                <w:szCs w:val="15"/>
              </w:rPr>
              <w:t>y</w:t>
            </w:r>
            <w:r>
              <w:rPr>
                <w:rFonts w:ascii="Calibri" w:hAnsi="Calibri" w:eastAsia="Calibri" w:cs="Calibri"/>
                <w:spacing w:val="-16"/>
                <w:position w:val="-2"/>
                <w:sz w:val="15"/>
                <w:szCs w:val="15"/>
              </w:rPr>
              <w:t xml:space="preserve"> </w:t>
            </w:r>
            <w:r>
              <w:rPr>
                <w:rFonts w:ascii="Calibri" w:hAnsi="Calibri" w:eastAsia="Calibri" w:cs="Calibri"/>
                <w:spacing w:val="-6"/>
              </w:rPr>
              <w:t>—</w:t>
            </w:r>
            <w:r>
              <w:rPr>
                <w:spacing w:val="-6"/>
              </w:rPr>
              <w:t>雨水流量</w:t>
            </w:r>
            <w:r>
              <w:rPr>
                <w:rFonts w:ascii="Calibri" w:hAnsi="Calibri" w:eastAsia="Calibri" w:cs="Calibri"/>
                <w:spacing w:val="-6"/>
              </w:rPr>
              <w:t>(L/s)</w:t>
            </w:r>
            <w:r>
              <w:rPr>
                <w:spacing w:val="-6"/>
              </w:rPr>
              <w:t>；</w:t>
            </w:r>
            <w:r>
              <w:t xml:space="preserve"> </w:t>
            </w:r>
            <w:r>
              <w:rPr>
                <w:rFonts w:ascii="Calibri" w:hAnsi="Calibri" w:eastAsia="Calibri" w:cs="Calibri"/>
                <w:spacing w:val="-3"/>
              </w:rPr>
              <w:t>Ψ—</w:t>
            </w:r>
            <w:r>
              <w:rPr>
                <w:spacing w:val="-3"/>
              </w:rPr>
              <w:t>径流系数；</w:t>
            </w:r>
          </w:p>
          <w:p w14:paraId="0BC5ADFC">
            <w:pPr>
              <w:pStyle w:val="6"/>
              <w:spacing w:before="73" w:line="332" w:lineRule="auto"/>
              <w:ind w:left="1296" w:right="3917" w:hanging="8"/>
            </w:pPr>
            <w:r>
              <w:rPr>
                <w:rFonts w:ascii="Calibri" w:hAnsi="Calibri" w:eastAsia="Calibri" w:cs="Calibri"/>
                <w:spacing w:val="-3"/>
              </w:rPr>
              <w:t>q</w:t>
            </w:r>
            <w:r>
              <w:rPr>
                <w:rFonts w:ascii="Calibri" w:hAnsi="Calibri" w:eastAsia="Calibri" w:cs="Calibri"/>
                <w:spacing w:val="-36"/>
              </w:rPr>
              <w:t xml:space="preserve"> </w:t>
            </w:r>
            <w:r>
              <w:rPr>
                <w:rFonts w:ascii="Calibri" w:hAnsi="Calibri" w:eastAsia="Calibri" w:cs="Calibri"/>
                <w:spacing w:val="-3"/>
              </w:rPr>
              <w:t>—</w:t>
            </w:r>
            <w:r>
              <w:rPr>
                <w:spacing w:val="-3"/>
              </w:rPr>
              <w:t>暴雨强度（</w:t>
            </w:r>
            <w:r>
              <w:rPr>
                <w:rFonts w:ascii="Calibri" w:hAnsi="Calibri" w:eastAsia="Calibri" w:cs="Calibri"/>
                <w:spacing w:val="-3"/>
              </w:rPr>
              <w:t>L/</w:t>
            </w:r>
            <w:r>
              <w:rPr>
                <w:spacing w:val="-3"/>
              </w:rPr>
              <w:t>（</w:t>
            </w:r>
            <w:r>
              <w:rPr>
                <w:rFonts w:ascii="Calibri" w:hAnsi="Calibri" w:eastAsia="Calibri" w:cs="Calibri"/>
                <w:spacing w:val="-3"/>
              </w:rPr>
              <w:t>s·ha</w:t>
            </w:r>
            <w:r>
              <w:rPr>
                <w:spacing w:val="-17"/>
              </w:rPr>
              <w:t>））；</w:t>
            </w:r>
            <w:r>
              <w:t xml:space="preserve"> </w:t>
            </w:r>
            <w:r>
              <w:rPr>
                <w:rFonts w:ascii="Calibri" w:hAnsi="Calibri" w:eastAsia="Calibri" w:cs="Calibri"/>
                <w:spacing w:val="-8"/>
              </w:rPr>
              <w:t>F—</w:t>
            </w:r>
            <w:r>
              <w:rPr>
                <w:spacing w:val="-8"/>
              </w:rPr>
              <w:t>汇水面积（</w:t>
            </w:r>
            <w:r>
              <w:rPr>
                <w:spacing w:val="-60"/>
              </w:rPr>
              <w:t xml:space="preserve"> </w:t>
            </w:r>
            <w:r>
              <w:rPr>
                <w:rFonts w:ascii="Calibri" w:hAnsi="Calibri" w:eastAsia="Calibri" w:cs="Calibri"/>
                <w:spacing w:val="-8"/>
              </w:rPr>
              <w:t>m</w:t>
            </w:r>
            <w:r>
              <w:rPr>
                <w:rFonts w:ascii="Calibri" w:hAnsi="Calibri" w:eastAsia="Calibri" w:cs="Calibri"/>
                <w:spacing w:val="-8"/>
                <w:position w:val="7"/>
                <w:sz w:val="15"/>
                <w:szCs w:val="15"/>
              </w:rPr>
              <w:t>2</w:t>
            </w:r>
            <w:r>
              <w:rPr>
                <w:spacing w:val="-8"/>
              </w:rPr>
              <w:t>）</w:t>
            </w:r>
          </w:p>
          <w:p w14:paraId="1804F2D9">
            <w:pPr>
              <w:pStyle w:val="6"/>
              <w:spacing w:before="114" w:line="329" w:lineRule="auto"/>
              <w:ind w:left="103" w:right="34" w:firstLine="480"/>
              <w:jc w:val="both"/>
            </w:pPr>
            <w:r>
              <w:rPr>
                <w:spacing w:val="-6"/>
              </w:rPr>
              <w:t>其中，设计重现期</w:t>
            </w:r>
            <w:r>
              <w:rPr>
                <w:spacing w:val="-40"/>
              </w:rPr>
              <w:t xml:space="preserve"> </w:t>
            </w:r>
            <w:r>
              <w:rPr>
                <w:rFonts w:ascii="Calibri" w:hAnsi="Calibri" w:eastAsia="Calibri" w:cs="Calibri"/>
                <w:spacing w:val="-6"/>
              </w:rPr>
              <w:t>P</w:t>
            </w:r>
            <w:r>
              <w:rPr>
                <w:rFonts w:ascii="Calibri" w:hAnsi="Calibri" w:eastAsia="Calibri" w:cs="Calibri"/>
                <w:spacing w:val="19"/>
                <w:w w:val="101"/>
              </w:rPr>
              <w:t xml:space="preserve"> </w:t>
            </w:r>
            <w:r>
              <w:rPr>
                <w:spacing w:val="-6"/>
              </w:rPr>
              <w:t>取</w:t>
            </w:r>
            <w:r>
              <w:rPr>
                <w:spacing w:val="-47"/>
              </w:rPr>
              <w:t xml:space="preserve"> </w:t>
            </w:r>
            <w:r>
              <w:rPr>
                <w:rFonts w:ascii="Calibri" w:hAnsi="Calibri" w:eastAsia="Calibri" w:cs="Calibri"/>
                <w:spacing w:val="-6"/>
              </w:rPr>
              <w:t>2</w:t>
            </w:r>
            <w:r>
              <w:rPr>
                <w:rFonts w:ascii="Calibri" w:hAnsi="Calibri" w:eastAsia="Calibri" w:cs="Calibri"/>
                <w:spacing w:val="15"/>
              </w:rPr>
              <w:t xml:space="preserve"> </w:t>
            </w:r>
            <w:r>
              <w:rPr>
                <w:spacing w:val="-6"/>
              </w:rPr>
              <w:t>年，设计降雨历时</w:t>
            </w:r>
            <w:r>
              <w:rPr>
                <w:spacing w:val="-56"/>
              </w:rPr>
              <w:t xml:space="preserve"> </w:t>
            </w:r>
            <w:r>
              <w:rPr>
                <w:rFonts w:ascii="Calibri" w:hAnsi="Calibri" w:eastAsia="Calibri" w:cs="Calibri"/>
                <w:spacing w:val="-6"/>
              </w:rPr>
              <w:t>t</w:t>
            </w:r>
            <w:r>
              <w:rPr>
                <w:rFonts w:ascii="Calibri" w:hAnsi="Calibri" w:eastAsia="Calibri" w:cs="Calibri"/>
                <w:spacing w:val="17"/>
              </w:rPr>
              <w:t xml:space="preserve"> </w:t>
            </w:r>
            <w:r>
              <w:rPr>
                <w:spacing w:val="-6"/>
              </w:rPr>
              <w:t>取</w:t>
            </w:r>
            <w:r>
              <w:rPr>
                <w:spacing w:val="-40"/>
              </w:rPr>
              <w:t xml:space="preserve"> </w:t>
            </w:r>
            <w:r>
              <w:rPr>
                <w:rFonts w:ascii="Calibri" w:hAnsi="Calibri" w:eastAsia="Calibri" w:cs="Calibri"/>
                <w:spacing w:val="-6"/>
              </w:rPr>
              <w:t>15min</w:t>
            </w:r>
            <w:r>
              <w:rPr>
                <w:spacing w:val="-6"/>
              </w:rPr>
              <w:t>，径流系数</w:t>
            </w:r>
            <w:r>
              <w:rPr>
                <w:spacing w:val="-7"/>
              </w:rPr>
              <w:t>取</w:t>
            </w:r>
            <w:r>
              <w:rPr>
                <w:spacing w:val="-52"/>
              </w:rPr>
              <w:t xml:space="preserve"> </w:t>
            </w:r>
            <w:r>
              <w:rPr>
                <w:rFonts w:ascii="Calibri" w:hAnsi="Calibri" w:eastAsia="Calibri" w:cs="Calibri"/>
                <w:spacing w:val="-7"/>
              </w:rPr>
              <w:t>0.9</w:t>
            </w:r>
            <w:r>
              <w:rPr>
                <w:spacing w:val="-7"/>
              </w:rPr>
              <w:t>，</w:t>
            </w:r>
            <w:r>
              <w:t xml:space="preserve"> </w:t>
            </w:r>
            <w:r>
              <w:rPr>
                <w:spacing w:val="6"/>
              </w:rPr>
              <w:t>汇水面积为</w:t>
            </w:r>
            <w:r>
              <w:rPr>
                <w:spacing w:val="-13"/>
              </w:rPr>
              <w:t xml:space="preserve"> </w:t>
            </w:r>
            <w:r>
              <w:rPr>
                <w:rFonts w:ascii="Calibri" w:hAnsi="Calibri" w:eastAsia="Calibri" w:cs="Calibri"/>
                <w:spacing w:val="6"/>
              </w:rPr>
              <w:t>1910m</w:t>
            </w:r>
            <w:r>
              <w:rPr>
                <w:rFonts w:ascii="Calibri" w:hAnsi="Calibri" w:eastAsia="Calibri" w:cs="Calibri"/>
                <w:spacing w:val="6"/>
                <w:position w:val="8"/>
                <w:sz w:val="15"/>
                <w:szCs w:val="15"/>
              </w:rPr>
              <w:t>2</w:t>
            </w:r>
            <w:r>
              <w:rPr>
                <w:rFonts w:ascii="Calibri" w:hAnsi="Calibri" w:eastAsia="Calibri" w:cs="Calibri"/>
                <w:spacing w:val="17"/>
                <w:position w:val="8"/>
                <w:sz w:val="15"/>
                <w:szCs w:val="15"/>
              </w:rPr>
              <w:t xml:space="preserve"> </w:t>
            </w:r>
            <w:r>
              <w:rPr>
                <w:spacing w:val="6"/>
              </w:rPr>
              <w:t>，经计算</w:t>
            </w:r>
            <w:r>
              <w:rPr>
                <w:spacing w:val="-70"/>
              </w:rPr>
              <w:t xml:space="preserve"> </w:t>
            </w:r>
            <w:r>
              <w:rPr>
                <w:spacing w:val="6"/>
              </w:rPr>
              <w:t>，雨水流量</w:t>
            </w:r>
            <w:r>
              <w:rPr>
                <w:spacing w:val="-27"/>
              </w:rPr>
              <w:t xml:space="preserve"> </w:t>
            </w:r>
            <w:r>
              <w:rPr>
                <w:rFonts w:ascii="Calibri" w:hAnsi="Calibri" w:eastAsia="Calibri" w:cs="Calibri"/>
              </w:rPr>
              <w:t>Qy</w:t>
            </w:r>
            <w:r>
              <w:rPr>
                <w:rFonts w:ascii="Calibri" w:hAnsi="Calibri" w:eastAsia="Calibri" w:cs="Calibri"/>
                <w:spacing w:val="40"/>
              </w:rPr>
              <w:t xml:space="preserve"> </w:t>
            </w:r>
            <w:r>
              <w:rPr>
                <w:spacing w:val="6"/>
              </w:rPr>
              <w:t>为</w:t>
            </w:r>
            <w:r>
              <w:rPr>
                <w:spacing w:val="-27"/>
              </w:rPr>
              <w:t xml:space="preserve"> </w:t>
            </w:r>
            <w:r>
              <w:rPr>
                <w:rFonts w:ascii="Calibri" w:hAnsi="Calibri" w:eastAsia="Calibri" w:cs="Calibri"/>
                <w:spacing w:val="6"/>
              </w:rPr>
              <w:t xml:space="preserve">35.3L/s </w:t>
            </w:r>
            <w:r>
              <w:rPr>
                <w:spacing w:val="6"/>
              </w:rPr>
              <w:t>，则初期雨水量为</w:t>
            </w:r>
            <w:r>
              <w:t xml:space="preserve"> </w:t>
            </w:r>
            <w:r>
              <w:rPr>
                <w:rFonts w:ascii="Calibri" w:hAnsi="Calibri" w:eastAsia="Calibri" w:cs="Calibri"/>
                <w:spacing w:val="-1"/>
              </w:rPr>
              <w:t>35.3×15×60÷1000=31.77m</w:t>
            </w:r>
            <w:r>
              <w:rPr>
                <w:rFonts w:ascii="Calibri" w:hAnsi="Calibri" w:eastAsia="Calibri" w:cs="Calibri"/>
                <w:spacing w:val="-1"/>
                <w:position w:val="7"/>
                <w:sz w:val="15"/>
                <w:szCs w:val="15"/>
              </w:rPr>
              <w:t>3</w:t>
            </w:r>
            <w:r>
              <w:rPr>
                <w:spacing w:val="-1"/>
              </w:rPr>
              <w:t>。</w:t>
            </w:r>
          </w:p>
          <w:p w14:paraId="3FE03BFF">
            <w:pPr>
              <w:pStyle w:val="6"/>
              <w:spacing w:before="121" w:line="336" w:lineRule="auto"/>
              <w:ind w:left="104" w:right="96" w:firstLine="482"/>
              <w:jc w:val="both"/>
            </w:pPr>
            <w:r>
              <w:rPr>
                <w:spacing w:val="3"/>
              </w:rPr>
              <w:t>项目采用雨污分流制，初期雨水进入初期雨水池，降雨初期，雨水经过</w:t>
            </w:r>
            <w:r>
              <w:rPr>
                <w:spacing w:val="5"/>
              </w:rPr>
              <w:t xml:space="preserve"> </w:t>
            </w:r>
            <w:r>
              <w:rPr>
                <w:spacing w:val="-1"/>
              </w:rPr>
              <w:t>厂区内雨水收收集管进入初期雨水池，初期雨水收集池设置电动闸门，</w:t>
            </w:r>
            <w:r>
              <w:rPr>
                <w:rFonts w:ascii="Calibri" w:hAnsi="Calibri" w:eastAsia="Calibri" w:cs="Calibri"/>
                <w:spacing w:val="-1"/>
              </w:rPr>
              <w:t>15min</w:t>
            </w:r>
            <w:r>
              <w:rPr>
                <w:rFonts w:ascii="Calibri" w:hAnsi="Calibri" w:eastAsia="Calibri" w:cs="Calibri"/>
                <w:spacing w:val="2"/>
              </w:rPr>
              <w:t xml:space="preserve"> </w:t>
            </w:r>
            <w:r>
              <w:rPr>
                <w:spacing w:val="-2"/>
              </w:rPr>
              <w:t>后自动关闭进水闸。本项目新建</w:t>
            </w:r>
            <w:r>
              <w:rPr>
                <w:spacing w:val="-38"/>
              </w:rPr>
              <w:t xml:space="preserve"> </w:t>
            </w:r>
            <w:r>
              <w:rPr>
                <w:rFonts w:ascii="Calibri" w:hAnsi="Calibri" w:eastAsia="Calibri" w:cs="Calibri"/>
                <w:spacing w:val="-2"/>
              </w:rPr>
              <w:t>1</w:t>
            </w:r>
            <w:r>
              <w:rPr>
                <w:rFonts w:ascii="Calibri" w:hAnsi="Calibri" w:eastAsia="Calibri" w:cs="Calibri"/>
                <w:spacing w:val="18"/>
                <w:w w:val="101"/>
              </w:rPr>
              <w:t xml:space="preserve"> </w:t>
            </w:r>
            <w:r>
              <w:rPr>
                <w:spacing w:val="-2"/>
              </w:rPr>
              <w:t>座初期雨水池有效容积为</w:t>
            </w:r>
            <w:r>
              <w:rPr>
                <w:spacing w:val="-48"/>
              </w:rPr>
              <w:t xml:space="preserve"> </w:t>
            </w:r>
            <w:r>
              <w:rPr>
                <w:rFonts w:ascii="Calibri" w:hAnsi="Calibri" w:eastAsia="Calibri" w:cs="Calibri"/>
                <w:spacing w:val="-2"/>
              </w:rPr>
              <w:t>35m</w:t>
            </w:r>
            <w:r>
              <w:rPr>
                <w:rFonts w:ascii="Calibri" w:hAnsi="Calibri" w:eastAsia="Calibri" w:cs="Calibri"/>
                <w:spacing w:val="-2"/>
                <w:position w:val="8"/>
                <w:sz w:val="15"/>
                <w:szCs w:val="15"/>
              </w:rPr>
              <w:t xml:space="preserve">3 </w:t>
            </w:r>
            <w:r>
              <w:rPr>
                <w:spacing w:val="-2"/>
              </w:rPr>
              <w:t>，容积满足</w:t>
            </w:r>
            <w:r>
              <w:t xml:space="preserve"> </w:t>
            </w:r>
            <w:r>
              <w:rPr>
                <w:spacing w:val="-4"/>
              </w:rPr>
              <w:t>要求。</w:t>
            </w:r>
          </w:p>
        </w:tc>
      </w:tr>
    </w:tbl>
    <w:p w14:paraId="5B68D99C">
      <w:pPr>
        <w:pStyle w:val="2"/>
        <w:spacing w:line="199" w:lineRule="exact"/>
        <w:rPr>
          <w:sz w:val="17"/>
        </w:rPr>
      </w:pPr>
    </w:p>
    <w:p w14:paraId="318B9CC5">
      <w:pPr>
        <w:spacing w:line="199" w:lineRule="exact"/>
        <w:rPr>
          <w:sz w:val="17"/>
          <w:szCs w:val="17"/>
        </w:rPr>
        <w:sectPr>
          <w:footerReference r:id="rId49" w:type="default"/>
          <w:pgSz w:w="11906" w:h="16839"/>
          <w:pgMar w:top="1270" w:right="1488" w:bottom="1261" w:left="1487" w:header="0" w:footer="1097" w:gutter="0"/>
          <w:cols w:space="720" w:num="1"/>
        </w:sectPr>
      </w:pPr>
    </w:p>
    <w:tbl>
      <w:tblPr>
        <w:tblStyle w:val="5"/>
        <w:tblW w:w="8904"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64"/>
        <w:gridCol w:w="8240"/>
      </w:tblGrid>
      <w:tr w14:paraId="21A879EE">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7484" w:hRule="atLeast"/>
        </w:trPr>
        <w:tc>
          <w:tcPr>
            <w:tcW w:w="664" w:type="dxa"/>
            <w:tcBorders>
              <w:bottom w:val="single" w:color="000000" w:sz="2" w:space="0"/>
              <w:right w:val="single" w:color="000000" w:sz="2" w:space="0"/>
            </w:tcBorders>
            <w:vAlign w:val="top"/>
          </w:tcPr>
          <w:p w14:paraId="3DB1FFE0">
            <w:pPr>
              <w:rPr>
                <w:rFonts w:ascii="Arial"/>
                <w:sz w:val="21"/>
              </w:rPr>
            </w:pPr>
          </w:p>
        </w:tc>
        <w:tc>
          <w:tcPr>
            <w:tcW w:w="8240" w:type="dxa"/>
            <w:tcBorders>
              <w:left w:val="single" w:color="000000" w:sz="2" w:space="0"/>
              <w:bottom w:val="single" w:color="000000" w:sz="2" w:space="0"/>
            </w:tcBorders>
            <w:vAlign w:val="top"/>
          </w:tcPr>
          <w:p w14:paraId="3BC03D05">
            <w:pPr>
              <w:pStyle w:val="6"/>
              <w:spacing w:before="119" w:line="219" w:lineRule="auto"/>
              <w:ind w:left="595"/>
            </w:pPr>
            <w:r>
              <w:rPr>
                <w:spacing w:val="-5"/>
              </w:rPr>
              <w:t>（</w:t>
            </w:r>
            <w:r>
              <w:rPr>
                <w:rFonts w:ascii="Times New Roman" w:hAnsi="Times New Roman" w:eastAsia="Times New Roman" w:cs="Times New Roman"/>
                <w:spacing w:val="-5"/>
              </w:rPr>
              <w:t>3</w:t>
            </w:r>
            <w:r>
              <w:rPr>
                <w:spacing w:val="-5"/>
              </w:rPr>
              <w:t>）供电</w:t>
            </w:r>
          </w:p>
          <w:p w14:paraId="1012ACE3">
            <w:pPr>
              <w:pStyle w:val="6"/>
              <w:spacing w:before="183" w:line="219" w:lineRule="auto"/>
              <w:ind w:left="584"/>
            </w:pPr>
            <w:r>
              <w:rPr>
                <w:spacing w:val="-1"/>
              </w:rPr>
              <w:t>本项目用电由当地市政电网提供。</w:t>
            </w:r>
          </w:p>
          <w:p w14:paraId="4286EEB8">
            <w:pPr>
              <w:pStyle w:val="6"/>
              <w:spacing w:before="183" w:line="219" w:lineRule="auto"/>
              <w:ind w:left="595"/>
            </w:pPr>
            <w:r>
              <w:rPr>
                <w:spacing w:val="-5"/>
              </w:rPr>
              <w:t>（</w:t>
            </w:r>
            <w:r>
              <w:rPr>
                <w:rFonts w:ascii="Times New Roman" w:hAnsi="Times New Roman" w:eastAsia="Times New Roman" w:cs="Times New Roman"/>
                <w:spacing w:val="-5"/>
              </w:rPr>
              <w:t>4</w:t>
            </w:r>
            <w:r>
              <w:rPr>
                <w:spacing w:val="-5"/>
              </w:rPr>
              <w:t>）供热</w:t>
            </w:r>
          </w:p>
          <w:p w14:paraId="0D532EEF">
            <w:pPr>
              <w:pStyle w:val="6"/>
              <w:spacing w:before="183" w:line="219" w:lineRule="auto"/>
              <w:ind w:left="584"/>
            </w:pPr>
            <w:r>
              <w:rPr>
                <w:spacing w:val="-1"/>
              </w:rPr>
              <w:t>本项目生产不用热，冬季办公室、生产车间采用电取暖。</w:t>
            </w:r>
          </w:p>
          <w:p w14:paraId="02919DE3">
            <w:pPr>
              <w:pStyle w:val="6"/>
              <w:spacing w:before="183" w:line="219" w:lineRule="auto"/>
              <w:ind w:left="582"/>
            </w:pPr>
            <w:r>
              <w:rPr>
                <w:rFonts w:ascii="Times New Roman" w:hAnsi="Times New Roman" w:eastAsia="Times New Roman" w:cs="Times New Roman"/>
                <w:b/>
                <w:bCs/>
                <w:spacing w:val="-5"/>
              </w:rPr>
              <w:t>7</w:t>
            </w:r>
            <w:r>
              <w:rPr>
                <w:rFonts w:ascii="Times New Roman" w:hAnsi="Times New Roman" w:eastAsia="Times New Roman" w:cs="Times New Roman"/>
                <w:b/>
                <w:bCs/>
                <w:spacing w:val="-30"/>
              </w:rPr>
              <w:t xml:space="preserve"> </w:t>
            </w:r>
            <w:r>
              <w:rPr>
                <w:b/>
                <w:bCs/>
                <w:spacing w:val="-5"/>
              </w:rPr>
              <w:t>、平面布置及周边情况</w:t>
            </w:r>
          </w:p>
          <w:p w14:paraId="129A8AF2">
            <w:pPr>
              <w:pStyle w:val="6"/>
              <w:spacing w:before="185" w:line="356" w:lineRule="auto"/>
              <w:ind w:left="102" w:right="95" w:firstLine="481"/>
            </w:pPr>
            <w:r>
              <w:rPr>
                <w:spacing w:val="3"/>
              </w:rPr>
              <w:t>本项目位于</w:t>
            </w:r>
            <w:r>
              <w:rPr>
                <w:rFonts w:hint="eastAsia"/>
                <w:spacing w:val="3"/>
                <w:lang w:eastAsia="zh-CN"/>
              </w:rPr>
              <w:t>黑龙江省佳木斯市桦川县新城镇新古街道</w:t>
            </w:r>
            <w:r>
              <w:rPr>
                <w:spacing w:val="3"/>
              </w:rPr>
              <w:t>，租用租用林甸县兴海</w:t>
            </w:r>
            <w:r>
              <w:rPr>
                <w:spacing w:val="8"/>
              </w:rPr>
              <w:t xml:space="preserve"> </w:t>
            </w:r>
            <w:r>
              <w:rPr>
                <w:spacing w:val="-2"/>
              </w:rPr>
              <w:t>肉业食品有限公司空地建设（租赁合同见附件</w:t>
            </w:r>
            <w:r>
              <w:rPr>
                <w:spacing w:val="-55"/>
              </w:rPr>
              <w:t xml:space="preserve"> </w:t>
            </w:r>
            <w:r>
              <w:rPr>
                <w:rFonts w:ascii="Times New Roman" w:hAnsi="Times New Roman" w:eastAsia="Times New Roman" w:cs="Times New Roman"/>
                <w:spacing w:val="-2"/>
              </w:rPr>
              <w:t>4</w:t>
            </w:r>
            <w:r>
              <w:rPr>
                <w:spacing w:val="-9"/>
              </w:rPr>
              <w:t>），</w:t>
            </w:r>
            <w:r>
              <w:rPr>
                <w:spacing w:val="-2"/>
              </w:rPr>
              <w:t>林甸县兴海肉业食品有限</w:t>
            </w:r>
            <w:r>
              <w:t xml:space="preserve"> </w:t>
            </w:r>
            <w:r>
              <w:rPr>
                <w:spacing w:val="-3"/>
              </w:rPr>
              <w:t>公司总占地面积为</w:t>
            </w:r>
            <w:r>
              <w:rPr>
                <w:spacing w:val="-29"/>
              </w:rPr>
              <w:t xml:space="preserve"> </w:t>
            </w:r>
            <w:r>
              <w:rPr>
                <w:rFonts w:ascii="Times New Roman" w:hAnsi="Times New Roman" w:eastAsia="Times New Roman" w:cs="Times New Roman"/>
                <w:spacing w:val="-3"/>
              </w:rPr>
              <w:t>14198.32m</w:t>
            </w:r>
            <w:r>
              <w:rPr>
                <w:rFonts w:ascii="Times New Roman" w:hAnsi="Times New Roman" w:eastAsia="Times New Roman" w:cs="Times New Roman"/>
                <w:spacing w:val="-3"/>
                <w:position w:val="8"/>
                <w:sz w:val="15"/>
                <w:szCs w:val="15"/>
              </w:rPr>
              <w:t>2</w:t>
            </w:r>
            <w:r>
              <w:rPr>
                <w:rFonts w:ascii="Times New Roman" w:hAnsi="Times New Roman" w:eastAsia="Times New Roman" w:cs="Times New Roman"/>
                <w:spacing w:val="-10"/>
                <w:position w:val="8"/>
                <w:sz w:val="15"/>
                <w:szCs w:val="15"/>
              </w:rPr>
              <w:t xml:space="preserve"> </w:t>
            </w:r>
            <w:r>
              <w:rPr>
                <w:spacing w:val="-3"/>
              </w:rPr>
              <w:t>，本项目租用其中</w:t>
            </w:r>
            <w:r>
              <w:rPr>
                <w:spacing w:val="-55"/>
              </w:rPr>
              <w:t xml:space="preserve"> </w:t>
            </w:r>
            <w:r>
              <w:rPr>
                <w:rFonts w:ascii="Times New Roman" w:hAnsi="Times New Roman" w:eastAsia="Times New Roman" w:cs="Times New Roman"/>
                <w:spacing w:val="-3"/>
              </w:rPr>
              <w:t>2500</w:t>
            </w:r>
            <w:r>
              <w:rPr>
                <w:rFonts w:ascii="Times New Roman" w:hAnsi="Times New Roman" w:eastAsia="Times New Roman" w:cs="Times New Roman"/>
                <w:spacing w:val="20"/>
                <w:w w:val="101"/>
              </w:rPr>
              <w:t xml:space="preserve"> </w:t>
            </w:r>
            <w:r>
              <w:rPr>
                <w:spacing w:val="-3"/>
              </w:rPr>
              <w:t>㎡空地，用地性质为工</w:t>
            </w:r>
            <w:r>
              <w:t xml:space="preserve"> </w:t>
            </w:r>
            <w:r>
              <w:rPr>
                <w:spacing w:val="3"/>
              </w:rPr>
              <w:t>业用地。本项目东侧为林甸兴海肉业有限公司空置库房（库房自建成后未使</w:t>
            </w:r>
            <w:r>
              <w:rPr>
                <w:spacing w:val="4"/>
              </w:rPr>
              <w:t xml:space="preserve"> </w:t>
            </w:r>
            <w:r>
              <w:rPr>
                <w:spacing w:val="3"/>
              </w:rPr>
              <w:t>用，未存放设备、原辅材料、产品等，该公司屠宰车间距离本项目东南侧约</w:t>
            </w:r>
            <w:r>
              <w:rPr>
                <w:spacing w:val="6"/>
              </w:rPr>
              <w:t xml:space="preserve"> </w:t>
            </w:r>
            <w:r>
              <w:rPr>
                <w:rFonts w:ascii="Times New Roman" w:hAnsi="Times New Roman" w:eastAsia="Times New Roman" w:cs="Times New Roman"/>
              </w:rPr>
              <w:t>550m</w:t>
            </w:r>
            <w:r>
              <w:rPr>
                <w:spacing w:val="15"/>
              </w:rPr>
              <w:t>），</w:t>
            </w:r>
            <w:r>
              <w:t>东侧距离创造一队约</w:t>
            </w:r>
            <w:r>
              <w:rPr>
                <w:spacing w:val="-29"/>
              </w:rPr>
              <w:t xml:space="preserve"> </w:t>
            </w:r>
            <w:r>
              <w:rPr>
                <w:rFonts w:ascii="Times New Roman" w:hAnsi="Times New Roman" w:eastAsia="Times New Roman" w:cs="Times New Roman"/>
              </w:rPr>
              <w:t>1.5km</w:t>
            </w:r>
            <w:r>
              <w:rPr>
                <w:rFonts w:ascii="Times New Roman" w:hAnsi="Times New Roman" w:eastAsia="Times New Roman" w:cs="Times New Roman"/>
                <w:spacing w:val="-25"/>
              </w:rPr>
              <w:t xml:space="preserve"> </w:t>
            </w:r>
            <w:r>
              <w:t>，项目北侧为空地，项目西侧</w:t>
            </w:r>
            <w:r>
              <w:rPr>
                <w:spacing w:val="-1"/>
              </w:rPr>
              <w:t>为空地，</w:t>
            </w:r>
            <w:r>
              <w:t xml:space="preserve"> </w:t>
            </w:r>
            <w:r>
              <w:rPr>
                <w:spacing w:val="-1"/>
              </w:rPr>
              <w:t>项目南侧为林甸公路管理站闲置厂房。</w:t>
            </w:r>
          </w:p>
          <w:p w14:paraId="0973406A">
            <w:pPr>
              <w:pStyle w:val="6"/>
              <w:spacing w:before="36" w:line="334" w:lineRule="auto"/>
              <w:ind w:left="101" w:right="98" w:firstLine="482"/>
              <w:jc w:val="both"/>
            </w:pPr>
            <w:r>
              <w:rPr>
                <w:spacing w:val="3"/>
              </w:rPr>
              <w:t>本项目空地新建，拆解车间位于厂区中部，北侧为办公区和接待区，北</w:t>
            </w:r>
            <w:r>
              <w:rPr>
                <w:spacing w:val="8"/>
              </w:rPr>
              <w:t xml:space="preserve"> </w:t>
            </w:r>
            <w:r>
              <w:rPr>
                <w:spacing w:val="3"/>
              </w:rPr>
              <w:t>侧为拆解后物料存储区，危险废物贮存库位于拆解车间内南侧，雨水收集池</w:t>
            </w:r>
            <w:r>
              <w:rPr>
                <w:spacing w:val="5"/>
              </w:rPr>
              <w:t xml:space="preserve"> </w:t>
            </w:r>
            <w:r>
              <w:rPr>
                <w:spacing w:val="3"/>
              </w:rPr>
              <w:t>位于厂区西北侧，利用厂区坡降收集雨水。厂区平面布置合理。地理位置示</w:t>
            </w:r>
            <w:r>
              <w:rPr>
                <w:spacing w:val="5"/>
              </w:rPr>
              <w:t xml:space="preserve"> </w:t>
            </w:r>
            <w:r>
              <w:rPr>
                <w:spacing w:val="-5"/>
              </w:rPr>
              <w:t>意图附图</w:t>
            </w:r>
            <w:r>
              <w:rPr>
                <w:spacing w:val="-18"/>
              </w:rPr>
              <w:t xml:space="preserve"> </w:t>
            </w:r>
            <w:r>
              <w:rPr>
                <w:rFonts w:ascii="Times New Roman" w:hAnsi="Times New Roman" w:eastAsia="Times New Roman" w:cs="Times New Roman"/>
                <w:spacing w:val="-5"/>
              </w:rPr>
              <w:t>1</w:t>
            </w:r>
            <w:r>
              <w:rPr>
                <w:rFonts w:ascii="Times New Roman" w:hAnsi="Times New Roman" w:eastAsia="Times New Roman" w:cs="Times New Roman"/>
                <w:spacing w:val="-31"/>
              </w:rPr>
              <w:t xml:space="preserve"> </w:t>
            </w:r>
            <w:r>
              <w:rPr>
                <w:spacing w:val="-5"/>
              </w:rPr>
              <w:t>，厂区平面布置图见附图</w:t>
            </w:r>
            <w:r>
              <w:rPr>
                <w:spacing w:val="-50"/>
              </w:rPr>
              <w:t xml:space="preserve"> </w:t>
            </w:r>
            <w:r>
              <w:rPr>
                <w:rFonts w:ascii="Times New Roman" w:hAnsi="Times New Roman" w:eastAsia="Times New Roman" w:cs="Times New Roman"/>
                <w:spacing w:val="-5"/>
              </w:rPr>
              <w:t>6</w:t>
            </w:r>
            <w:r>
              <w:rPr>
                <w:spacing w:val="-5"/>
              </w:rPr>
              <w:t>。</w:t>
            </w:r>
          </w:p>
        </w:tc>
      </w:tr>
      <w:tr w14:paraId="27CB6125">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6463" w:hRule="atLeast"/>
        </w:trPr>
        <w:tc>
          <w:tcPr>
            <w:tcW w:w="664" w:type="dxa"/>
            <w:tcBorders>
              <w:top w:val="single" w:color="000000" w:sz="2" w:space="0"/>
              <w:right w:val="single" w:color="000000" w:sz="2" w:space="0"/>
            </w:tcBorders>
            <w:textDirection w:val="tbRlV"/>
            <w:vAlign w:val="top"/>
          </w:tcPr>
          <w:p w14:paraId="5901E36C">
            <w:pPr>
              <w:pStyle w:val="6"/>
              <w:spacing w:before="212" w:line="209" w:lineRule="auto"/>
              <w:ind w:left="1870"/>
            </w:pPr>
            <w:r>
              <w:rPr>
                <w:spacing w:val="28"/>
                <w:w w:val="115"/>
              </w:rPr>
              <w:t>工艺流程和产污环节</w:t>
            </w:r>
          </w:p>
        </w:tc>
        <w:tc>
          <w:tcPr>
            <w:tcW w:w="8240" w:type="dxa"/>
            <w:tcBorders>
              <w:top w:val="single" w:color="000000" w:sz="2" w:space="0"/>
              <w:left w:val="single" w:color="000000" w:sz="2" w:space="0"/>
            </w:tcBorders>
            <w:vAlign w:val="top"/>
          </w:tcPr>
          <w:p w14:paraId="317D51E6">
            <w:pPr>
              <w:pStyle w:val="6"/>
              <w:spacing w:before="128" w:line="219" w:lineRule="auto"/>
              <w:ind w:left="594"/>
            </w:pPr>
            <w:r>
              <w:rPr>
                <w:rFonts w:ascii="Calibri" w:hAnsi="Calibri" w:eastAsia="Calibri" w:cs="Calibri"/>
                <w:spacing w:val="-5"/>
              </w:rPr>
              <w:t>1</w:t>
            </w:r>
            <w:r>
              <w:rPr>
                <w:rFonts w:ascii="Calibri" w:hAnsi="Calibri" w:eastAsia="Calibri" w:cs="Calibri"/>
                <w:spacing w:val="-26"/>
              </w:rPr>
              <w:t xml:space="preserve"> </w:t>
            </w:r>
            <w:r>
              <w:rPr>
                <w:spacing w:val="-5"/>
              </w:rPr>
              <w:t>、</w:t>
            </w:r>
            <w:r>
              <w:rPr>
                <w:b/>
                <w:bCs/>
                <w:spacing w:val="-5"/>
              </w:rPr>
              <w:t>施工期工艺流程及产污节点</w:t>
            </w:r>
          </w:p>
          <w:p w14:paraId="179FA77D">
            <w:pPr>
              <w:pStyle w:val="6"/>
              <w:spacing w:before="182" w:line="347" w:lineRule="auto"/>
              <w:ind w:left="102" w:right="95" w:firstLine="479"/>
            </w:pPr>
            <w:r>
              <w:rPr>
                <w:spacing w:val="3"/>
              </w:rPr>
              <w:t>施工期主要污染物包括施工期扬尘、施工废水、施工人员生活污水、机</w:t>
            </w:r>
            <w:r>
              <w:rPr>
                <w:spacing w:val="12"/>
              </w:rPr>
              <w:t xml:space="preserve"> </w:t>
            </w:r>
            <w:r>
              <w:rPr>
                <w:spacing w:val="-1"/>
              </w:rPr>
              <w:t>械设备噪声及固体废物等。施工期工艺流程及产排污节点见图</w:t>
            </w:r>
            <w:r>
              <w:rPr>
                <w:spacing w:val="-40"/>
              </w:rPr>
              <w:t xml:space="preserve"> </w:t>
            </w:r>
            <w:r>
              <w:rPr>
                <w:rFonts w:ascii="Times New Roman" w:hAnsi="Times New Roman" w:eastAsia="Times New Roman" w:cs="Times New Roman"/>
                <w:spacing w:val="-1"/>
              </w:rPr>
              <w:t>2-2</w:t>
            </w:r>
            <w:r>
              <w:rPr>
                <w:spacing w:val="-1"/>
              </w:rPr>
              <w:t>。</w:t>
            </w:r>
          </w:p>
          <w:p w14:paraId="4AF1F01C">
            <w:pPr>
              <w:pStyle w:val="6"/>
              <w:spacing w:before="34" w:line="219" w:lineRule="auto"/>
              <w:ind w:left="586"/>
            </w:pPr>
            <w:r>
              <w:rPr>
                <w:spacing w:val="-2"/>
              </w:rPr>
              <w:t>工艺流程及产排污节点图：</w:t>
            </w:r>
          </w:p>
          <w:p w14:paraId="662F2818">
            <w:pPr>
              <w:spacing w:before="104" w:line="3963" w:lineRule="exact"/>
              <w:ind w:firstLine="576"/>
            </w:pPr>
            <w:r>
              <w:rPr>
                <w:position w:val="-79"/>
              </w:rPr>
              <w:drawing>
                <wp:inline distT="0" distB="0" distL="0" distR="0">
                  <wp:extent cx="4396740" cy="251587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19"/>
                          <a:stretch>
                            <a:fillRect/>
                          </a:stretch>
                        </pic:blipFill>
                        <pic:spPr>
                          <a:xfrm>
                            <a:off x="0" y="0"/>
                            <a:ext cx="4396740" cy="2516123"/>
                          </a:xfrm>
                          <a:prstGeom prst="rect">
                            <a:avLst/>
                          </a:prstGeom>
                        </pic:spPr>
                      </pic:pic>
                    </a:graphicData>
                  </a:graphic>
                </wp:inline>
              </w:drawing>
            </w:r>
          </w:p>
          <w:p w14:paraId="69A717BE">
            <w:pPr>
              <w:pStyle w:val="6"/>
              <w:spacing w:before="268" w:line="219" w:lineRule="auto"/>
              <w:ind w:left="1807"/>
            </w:pPr>
            <w:r>
              <w:rPr>
                <w:b/>
                <w:bCs/>
                <w:spacing w:val="-4"/>
              </w:rPr>
              <w:t>图</w:t>
            </w:r>
            <w:r>
              <w:rPr>
                <w:spacing w:val="-34"/>
              </w:rPr>
              <w:t xml:space="preserve"> </w:t>
            </w:r>
            <w:r>
              <w:rPr>
                <w:b/>
                <w:bCs/>
                <w:spacing w:val="-4"/>
              </w:rPr>
              <w:t>2-2</w:t>
            </w:r>
            <w:r>
              <w:rPr>
                <w:spacing w:val="-4"/>
              </w:rPr>
              <w:t xml:space="preserve">    </w:t>
            </w:r>
            <w:r>
              <w:rPr>
                <w:b/>
                <w:bCs/>
                <w:spacing w:val="-4"/>
              </w:rPr>
              <w:t>施工期工艺流程及产污节点图</w:t>
            </w:r>
          </w:p>
        </w:tc>
      </w:tr>
    </w:tbl>
    <w:p w14:paraId="75DA9E22">
      <w:pPr>
        <w:pStyle w:val="2"/>
      </w:pPr>
    </w:p>
    <w:p w14:paraId="01D19927">
      <w:pPr>
        <w:sectPr>
          <w:footerReference r:id="rId50" w:type="default"/>
          <w:pgSz w:w="11906" w:h="16839"/>
          <w:pgMar w:top="1270" w:right="1488" w:bottom="1263" w:left="1487" w:header="0" w:footer="1097" w:gutter="0"/>
          <w:cols w:space="720" w:num="1"/>
        </w:sectPr>
      </w:pPr>
    </w:p>
    <w:tbl>
      <w:tblPr>
        <w:tblStyle w:val="5"/>
        <w:tblW w:w="8904"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64"/>
        <w:gridCol w:w="8240"/>
      </w:tblGrid>
      <w:tr w14:paraId="01D9AE7F">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70" w:hRule="atLeast"/>
        </w:trPr>
        <w:tc>
          <w:tcPr>
            <w:tcW w:w="664" w:type="dxa"/>
            <w:tcBorders>
              <w:right w:val="single" w:color="000000" w:sz="2" w:space="0"/>
            </w:tcBorders>
            <w:vAlign w:val="top"/>
          </w:tcPr>
          <w:p w14:paraId="5A0690A1">
            <w:pPr>
              <w:rPr>
                <w:rFonts w:ascii="Arial"/>
                <w:sz w:val="21"/>
              </w:rPr>
            </w:pPr>
          </w:p>
        </w:tc>
        <w:tc>
          <w:tcPr>
            <w:tcW w:w="8240" w:type="dxa"/>
            <w:tcBorders>
              <w:left w:val="single" w:color="000000" w:sz="2" w:space="0"/>
            </w:tcBorders>
            <w:vAlign w:val="top"/>
          </w:tcPr>
          <w:p w14:paraId="7B85F90B">
            <w:pPr>
              <w:pStyle w:val="6"/>
              <w:spacing w:before="101" w:line="219" w:lineRule="auto"/>
              <w:ind w:left="584"/>
            </w:pPr>
            <w:r>
              <w:rPr>
                <w:rFonts w:ascii="Calibri" w:hAnsi="Calibri" w:eastAsia="Calibri" w:cs="Calibri"/>
                <w:b/>
                <w:bCs/>
                <w:spacing w:val="-4"/>
              </w:rPr>
              <w:t>2</w:t>
            </w:r>
            <w:r>
              <w:rPr>
                <w:rFonts w:ascii="Calibri" w:hAnsi="Calibri" w:eastAsia="Calibri" w:cs="Calibri"/>
                <w:b/>
                <w:bCs/>
                <w:spacing w:val="-23"/>
              </w:rPr>
              <w:t xml:space="preserve"> </w:t>
            </w:r>
            <w:r>
              <w:rPr>
                <w:b/>
                <w:bCs/>
                <w:spacing w:val="-4"/>
              </w:rPr>
              <w:t>、运营期工艺流程及主要产污环节</w:t>
            </w:r>
            <w:r>
              <w:rPr>
                <w:spacing w:val="-4"/>
              </w:rPr>
              <w:t>：</w:t>
            </w:r>
          </w:p>
          <w:p w14:paraId="31221330">
            <w:pPr>
              <w:spacing w:before="83" w:line="4639" w:lineRule="exact"/>
              <w:ind w:firstLine="751"/>
            </w:pPr>
            <w:r>
              <w:rPr>
                <w:position w:val="-92"/>
              </w:rPr>
              <w:drawing>
                <wp:inline distT="0" distB="0" distL="0" distR="0">
                  <wp:extent cx="4253230" cy="294576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20"/>
                          <a:stretch>
                            <a:fillRect/>
                          </a:stretch>
                        </pic:blipFill>
                        <pic:spPr>
                          <a:xfrm>
                            <a:off x="0" y="0"/>
                            <a:ext cx="4253483" cy="2945891"/>
                          </a:xfrm>
                          <a:prstGeom prst="rect">
                            <a:avLst/>
                          </a:prstGeom>
                        </pic:spPr>
                      </pic:pic>
                    </a:graphicData>
                  </a:graphic>
                </wp:inline>
              </w:drawing>
            </w:r>
          </w:p>
          <w:p w14:paraId="20E659BE">
            <w:pPr>
              <w:pStyle w:val="6"/>
              <w:spacing w:before="61" w:line="219" w:lineRule="auto"/>
              <w:ind w:left="2207"/>
            </w:pPr>
            <w:r>
              <w:rPr>
                <w:b/>
                <w:bCs/>
                <w:spacing w:val="-3"/>
              </w:rPr>
              <w:t>图</w:t>
            </w:r>
            <w:r>
              <w:rPr>
                <w:spacing w:val="-49"/>
              </w:rPr>
              <w:t xml:space="preserve"> </w:t>
            </w:r>
            <w:r>
              <w:rPr>
                <w:rFonts w:ascii="Times New Roman" w:hAnsi="Times New Roman" w:eastAsia="Times New Roman" w:cs="Times New Roman"/>
                <w:b/>
                <w:bCs/>
                <w:spacing w:val="-3"/>
              </w:rPr>
              <w:t xml:space="preserve">2-3      </w:t>
            </w:r>
            <w:r>
              <w:rPr>
                <w:b/>
                <w:bCs/>
                <w:spacing w:val="-3"/>
              </w:rPr>
              <w:t>运营期工艺流程及产排污节点图</w:t>
            </w:r>
          </w:p>
          <w:p w14:paraId="492D7D99">
            <w:pPr>
              <w:pStyle w:val="6"/>
              <w:spacing w:before="106" w:line="220" w:lineRule="auto"/>
              <w:ind w:left="586"/>
            </w:pPr>
            <w:r>
              <w:rPr>
                <w:b/>
                <w:bCs/>
                <w:spacing w:val="-5"/>
              </w:rPr>
              <w:t>工艺流程：</w:t>
            </w:r>
          </w:p>
          <w:p w14:paraId="1316D5FD">
            <w:pPr>
              <w:pStyle w:val="6"/>
              <w:spacing w:before="179" w:line="355" w:lineRule="auto"/>
              <w:ind w:left="102" w:right="98" w:firstLine="481"/>
              <w:jc w:val="both"/>
            </w:pPr>
            <w:r>
              <w:rPr>
                <w:spacing w:val="-5"/>
              </w:rPr>
              <w:t>本项目为农机拆解项目，一般而言，拆解工艺有</w:t>
            </w:r>
            <w:r>
              <w:rPr>
                <w:spacing w:val="-6"/>
              </w:rPr>
              <w:t>“非破坏性拆解</w:t>
            </w:r>
            <w:r>
              <w:rPr>
                <w:spacing w:val="-88"/>
              </w:rPr>
              <w:t xml:space="preserve"> </w:t>
            </w:r>
            <w:r>
              <w:rPr>
                <w:spacing w:val="-6"/>
              </w:rPr>
              <w:t>”、“准</w:t>
            </w:r>
            <w:r>
              <w:t xml:space="preserve"> </w:t>
            </w:r>
            <w:r>
              <w:rPr>
                <w:spacing w:val="1"/>
              </w:rPr>
              <w:t>破坏性拆解</w:t>
            </w:r>
            <w:r>
              <w:rPr>
                <w:spacing w:val="-84"/>
              </w:rPr>
              <w:t xml:space="preserve"> </w:t>
            </w:r>
            <w:r>
              <w:rPr>
                <w:spacing w:val="1"/>
              </w:rPr>
              <w:t>”、“破坏性拆解</w:t>
            </w:r>
            <w:r>
              <w:rPr>
                <w:spacing w:val="-86"/>
              </w:rPr>
              <w:t xml:space="preserve"> </w:t>
            </w:r>
            <w:r>
              <w:rPr>
                <w:spacing w:val="1"/>
              </w:rPr>
              <w:t>”之分，本项目为准破坏性拆解。绝大多数农</w:t>
            </w:r>
            <w:r>
              <w:t xml:space="preserve"> </w:t>
            </w:r>
            <w:r>
              <w:rPr>
                <w:spacing w:val="3"/>
              </w:rPr>
              <w:t>机经长年使用报废后，零件的回收价值已不大；另一方面，本项目拆解工艺</w:t>
            </w:r>
            <w:r>
              <w:rPr>
                <w:spacing w:val="4"/>
              </w:rPr>
              <w:t xml:space="preserve"> </w:t>
            </w:r>
            <w:r>
              <w:rPr>
                <w:spacing w:val="3"/>
              </w:rPr>
              <w:t>不考虑零件回收问题；根据农机各部分的具体结构情况及拆解操作的方便程</w:t>
            </w:r>
            <w:r>
              <w:rPr>
                <w:spacing w:val="4"/>
              </w:rPr>
              <w:t xml:space="preserve"> </w:t>
            </w:r>
            <w:r>
              <w:t>度，综合利用等离子切割、各种手工、电动拆</w:t>
            </w:r>
            <w:r>
              <w:rPr>
                <w:spacing w:val="-1"/>
              </w:rPr>
              <w:t>解工具进行拆解</w:t>
            </w:r>
            <w:r>
              <w:rPr>
                <w:spacing w:val="-88"/>
              </w:rPr>
              <w:t xml:space="preserve"> </w:t>
            </w:r>
            <w:r>
              <w:rPr>
                <w:spacing w:val="-1"/>
              </w:rPr>
              <w:t>”。</w:t>
            </w:r>
          </w:p>
          <w:p w14:paraId="60650F37">
            <w:pPr>
              <w:pStyle w:val="6"/>
              <w:spacing w:before="34" w:line="217" w:lineRule="auto"/>
              <w:ind w:left="582"/>
            </w:pPr>
            <w:r>
              <w:rPr>
                <w:spacing w:val="-2"/>
              </w:rPr>
              <w:t>①农机入厂</w:t>
            </w:r>
          </w:p>
          <w:p w14:paraId="2B2EF261">
            <w:pPr>
              <w:pStyle w:val="6"/>
              <w:spacing w:before="183" w:line="356" w:lineRule="auto"/>
              <w:ind w:left="103" w:right="34" w:firstLine="480"/>
            </w:pPr>
            <w:r>
              <w:rPr>
                <w:spacing w:val="-2"/>
              </w:rPr>
              <w:t>本项目主要拆解联合收割机及拖拉机。项目废农</w:t>
            </w:r>
            <w:r>
              <w:rPr>
                <w:spacing w:val="-3"/>
              </w:rPr>
              <w:t>机由用户对其先行清理，</w:t>
            </w:r>
            <w:r>
              <w:t xml:space="preserve"> </w:t>
            </w:r>
            <w:r>
              <w:rPr>
                <w:spacing w:val="-3"/>
              </w:rPr>
              <w:t>去除机械外部的非原机所属的覆盖物（如泥土等</w:t>
            </w:r>
            <w:r>
              <w:rPr>
                <w:spacing w:val="11"/>
              </w:rPr>
              <w:t>），</w:t>
            </w:r>
            <w:r>
              <w:rPr>
                <w:spacing w:val="-3"/>
              </w:rPr>
              <w:t>再送至本项目进行拆解，</w:t>
            </w:r>
            <w:r>
              <w:t xml:space="preserve"> </w:t>
            </w:r>
            <w:r>
              <w:rPr>
                <w:spacing w:val="3"/>
              </w:rPr>
              <w:t xml:space="preserve">因此项目农机不需清洗。用户报废农机入厂后，办理农机回收证明手续、双 方与农机合影留证，录入回收监管系统。待拆解农机暂存在待拆解区，与其 他废物分开存储，准备进行拆解工作。项目农机进场后直接进行拆解，不进 </w:t>
            </w:r>
            <w:r>
              <w:rPr>
                <w:spacing w:val="-1"/>
              </w:rPr>
              <w:t>行露天停放，不单独设置停车坪。</w:t>
            </w:r>
          </w:p>
          <w:p w14:paraId="4CF685C5">
            <w:pPr>
              <w:pStyle w:val="6"/>
              <w:spacing w:before="34" w:line="345" w:lineRule="auto"/>
              <w:ind w:left="104" w:right="95" w:firstLine="479"/>
              <w:jc w:val="both"/>
            </w:pPr>
            <w:r>
              <w:rPr>
                <w:spacing w:val="3"/>
              </w:rPr>
              <w:t>检查报废农业机械发动机、散热器、变速器、差速器、油箱、液罐等总</w:t>
            </w:r>
            <w:r>
              <w:rPr>
                <w:spacing w:val="9"/>
              </w:rPr>
              <w:t xml:space="preserve"> </w:t>
            </w:r>
            <w:r>
              <w:rPr>
                <w:spacing w:val="3"/>
              </w:rPr>
              <w:t>成部件的密封情况。对出现泄漏的地方，将油桶置于泄露处下方或封住泄漏</w:t>
            </w:r>
            <w:r>
              <w:rPr>
                <w:spacing w:val="2"/>
              </w:rPr>
              <w:t xml:space="preserve"> </w:t>
            </w:r>
            <w:r>
              <w:rPr>
                <w:spacing w:val="-2"/>
              </w:rPr>
              <w:t>处，防止大量泄露到地面，地面如有油渍，采用抹布</w:t>
            </w:r>
            <w:r>
              <w:rPr>
                <w:rFonts w:ascii="Calibri" w:hAnsi="Calibri" w:eastAsia="Calibri" w:cs="Calibri"/>
                <w:spacing w:val="-3"/>
              </w:rPr>
              <w:t>/</w:t>
            </w:r>
            <w:r>
              <w:rPr>
                <w:spacing w:val="-3"/>
              </w:rPr>
              <w:t>拖布擦干，废抹布</w:t>
            </w:r>
            <w:r>
              <w:rPr>
                <w:rFonts w:ascii="Calibri" w:hAnsi="Calibri" w:eastAsia="Calibri" w:cs="Calibri"/>
                <w:spacing w:val="-3"/>
              </w:rPr>
              <w:t>/</w:t>
            </w:r>
            <w:r>
              <w:rPr>
                <w:spacing w:val="-3"/>
              </w:rPr>
              <w:t>拖布</w:t>
            </w:r>
            <w:r>
              <w:t xml:space="preserve"> </w:t>
            </w:r>
            <w:r>
              <w:rPr>
                <w:spacing w:val="-1"/>
              </w:rPr>
              <w:t>作为危险废物暂存在危险废物贮存库，由有资质单位处理。</w:t>
            </w:r>
          </w:p>
          <w:p w14:paraId="08F06ACE">
            <w:pPr>
              <w:pStyle w:val="6"/>
              <w:spacing w:before="78" w:line="219" w:lineRule="auto"/>
              <w:ind w:left="582"/>
            </w:pPr>
            <w:r>
              <w:rPr>
                <w:spacing w:val="4"/>
              </w:rPr>
              <w:t>对报废农业机械主要信息进行登记并拍照，并在机身</w:t>
            </w:r>
            <w:r>
              <w:rPr>
                <w:spacing w:val="3"/>
              </w:rPr>
              <w:t>醒目位置贴上唯一</w:t>
            </w:r>
          </w:p>
        </w:tc>
      </w:tr>
    </w:tbl>
    <w:p w14:paraId="6AE3749F">
      <w:pPr>
        <w:pStyle w:val="2"/>
      </w:pPr>
    </w:p>
    <w:p w14:paraId="741BE275">
      <w:pPr>
        <w:sectPr>
          <w:footerReference r:id="rId51" w:type="default"/>
          <w:pgSz w:w="11906" w:h="16839"/>
          <w:pgMar w:top="1270" w:right="1488" w:bottom="1261" w:left="1487" w:header="0" w:footer="1097" w:gutter="0"/>
          <w:cols w:space="720" w:num="1"/>
        </w:sectPr>
      </w:pPr>
    </w:p>
    <w:tbl>
      <w:tblPr>
        <w:tblStyle w:val="5"/>
        <w:tblW w:w="8904"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64"/>
        <w:gridCol w:w="8240"/>
      </w:tblGrid>
      <w:tr w14:paraId="01BA95B4">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26" w:hRule="atLeast"/>
        </w:trPr>
        <w:tc>
          <w:tcPr>
            <w:tcW w:w="664" w:type="dxa"/>
            <w:tcBorders>
              <w:right w:val="single" w:color="000000" w:sz="2" w:space="0"/>
            </w:tcBorders>
            <w:vAlign w:val="top"/>
          </w:tcPr>
          <w:p w14:paraId="237E4F37">
            <w:pPr>
              <w:rPr>
                <w:rFonts w:ascii="Arial"/>
                <w:sz w:val="21"/>
              </w:rPr>
            </w:pPr>
          </w:p>
        </w:tc>
        <w:tc>
          <w:tcPr>
            <w:tcW w:w="8240" w:type="dxa"/>
            <w:tcBorders>
              <w:left w:val="single" w:color="000000" w:sz="2" w:space="0"/>
            </w:tcBorders>
            <w:vAlign w:val="top"/>
          </w:tcPr>
          <w:p w14:paraId="20148787">
            <w:pPr>
              <w:pStyle w:val="6"/>
              <w:spacing w:before="100" w:line="342" w:lineRule="auto"/>
              <w:ind w:left="110" w:right="95" w:hanging="4"/>
            </w:pPr>
            <w:r>
              <w:rPr>
                <w:spacing w:val="-1"/>
              </w:rPr>
              <w:t>性标识。主要信息包括：机主</w:t>
            </w:r>
            <w:r>
              <w:rPr>
                <w:rFonts w:ascii="Calibri" w:hAnsi="Calibri" w:eastAsia="Calibri" w:cs="Calibri"/>
                <w:spacing w:val="-1"/>
              </w:rPr>
              <w:t>(</w:t>
            </w:r>
            <w:r>
              <w:rPr>
                <w:spacing w:val="-1"/>
              </w:rPr>
              <w:t>单位或个人</w:t>
            </w:r>
            <w:r>
              <w:rPr>
                <w:rFonts w:ascii="Calibri" w:hAnsi="Calibri" w:eastAsia="Calibri" w:cs="Calibri"/>
                <w:spacing w:val="-1"/>
              </w:rPr>
              <w:t>)</w:t>
            </w:r>
            <w:r>
              <w:rPr>
                <w:spacing w:val="-1"/>
              </w:rPr>
              <w:t>名称、证件号</w:t>
            </w:r>
            <w:r>
              <w:rPr>
                <w:spacing w:val="-2"/>
              </w:rPr>
              <w:t>码、牌照号码、品牌</w:t>
            </w:r>
            <w:r>
              <w:t xml:space="preserve"> </w:t>
            </w:r>
            <w:r>
              <w:rPr>
                <w:spacing w:val="-1"/>
              </w:rPr>
              <w:t>型号、机身颜色、车架号、发动机号、出厂年份、接收或收购日期等。</w:t>
            </w:r>
          </w:p>
          <w:p w14:paraId="3AD19B44">
            <w:pPr>
              <w:pStyle w:val="6"/>
              <w:spacing w:before="43" w:line="356" w:lineRule="auto"/>
              <w:ind w:left="102" w:right="34" w:firstLine="480"/>
            </w:pPr>
            <w:r>
              <w:rPr>
                <w:spacing w:val="-1"/>
              </w:rPr>
              <w:t>拆解前存储：拖拉机长宽一般为</w:t>
            </w:r>
            <w:r>
              <w:rPr>
                <w:spacing w:val="-44"/>
              </w:rPr>
              <w:t xml:space="preserve"> </w:t>
            </w:r>
            <w:r>
              <w:rPr>
                <w:rFonts w:ascii="Calibri" w:hAnsi="Calibri" w:eastAsia="Calibri" w:cs="Calibri"/>
                <w:spacing w:val="-1"/>
              </w:rPr>
              <w:t>3*1.35m</w:t>
            </w:r>
            <w:r>
              <w:rPr>
                <w:rFonts w:ascii="Calibri" w:hAnsi="Calibri" w:eastAsia="Calibri" w:cs="Calibri"/>
                <w:spacing w:val="-20"/>
              </w:rPr>
              <w:t xml:space="preserve"> </w:t>
            </w:r>
            <w:r>
              <w:rPr>
                <w:spacing w:val="-1"/>
              </w:rPr>
              <w:t>，</w:t>
            </w:r>
            <w:r>
              <w:rPr>
                <w:spacing w:val="-66"/>
              </w:rPr>
              <w:t xml:space="preserve"> </w:t>
            </w:r>
            <w:r>
              <w:rPr>
                <w:spacing w:val="-1"/>
              </w:rPr>
              <w:t>占地面积为</w:t>
            </w:r>
            <w:r>
              <w:rPr>
                <w:spacing w:val="-50"/>
              </w:rPr>
              <w:t xml:space="preserve"> </w:t>
            </w:r>
            <w:r>
              <w:rPr>
                <w:rFonts w:ascii="Calibri" w:hAnsi="Calibri" w:eastAsia="Calibri" w:cs="Calibri"/>
                <w:spacing w:val="-1"/>
              </w:rPr>
              <w:t>4.05m</w:t>
            </w:r>
            <w:r>
              <w:rPr>
                <w:rFonts w:ascii="Calibri" w:hAnsi="Calibri" w:eastAsia="Calibri" w:cs="Calibri"/>
                <w:spacing w:val="-1"/>
                <w:position w:val="8"/>
                <w:sz w:val="15"/>
                <w:szCs w:val="15"/>
              </w:rPr>
              <w:t xml:space="preserve">2 </w:t>
            </w:r>
            <w:r>
              <w:rPr>
                <w:spacing w:val="-1"/>
              </w:rPr>
              <w:t>，收割机</w:t>
            </w:r>
            <w:r>
              <w:t xml:space="preserve"> </w:t>
            </w:r>
            <w:r>
              <w:rPr>
                <w:spacing w:val="-4"/>
              </w:rPr>
              <w:t>长宽一般为</w:t>
            </w:r>
            <w:r>
              <w:rPr>
                <w:spacing w:val="-48"/>
              </w:rPr>
              <w:t xml:space="preserve"> </w:t>
            </w:r>
            <w:r>
              <w:rPr>
                <w:rFonts w:ascii="Calibri" w:hAnsi="Calibri" w:eastAsia="Calibri" w:cs="Calibri"/>
                <w:spacing w:val="-4"/>
              </w:rPr>
              <w:t>3.95*2.3m</w:t>
            </w:r>
            <w:r>
              <w:rPr>
                <w:rFonts w:ascii="Calibri" w:hAnsi="Calibri" w:eastAsia="Calibri" w:cs="Calibri"/>
                <w:spacing w:val="-25"/>
              </w:rPr>
              <w:t xml:space="preserve"> </w:t>
            </w:r>
            <w:r>
              <w:rPr>
                <w:spacing w:val="-4"/>
              </w:rPr>
              <w:t>，占地面积为</w:t>
            </w:r>
            <w:r>
              <w:rPr>
                <w:spacing w:val="-50"/>
              </w:rPr>
              <w:t xml:space="preserve"> </w:t>
            </w:r>
            <w:r>
              <w:rPr>
                <w:rFonts w:ascii="Calibri" w:hAnsi="Calibri" w:eastAsia="Calibri" w:cs="Calibri"/>
                <w:spacing w:val="-4"/>
              </w:rPr>
              <w:t>9m</w:t>
            </w:r>
            <w:r>
              <w:rPr>
                <w:rFonts w:ascii="Calibri" w:hAnsi="Calibri" w:eastAsia="Calibri" w:cs="Calibri"/>
                <w:spacing w:val="-4"/>
                <w:position w:val="8"/>
                <w:sz w:val="15"/>
                <w:szCs w:val="15"/>
              </w:rPr>
              <w:t xml:space="preserve">2 </w:t>
            </w:r>
            <w:r>
              <w:rPr>
                <w:spacing w:val="-4"/>
              </w:rPr>
              <w:t>，水稻插秧机长宽一般为</w:t>
            </w:r>
            <w:r>
              <w:rPr>
                <w:spacing w:val="-47"/>
              </w:rPr>
              <w:t xml:space="preserve"> </w:t>
            </w:r>
            <w:r>
              <w:rPr>
                <w:rFonts w:ascii="Calibri" w:hAnsi="Calibri" w:eastAsia="Calibri" w:cs="Calibri"/>
                <w:spacing w:val="-4"/>
              </w:rPr>
              <w:t>2.35*1.7</w:t>
            </w:r>
            <w:r>
              <w:rPr>
                <w:rFonts w:ascii="Calibri" w:hAnsi="Calibri" w:eastAsia="Calibri" w:cs="Calibri"/>
                <w:spacing w:val="-5"/>
              </w:rPr>
              <w:t>m</w:t>
            </w:r>
            <w:r>
              <w:rPr>
                <w:spacing w:val="-5"/>
              </w:rPr>
              <w:t>，</w:t>
            </w:r>
            <w:r>
              <w:t xml:space="preserve"> </w:t>
            </w:r>
            <w:r>
              <w:rPr>
                <w:spacing w:val="-3"/>
              </w:rPr>
              <w:t>占地面积为</w:t>
            </w:r>
            <w:r>
              <w:rPr>
                <w:spacing w:val="-37"/>
              </w:rPr>
              <w:t xml:space="preserve"> </w:t>
            </w:r>
            <w:r>
              <w:rPr>
                <w:rFonts w:ascii="Calibri" w:hAnsi="Calibri" w:eastAsia="Calibri" w:cs="Calibri"/>
                <w:spacing w:val="-3"/>
              </w:rPr>
              <w:t>4m</w:t>
            </w:r>
            <w:r>
              <w:rPr>
                <w:rFonts w:ascii="Calibri" w:hAnsi="Calibri" w:eastAsia="Calibri" w:cs="Calibri"/>
                <w:spacing w:val="-3"/>
                <w:position w:val="8"/>
                <w:sz w:val="15"/>
                <w:szCs w:val="15"/>
              </w:rPr>
              <w:t xml:space="preserve">2 </w:t>
            </w:r>
            <w:r>
              <w:rPr>
                <w:spacing w:val="-3"/>
              </w:rPr>
              <w:t>。本项目报废农机暂存区</w:t>
            </w:r>
            <w:r>
              <w:rPr>
                <w:spacing w:val="-46"/>
              </w:rPr>
              <w:t xml:space="preserve"> </w:t>
            </w:r>
            <w:r>
              <w:rPr>
                <w:rFonts w:ascii="Calibri" w:hAnsi="Calibri" w:eastAsia="Calibri" w:cs="Calibri"/>
                <w:spacing w:val="-3"/>
              </w:rPr>
              <w:t>760m</w:t>
            </w:r>
            <w:r>
              <w:rPr>
                <w:rFonts w:ascii="Calibri" w:hAnsi="Calibri" w:eastAsia="Calibri" w:cs="Calibri"/>
                <w:spacing w:val="-3"/>
                <w:position w:val="8"/>
                <w:sz w:val="15"/>
                <w:szCs w:val="15"/>
              </w:rPr>
              <w:t xml:space="preserve">2 </w:t>
            </w:r>
            <w:r>
              <w:rPr>
                <w:spacing w:val="-3"/>
              </w:rPr>
              <w:t>，正常情况可存储</w:t>
            </w:r>
            <w:r>
              <w:rPr>
                <w:spacing w:val="-39"/>
              </w:rPr>
              <w:t xml:space="preserve"> </w:t>
            </w:r>
            <w:r>
              <w:rPr>
                <w:rFonts w:ascii="Calibri" w:hAnsi="Calibri" w:eastAsia="Calibri" w:cs="Calibri"/>
                <w:spacing w:val="-3"/>
              </w:rPr>
              <w:t>10</w:t>
            </w:r>
            <w:r>
              <w:rPr>
                <w:rFonts w:ascii="Calibri" w:hAnsi="Calibri" w:eastAsia="Calibri" w:cs="Calibri"/>
                <w:spacing w:val="34"/>
                <w:w w:val="101"/>
              </w:rPr>
              <w:t xml:space="preserve"> </w:t>
            </w:r>
            <w:r>
              <w:rPr>
                <w:spacing w:val="-3"/>
              </w:rPr>
              <w:t>台拖拉</w:t>
            </w:r>
            <w:r>
              <w:t xml:space="preserve"> </w:t>
            </w:r>
            <w:r>
              <w:rPr>
                <w:spacing w:val="-5"/>
              </w:rPr>
              <w:t>机（占地面积约</w:t>
            </w:r>
            <w:r>
              <w:rPr>
                <w:spacing w:val="-54"/>
              </w:rPr>
              <w:t xml:space="preserve"> </w:t>
            </w:r>
            <w:r>
              <w:rPr>
                <w:rFonts w:ascii="Calibri" w:hAnsi="Calibri" w:eastAsia="Calibri" w:cs="Calibri"/>
                <w:spacing w:val="-5"/>
              </w:rPr>
              <w:t>44m</w:t>
            </w:r>
            <w:r>
              <w:rPr>
                <w:rFonts w:ascii="Calibri" w:hAnsi="Calibri" w:eastAsia="Calibri" w:cs="Calibri"/>
                <w:spacing w:val="-5"/>
                <w:position w:val="8"/>
                <w:sz w:val="15"/>
                <w:szCs w:val="15"/>
              </w:rPr>
              <w:t xml:space="preserve">2 </w:t>
            </w:r>
            <w:r>
              <w:rPr>
                <w:spacing w:val="-5"/>
              </w:rPr>
              <w:t>）、</w:t>
            </w:r>
            <w:r>
              <w:rPr>
                <w:rFonts w:ascii="Calibri" w:hAnsi="Calibri" w:eastAsia="Calibri" w:cs="Calibri"/>
                <w:spacing w:val="-5"/>
              </w:rPr>
              <w:t>30</w:t>
            </w:r>
            <w:r>
              <w:rPr>
                <w:rFonts w:ascii="Calibri" w:hAnsi="Calibri" w:eastAsia="Calibri" w:cs="Calibri"/>
                <w:spacing w:val="32"/>
              </w:rPr>
              <w:t xml:space="preserve"> </w:t>
            </w:r>
            <w:r>
              <w:rPr>
                <w:spacing w:val="-5"/>
              </w:rPr>
              <w:t>台收割机</w:t>
            </w:r>
            <w:r>
              <w:rPr>
                <w:spacing w:val="-6"/>
              </w:rPr>
              <w:t>（占地面积</w:t>
            </w:r>
            <w:r>
              <w:rPr>
                <w:spacing w:val="-48"/>
              </w:rPr>
              <w:t xml:space="preserve"> </w:t>
            </w:r>
            <w:r>
              <w:rPr>
                <w:rFonts w:ascii="Calibri" w:hAnsi="Calibri" w:eastAsia="Calibri" w:cs="Calibri"/>
                <w:spacing w:val="-6"/>
              </w:rPr>
              <w:t>300m</w:t>
            </w:r>
            <w:r>
              <w:rPr>
                <w:rFonts w:ascii="Calibri" w:hAnsi="Calibri" w:eastAsia="Calibri" w:cs="Calibri"/>
                <w:spacing w:val="-6"/>
                <w:position w:val="8"/>
                <w:sz w:val="15"/>
                <w:szCs w:val="15"/>
              </w:rPr>
              <w:t xml:space="preserve">2 </w:t>
            </w:r>
            <w:r>
              <w:rPr>
                <w:spacing w:val="-6"/>
              </w:rPr>
              <w:t>）、</w:t>
            </w:r>
            <w:r>
              <w:rPr>
                <w:rFonts w:ascii="Calibri" w:hAnsi="Calibri" w:eastAsia="Calibri" w:cs="Calibri"/>
                <w:spacing w:val="-6"/>
              </w:rPr>
              <w:t>10</w:t>
            </w:r>
            <w:r>
              <w:rPr>
                <w:rFonts w:ascii="Calibri" w:hAnsi="Calibri" w:eastAsia="Calibri" w:cs="Calibri"/>
                <w:spacing w:val="32"/>
                <w:w w:val="101"/>
              </w:rPr>
              <w:t xml:space="preserve"> </w:t>
            </w:r>
            <w:r>
              <w:rPr>
                <w:spacing w:val="-6"/>
              </w:rPr>
              <w:t>台插秧机（占</w:t>
            </w:r>
            <w:r>
              <w:t xml:space="preserve"> </w:t>
            </w:r>
            <w:r>
              <w:rPr>
                <w:spacing w:val="-3"/>
              </w:rPr>
              <w:t>地面积</w:t>
            </w:r>
            <w:r>
              <w:rPr>
                <w:spacing w:val="-54"/>
              </w:rPr>
              <w:t xml:space="preserve"> </w:t>
            </w:r>
            <w:r>
              <w:rPr>
                <w:rFonts w:ascii="Calibri" w:hAnsi="Calibri" w:eastAsia="Calibri" w:cs="Calibri"/>
                <w:spacing w:val="-3"/>
              </w:rPr>
              <w:t>48m</w:t>
            </w:r>
            <w:r>
              <w:rPr>
                <w:rFonts w:ascii="Calibri" w:hAnsi="Calibri" w:eastAsia="Calibri" w:cs="Calibri"/>
                <w:spacing w:val="-3"/>
                <w:position w:val="8"/>
                <w:sz w:val="15"/>
                <w:szCs w:val="15"/>
              </w:rPr>
              <w:t>2</w:t>
            </w:r>
            <w:r>
              <w:rPr>
                <w:spacing w:val="-27"/>
              </w:rPr>
              <w:t>），</w:t>
            </w:r>
            <w:r>
              <w:rPr>
                <w:spacing w:val="-3"/>
              </w:rPr>
              <w:t>共计</w:t>
            </w:r>
            <w:r>
              <w:rPr>
                <w:spacing w:val="-48"/>
              </w:rPr>
              <w:t xml:space="preserve"> </w:t>
            </w:r>
            <w:r>
              <w:rPr>
                <w:rFonts w:ascii="Calibri" w:hAnsi="Calibri" w:eastAsia="Calibri" w:cs="Calibri"/>
                <w:spacing w:val="-3"/>
              </w:rPr>
              <w:t>50</w:t>
            </w:r>
            <w:r>
              <w:rPr>
                <w:rFonts w:ascii="Calibri" w:hAnsi="Calibri" w:eastAsia="Calibri" w:cs="Calibri"/>
                <w:spacing w:val="35"/>
              </w:rPr>
              <w:t xml:space="preserve"> </w:t>
            </w:r>
            <w:r>
              <w:rPr>
                <w:spacing w:val="-3"/>
              </w:rPr>
              <w:t>台报废农机，拆解车间待拆解区可满足报废农机暂存</w:t>
            </w:r>
            <w:r>
              <w:t xml:space="preserve"> </w:t>
            </w:r>
            <w:r>
              <w:rPr>
                <w:spacing w:val="-1"/>
              </w:rPr>
              <w:t>要求，无须单独设置停车坪，不进行露天停放。</w:t>
            </w:r>
          </w:p>
          <w:p w14:paraId="58F80E51">
            <w:pPr>
              <w:pStyle w:val="6"/>
              <w:spacing w:before="34" w:line="217" w:lineRule="auto"/>
              <w:ind w:left="581"/>
            </w:pPr>
            <w:r>
              <w:rPr>
                <w:spacing w:val="-2"/>
              </w:rPr>
              <w:t>②拆解前预处理</w:t>
            </w:r>
          </w:p>
          <w:p w14:paraId="61042C5C">
            <w:pPr>
              <w:pStyle w:val="6"/>
              <w:spacing w:before="184" w:line="357" w:lineRule="auto"/>
              <w:ind w:left="103" w:right="34" w:firstLine="479"/>
            </w:pPr>
            <w:r>
              <w:rPr>
                <w:spacing w:val="3"/>
              </w:rPr>
              <w:t>在正式拆解前，拆下蓄电池，放净发动机、变速箱总成的内燃机油；油</w:t>
            </w:r>
            <w:r>
              <w:rPr>
                <w:spacing w:val="10"/>
              </w:rPr>
              <w:t xml:space="preserve"> </w:t>
            </w:r>
            <w:r>
              <w:rPr>
                <w:spacing w:val="3"/>
              </w:rPr>
              <w:t xml:space="preserve">箱中如有残余燃油，放净回收，然后拆下油箱。预处理收集的废液应分类收 </w:t>
            </w:r>
            <w:r>
              <w:rPr>
                <w:spacing w:val="-2"/>
              </w:rPr>
              <w:t>集，废液应排放干净、无积液，因此预处理是为了保证安全拆解</w:t>
            </w:r>
            <w:r>
              <w:rPr>
                <w:spacing w:val="-3"/>
              </w:rPr>
              <w:t>、防止污染，</w:t>
            </w:r>
            <w:r>
              <w:t xml:space="preserve"> </w:t>
            </w:r>
            <w:r>
              <w:rPr>
                <w:spacing w:val="3"/>
              </w:rPr>
              <w:t xml:space="preserve">其中蓄电池仅拆下，不进行拆解。收集废燃油等废液：在室内拆解预处理平 台使用专用工具和容器排空和收集车内的废液。本项目采取密封真空抽排工 艺抽排汽车中各类液体，抽液吸盘吸住液箱底部，内置防爆钻头开孔，气动 真空抽排系统抽排液体；抽排过程中保持设备密闭，抽排完毕后人工用塑料 </w:t>
            </w:r>
            <w:r>
              <w:rPr>
                <w:spacing w:val="-2"/>
              </w:rPr>
              <w:t>塞塞住开孔。</w:t>
            </w:r>
          </w:p>
          <w:p w14:paraId="622836EA">
            <w:pPr>
              <w:pStyle w:val="6"/>
              <w:spacing w:before="32" w:line="217" w:lineRule="auto"/>
              <w:ind w:left="581"/>
            </w:pPr>
            <w:r>
              <w:rPr>
                <w:spacing w:val="-2"/>
              </w:rPr>
              <w:t>③总成拆除</w:t>
            </w:r>
          </w:p>
          <w:p w14:paraId="2E469C23">
            <w:pPr>
              <w:pStyle w:val="6"/>
              <w:spacing w:before="188" w:line="352" w:lineRule="auto"/>
              <w:ind w:left="104" w:right="95" w:firstLine="479"/>
            </w:pPr>
            <w:r>
              <w:rPr>
                <w:spacing w:val="3"/>
              </w:rPr>
              <w:t>拆下发动机、变速箱、转向器、前后桥等总成，并按《报废农业机械回</w:t>
            </w:r>
            <w:r>
              <w:rPr>
                <w:spacing w:val="9"/>
              </w:rPr>
              <w:t xml:space="preserve"> </w:t>
            </w:r>
            <w:r>
              <w:t>收拆解技术规范》（</w:t>
            </w:r>
            <w:r>
              <w:rPr>
                <w:rFonts w:ascii="Calibri" w:hAnsi="Calibri" w:eastAsia="Calibri" w:cs="Calibri"/>
              </w:rPr>
              <w:t>NY/T2900-2022</w:t>
            </w:r>
            <w:r>
              <w:t>）对以上总成通过使用鹰嘴钳和切割机进</w:t>
            </w:r>
            <w:r>
              <w:rPr>
                <w:spacing w:val="15"/>
              </w:rPr>
              <w:t xml:space="preserve"> </w:t>
            </w:r>
            <w:r>
              <w:rPr>
                <w:spacing w:val="3"/>
              </w:rPr>
              <w:t>行液压毁形、切割解体，确保拆解后不可修复。在销毁过程中，每个环节保</w:t>
            </w:r>
            <w:r>
              <w:rPr>
                <w:spacing w:val="2"/>
              </w:rPr>
              <w:t xml:space="preserve"> </w:t>
            </w:r>
            <w:r>
              <w:rPr>
                <w:spacing w:val="-6"/>
              </w:rPr>
              <w:t>留</w:t>
            </w:r>
            <w:r>
              <w:rPr>
                <w:spacing w:val="-40"/>
              </w:rPr>
              <w:t xml:space="preserve"> </w:t>
            </w:r>
            <w:r>
              <w:rPr>
                <w:rFonts w:ascii="Calibri" w:hAnsi="Calibri" w:eastAsia="Calibri" w:cs="Calibri"/>
                <w:spacing w:val="-6"/>
              </w:rPr>
              <w:t>10s</w:t>
            </w:r>
            <w:r>
              <w:rPr>
                <w:rFonts w:ascii="Calibri" w:hAnsi="Calibri" w:eastAsia="Calibri" w:cs="Calibri"/>
                <w:spacing w:val="41"/>
                <w:w w:val="101"/>
              </w:rPr>
              <w:t xml:space="preserve"> </w:t>
            </w:r>
            <w:r>
              <w:rPr>
                <w:spacing w:val="-6"/>
              </w:rPr>
              <w:t>以上视频资料或解体销毁前、中、后各照片</w:t>
            </w:r>
            <w:r>
              <w:rPr>
                <w:spacing w:val="-40"/>
              </w:rPr>
              <w:t xml:space="preserve"> </w:t>
            </w:r>
            <w:r>
              <w:rPr>
                <w:rFonts w:ascii="Calibri" w:hAnsi="Calibri" w:eastAsia="Calibri" w:cs="Calibri"/>
                <w:spacing w:val="-6"/>
              </w:rPr>
              <w:t>1</w:t>
            </w:r>
            <w:r>
              <w:rPr>
                <w:rFonts w:ascii="Calibri" w:hAnsi="Calibri" w:eastAsia="Calibri" w:cs="Calibri"/>
                <w:spacing w:val="22"/>
                <w:w w:val="101"/>
              </w:rPr>
              <w:t xml:space="preserve"> </w:t>
            </w:r>
            <w:r>
              <w:rPr>
                <w:spacing w:val="-6"/>
              </w:rPr>
              <w:t>张。从结构复杂性与操纵</w:t>
            </w:r>
            <w:r>
              <w:t xml:space="preserve"> </w:t>
            </w:r>
            <w:r>
              <w:rPr>
                <w:spacing w:val="3"/>
              </w:rPr>
              <w:t>舒适性两方面来说，农业机械通常比汽车简单许多、操纵性能要求也低，故</w:t>
            </w:r>
            <w:r>
              <w:rPr>
                <w:spacing w:val="2"/>
              </w:rPr>
              <w:t xml:space="preserve"> </w:t>
            </w:r>
            <w:r>
              <w:rPr>
                <w:spacing w:val="-1"/>
              </w:rPr>
              <w:t>需拆解的总成数量较少。</w:t>
            </w:r>
          </w:p>
          <w:p w14:paraId="559228EA">
            <w:pPr>
              <w:pStyle w:val="6"/>
              <w:spacing w:before="61" w:line="217" w:lineRule="auto"/>
              <w:ind w:left="581"/>
            </w:pPr>
            <w:r>
              <w:rPr>
                <w:spacing w:val="-2"/>
              </w:rPr>
              <w:t>④机架解体</w:t>
            </w:r>
          </w:p>
          <w:p w14:paraId="0F7A7B86">
            <w:pPr>
              <w:pStyle w:val="6"/>
              <w:spacing w:before="187" w:line="353" w:lineRule="auto"/>
              <w:ind w:left="102" w:right="98" w:firstLine="479"/>
            </w:pPr>
            <w:r>
              <w:rPr>
                <w:spacing w:val="3"/>
              </w:rPr>
              <w:t>对拆除总成后的整体机架进行解体，机架拆解以能对拆解物进行粗略归</w:t>
            </w:r>
            <w:r>
              <w:rPr>
                <w:spacing w:val="10"/>
              </w:rPr>
              <w:t xml:space="preserve"> </w:t>
            </w:r>
            <w:r>
              <w:rPr>
                <w:spacing w:val="3"/>
              </w:rPr>
              <w:t>类为原则，并进行留证。拆除各类滤清器、玻璃、进排气管、电气设备、轮</w:t>
            </w:r>
            <w:r>
              <w:rPr>
                <w:spacing w:val="4"/>
              </w:rPr>
              <w:t xml:space="preserve"> </w:t>
            </w:r>
            <w:r>
              <w:rPr>
                <w:spacing w:val="3"/>
              </w:rPr>
              <w:t>胎履带等行走装置、含金属铜、铝、铁等能有效回收的部件、各种塑料件、</w:t>
            </w:r>
            <w:r>
              <w:rPr>
                <w:spacing w:val="4"/>
              </w:rPr>
              <w:t xml:space="preserve"> </w:t>
            </w:r>
            <w:r>
              <w:rPr>
                <w:spacing w:val="-1"/>
              </w:rPr>
              <w:t>橡胶制品部件、拆解有关总成和其他零部件。</w:t>
            </w:r>
          </w:p>
          <w:p w14:paraId="69D19B15">
            <w:pPr>
              <w:pStyle w:val="6"/>
              <w:spacing w:before="35" w:line="219" w:lineRule="auto"/>
              <w:ind w:left="582"/>
            </w:pPr>
            <w:r>
              <w:rPr>
                <w:spacing w:val="3"/>
              </w:rPr>
              <w:t>视局部结构与可拆性的差异，分别用等离子切割、小型工具进行解体；</w:t>
            </w:r>
          </w:p>
        </w:tc>
      </w:tr>
    </w:tbl>
    <w:p w14:paraId="1D5AF29C">
      <w:pPr>
        <w:pStyle w:val="2"/>
        <w:spacing w:line="218" w:lineRule="exact"/>
        <w:rPr>
          <w:sz w:val="18"/>
        </w:rPr>
      </w:pPr>
    </w:p>
    <w:p w14:paraId="2BEEF8FB">
      <w:pPr>
        <w:spacing w:line="218" w:lineRule="exact"/>
        <w:rPr>
          <w:sz w:val="18"/>
          <w:szCs w:val="18"/>
        </w:rPr>
        <w:sectPr>
          <w:footerReference r:id="rId52" w:type="default"/>
          <w:pgSz w:w="11906" w:h="16839"/>
          <w:pgMar w:top="1270" w:right="1488" w:bottom="1263" w:left="1487" w:header="0" w:footer="1097" w:gutter="0"/>
          <w:cols w:space="720" w:num="1"/>
        </w:sectPr>
      </w:pPr>
    </w:p>
    <w:tbl>
      <w:tblPr>
        <w:tblStyle w:val="5"/>
        <w:tblW w:w="8904"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664"/>
        <w:gridCol w:w="8240"/>
      </w:tblGrid>
      <w:tr w14:paraId="3508C553">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9783" w:hRule="atLeast"/>
        </w:trPr>
        <w:tc>
          <w:tcPr>
            <w:tcW w:w="664" w:type="dxa"/>
            <w:tcBorders>
              <w:bottom w:val="single" w:color="000000" w:sz="2" w:space="0"/>
              <w:right w:val="single" w:color="000000" w:sz="2" w:space="0"/>
            </w:tcBorders>
            <w:vAlign w:val="top"/>
          </w:tcPr>
          <w:p w14:paraId="3BFF3482">
            <w:pPr>
              <w:rPr>
                <w:rFonts w:ascii="Arial"/>
                <w:sz w:val="21"/>
              </w:rPr>
            </w:pPr>
          </w:p>
        </w:tc>
        <w:tc>
          <w:tcPr>
            <w:tcW w:w="8240" w:type="dxa"/>
            <w:tcBorders>
              <w:left w:val="single" w:color="000000" w:sz="2" w:space="0"/>
              <w:bottom w:val="single" w:color="000000" w:sz="2" w:space="0"/>
            </w:tcBorders>
            <w:vAlign w:val="top"/>
          </w:tcPr>
          <w:p w14:paraId="079FAFAD">
            <w:pPr>
              <w:pStyle w:val="6"/>
              <w:spacing w:before="100" w:line="219" w:lineRule="auto"/>
              <w:ind w:left="102"/>
            </w:pPr>
            <w:r>
              <w:rPr>
                <w:spacing w:val="-1"/>
              </w:rPr>
              <w:t>对尺寸较大或较占空间的拆解件，用切割机切断。</w:t>
            </w:r>
          </w:p>
          <w:p w14:paraId="0A1C0CBE">
            <w:pPr>
              <w:pStyle w:val="6"/>
              <w:spacing w:before="184" w:line="217" w:lineRule="auto"/>
              <w:ind w:left="581"/>
            </w:pPr>
            <w:r>
              <w:rPr>
                <w:spacing w:val="-1"/>
              </w:rPr>
              <w:t>⑤拆解物归类和存储</w:t>
            </w:r>
          </w:p>
          <w:p w14:paraId="55D4060A">
            <w:pPr>
              <w:pStyle w:val="6"/>
              <w:spacing w:before="185" w:line="360" w:lineRule="auto"/>
              <w:ind w:left="102" w:right="98" w:firstLine="479"/>
            </w:pPr>
            <w:r>
              <w:rPr>
                <w:spacing w:val="3"/>
              </w:rPr>
              <w:t>对以上拆解物进行初步分类存放，定期出售给废旧物资回收公司。拆解</w:t>
            </w:r>
            <w:r>
              <w:rPr>
                <w:spacing w:val="10"/>
              </w:rPr>
              <w:t xml:space="preserve"> </w:t>
            </w:r>
            <w:r>
              <w:rPr>
                <w:spacing w:val="3"/>
              </w:rPr>
              <w:t>物主要为废旧钢材（钢、铸钢）、废铜铝等有色金属、橡胶（主要是废履带</w:t>
            </w:r>
            <w:r>
              <w:rPr>
                <w:spacing w:val="4"/>
              </w:rPr>
              <w:t xml:space="preserve"> </w:t>
            </w:r>
            <w:r>
              <w:t>橡胶板、轮胎）、塑料类、碎电线、玻璃钢、电子电</w:t>
            </w:r>
            <w:r>
              <w:rPr>
                <w:spacing w:val="-1"/>
              </w:rPr>
              <w:t>器产品</w:t>
            </w:r>
            <w:r>
              <w:rPr>
                <w:rFonts w:ascii="Calibri" w:hAnsi="Calibri" w:eastAsia="Calibri" w:cs="Calibri"/>
                <w:spacing w:val="-1"/>
              </w:rPr>
              <w:t>/</w:t>
            </w:r>
            <w:r>
              <w:rPr>
                <w:spacing w:val="-1"/>
              </w:rPr>
              <w:t>元器件等。</w:t>
            </w:r>
          </w:p>
          <w:p w14:paraId="7C8654FE">
            <w:pPr>
              <w:pStyle w:val="6"/>
              <w:spacing w:line="220" w:lineRule="auto"/>
              <w:ind w:left="595"/>
            </w:pPr>
            <w:r>
              <w:rPr>
                <w:spacing w:val="-3"/>
              </w:rPr>
              <w:t>（二）主要污染工序</w:t>
            </w:r>
          </w:p>
          <w:p w14:paraId="4D98A534">
            <w:pPr>
              <w:pStyle w:val="6"/>
              <w:spacing w:before="180" w:line="330" w:lineRule="auto"/>
              <w:ind w:left="102" w:right="98" w:firstLine="480"/>
            </w:pPr>
            <w:r>
              <w:rPr>
                <w:spacing w:val="3"/>
              </w:rPr>
              <w:t>根据本项目的工程概况和工艺特点，其主要污染源及污染因子识别见下</w:t>
            </w:r>
            <w:r>
              <w:rPr>
                <w:spacing w:val="9"/>
              </w:rPr>
              <w:t xml:space="preserve"> </w:t>
            </w:r>
            <w:r>
              <w:rPr>
                <w:spacing w:val="-5"/>
              </w:rPr>
              <w:t>表。</w:t>
            </w:r>
          </w:p>
          <w:p w14:paraId="08480BE4">
            <w:pPr>
              <w:pStyle w:val="6"/>
              <w:spacing w:before="1" w:line="211" w:lineRule="auto"/>
              <w:ind w:left="2123"/>
            </w:pPr>
            <w:r>
              <w:rPr>
                <w:b/>
                <w:bCs/>
                <w:spacing w:val="-2"/>
              </w:rPr>
              <w:t>表</w:t>
            </w:r>
            <w:r>
              <w:rPr>
                <w:spacing w:val="-46"/>
              </w:rPr>
              <w:t xml:space="preserve"> </w:t>
            </w:r>
            <w:r>
              <w:rPr>
                <w:rFonts w:ascii="Times New Roman" w:hAnsi="Times New Roman" w:eastAsia="Times New Roman" w:cs="Times New Roman"/>
                <w:b/>
                <w:bCs/>
                <w:spacing w:val="-2"/>
              </w:rPr>
              <w:t xml:space="preserve">2-5        </w:t>
            </w:r>
            <w:r>
              <w:rPr>
                <w:b/>
                <w:bCs/>
                <w:spacing w:val="-2"/>
              </w:rPr>
              <w:t>主要污染源及污染因子识别</w:t>
            </w:r>
          </w:p>
          <w:tbl>
            <w:tblPr>
              <w:tblStyle w:val="5"/>
              <w:tblW w:w="8033" w:type="dxa"/>
              <w:tblInd w:w="95"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64"/>
              <w:gridCol w:w="680"/>
              <w:gridCol w:w="1143"/>
              <w:gridCol w:w="2881"/>
              <w:gridCol w:w="2765"/>
            </w:tblGrid>
            <w:tr w14:paraId="2CC4FC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244" w:type="dxa"/>
                  <w:gridSpan w:val="2"/>
                  <w:tcBorders>
                    <w:top w:val="single" w:color="000000" w:sz="10" w:space="0"/>
                    <w:left w:val="nil"/>
                  </w:tcBorders>
                  <w:vAlign w:val="top"/>
                </w:tcPr>
                <w:p w14:paraId="14062578">
                  <w:pPr>
                    <w:pStyle w:val="6"/>
                    <w:spacing w:before="56" w:line="228" w:lineRule="auto"/>
                    <w:ind w:left="419"/>
                    <w:rPr>
                      <w:sz w:val="20"/>
                      <w:szCs w:val="20"/>
                    </w:rPr>
                  </w:pPr>
                  <w:r>
                    <w:rPr>
                      <w:b/>
                      <w:bCs/>
                      <w:spacing w:val="3"/>
                      <w:sz w:val="20"/>
                      <w:szCs w:val="20"/>
                    </w:rPr>
                    <w:t>类型</w:t>
                  </w:r>
                </w:p>
              </w:tc>
              <w:tc>
                <w:tcPr>
                  <w:tcW w:w="1143" w:type="dxa"/>
                  <w:tcBorders>
                    <w:top w:val="single" w:color="000000" w:sz="10" w:space="0"/>
                  </w:tcBorders>
                  <w:vAlign w:val="top"/>
                </w:tcPr>
                <w:p w14:paraId="472AF80E">
                  <w:pPr>
                    <w:pStyle w:val="6"/>
                    <w:spacing w:before="57" w:line="228" w:lineRule="auto"/>
                    <w:ind w:left="156"/>
                    <w:rPr>
                      <w:sz w:val="20"/>
                      <w:szCs w:val="20"/>
                    </w:rPr>
                  </w:pPr>
                  <w:r>
                    <w:rPr>
                      <w:b/>
                      <w:bCs/>
                      <w:spacing w:val="6"/>
                      <w:sz w:val="20"/>
                      <w:szCs w:val="20"/>
                    </w:rPr>
                    <w:t>污染工序</w:t>
                  </w:r>
                </w:p>
              </w:tc>
              <w:tc>
                <w:tcPr>
                  <w:tcW w:w="2881" w:type="dxa"/>
                  <w:tcBorders>
                    <w:top w:val="single" w:color="000000" w:sz="10" w:space="0"/>
                  </w:tcBorders>
                  <w:vAlign w:val="top"/>
                </w:tcPr>
                <w:p w14:paraId="4A85B221">
                  <w:pPr>
                    <w:pStyle w:val="6"/>
                    <w:spacing w:before="57" w:line="228" w:lineRule="auto"/>
                    <w:ind w:left="919"/>
                    <w:rPr>
                      <w:sz w:val="20"/>
                      <w:szCs w:val="20"/>
                    </w:rPr>
                  </w:pPr>
                  <w:r>
                    <w:rPr>
                      <w:b/>
                      <w:bCs/>
                      <w:spacing w:val="6"/>
                      <w:sz w:val="20"/>
                      <w:szCs w:val="20"/>
                    </w:rPr>
                    <w:t>主要污染物</w:t>
                  </w:r>
                </w:p>
              </w:tc>
              <w:tc>
                <w:tcPr>
                  <w:tcW w:w="2765" w:type="dxa"/>
                  <w:tcBorders>
                    <w:top w:val="single" w:color="000000" w:sz="10" w:space="0"/>
                    <w:right w:val="nil"/>
                  </w:tcBorders>
                  <w:vAlign w:val="top"/>
                </w:tcPr>
                <w:p w14:paraId="647071CF">
                  <w:pPr>
                    <w:pStyle w:val="6"/>
                    <w:spacing w:before="57" w:line="228" w:lineRule="auto"/>
                    <w:ind w:left="971"/>
                    <w:rPr>
                      <w:sz w:val="20"/>
                      <w:szCs w:val="20"/>
                    </w:rPr>
                  </w:pPr>
                  <w:r>
                    <w:rPr>
                      <w:b/>
                      <w:bCs/>
                      <w:spacing w:val="5"/>
                      <w:sz w:val="20"/>
                      <w:szCs w:val="20"/>
                    </w:rPr>
                    <w:t>治理措施</w:t>
                  </w:r>
                </w:p>
              </w:tc>
            </w:tr>
            <w:tr w14:paraId="53BE8C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564" w:type="dxa"/>
                  <w:vMerge w:val="restart"/>
                  <w:tcBorders>
                    <w:left w:val="nil"/>
                    <w:bottom w:val="nil"/>
                  </w:tcBorders>
                  <w:textDirection w:val="tbRlV"/>
                  <w:vAlign w:val="top"/>
                </w:tcPr>
                <w:p w14:paraId="0A653223">
                  <w:pPr>
                    <w:pStyle w:val="6"/>
                    <w:spacing w:before="176" w:line="216" w:lineRule="auto"/>
                    <w:ind w:left="2273"/>
                    <w:rPr>
                      <w:sz w:val="20"/>
                      <w:szCs w:val="20"/>
                    </w:rPr>
                  </w:pPr>
                  <w:r>
                    <w:rPr>
                      <w:spacing w:val="6"/>
                      <w:sz w:val="20"/>
                      <w:szCs w:val="20"/>
                    </w:rPr>
                    <w:t>运 营 期</w:t>
                  </w:r>
                </w:p>
              </w:tc>
              <w:tc>
                <w:tcPr>
                  <w:tcW w:w="680" w:type="dxa"/>
                  <w:vMerge w:val="restart"/>
                  <w:tcBorders>
                    <w:bottom w:val="nil"/>
                  </w:tcBorders>
                  <w:vAlign w:val="top"/>
                </w:tcPr>
                <w:p w14:paraId="4CCABEAB">
                  <w:pPr>
                    <w:spacing w:line="257" w:lineRule="auto"/>
                    <w:rPr>
                      <w:rFonts w:ascii="Arial"/>
                      <w:sz w:val="21"/>
                    </w:rPr>
                  </w:pPr>
                </w:p>
                <w:p w14:paraId="3C5D0955">
                  <w:pPr>
                    <w:spacing w:line="257" w:lineRule="auto"/>
                    <w:rPr>
                      <w:rFonts w:ascii="Arial"/>
                      <w:sz w:val="21"/>
                    </w:rPr>
                  </w:pPr>
                </w:p>
                <w:p w14:paraId="3BA8EDD1">
                  <w:pPr>
                    <w:spacing w:line="258" w:lineRule="auto"/>
                    <w:rPr>
                      <w:rFonts w:ascii="Arial"/>
                      <w:sz w:val="21"/>
                    </w:rPr>
                  </w:pPr>
                </w:p>
                <w:p w14:paraId="036371C1">
                  <w:pPr>
                    <w:pStyle w:val="6"/>
                    <w:spacing w:before="65" w:line="228" w:lineRule="auto"/>
                    <w:ind w:left="135"/>
                    <w:rPr>
                      <w:sz w:val="20"/>
                      <w:szCs w:val="20"/>
                    </w:rPr>
                  </w:pPr>
                  <w:r>
                    <w:rPr>
                      <w:spacing w:val="5"/>
                      <w:sz w:val="20"/>
                      <w:szCs w:val="20"/>
                    </w:rPr>
                    <w:t>废气</w:t>
                  </w:r>
                </w:p>
              </w:tc>
              <w:tc>
                <w:tcPr>
                  <w:tcW w:w="1143" w:type="dxa"/>
                  <w:vAlign w:val="top"/>
                </w:tcPr>
                <w:p w14:paraId="0E5B343F">
                  <w:pPr>
                    <w:pStyle w:val="6"/>
                    <w:spacing w:before="52" w:line="261" w:lineRule="auto"/>
                    <w:ind w:left="472" w:right="151" w:hanging="314"/>
                    <w:rPr>
                      <w:sz w:val="20"/>
                      <w:szCs w:val="20"/>
                    </w:rPr>
                  </w:pPr>
                  <w:r>
                    <w:rPr>
                      <w:spacing w:val="6"/>
                      <w:sz w:val="20"/>
                      <w:szCs w:val="20"/>
                    </w:rPr>
                    <w:t>等离子切</w:t>
                  </w:r>
                  <w:r>
                    <w:rPr>
                      <w:spacing w:val="2"/>
                      <w:sz w:val="20"/>
                      <w:szCs w:val="20"/>
                    </w:rPr>
                    <w:t xml:space="preserve"> </w:t>
                  </w:r>
                  <w:r>
                    <w:rPr>
                      <w:sz w:val="20"/>
                      <w:szCs w:val="20"/>
                    </w:rPr>
                    <w:t>割</w:t>
                  </w:r>
                </w:p>
              </w:tc>
              <w:tc>
                <w:tcPr>
                  <w:tcW w:w="2881" w:type="dxa"/>
                  <w:vAlign w:val="top"/>
                </w:tcPr>
                <w:p w14:paraId="48C60886">
                  <w:pPr>
                    <w:pStyle w:val="6"/>
                    <w:spacing w:before="208" w:line="228" w:lineRule="auto"/>
                    <w:ind w:left="1130"/>
                    <w:rPr>
                      <w:sz w:val="20"/>
                      <w:szCs w:val="20"/>
                    </w:rPr>
                  </w:pPr>
                  <w:r>
                    <w:rPr>
                      <w:spacing w:val="7"/>
                      <w:sz w:val="20"/>
                      <w:szCs w:val="20"/>
                    </w:rPr>
                    <w:t>颗粒物</w:t>
                  </w:r>
                </w:p>
              </w:tc>
              <w:tc>
                <w:tcPr>
                  <w:tcW w:w="2765" w:type="dxa"/>
                  <w:tcBorders>
                    <w:right w:val="nil"/>
                  </w:tcBorders>
                  <w:vAlign w:val="top"/>
                </w:tcPr>
                <w:p w14:paraId="176EFBA3">
                  <w:pPr>
                    <w:pStyle w:val="6"/>
                    <w:spacing w:before="52" w:line="261" w:lineRule="auto"/>
                    <w:ind w:left="1072" w:right="109" w:hanging="960"/>
                    <w:rPr>
                      <w:sz w:val="20"/>
                      <w:szCs w:val="20"/>
                    </w:rPr>
                  </w:pPr>
                  <w:r>
                    <w:rPr>
                      <w:spacing w:val="7"/>
                      <w:sz w:val="20"/>
                      <w:szCs w:val="20"/>
                    </w:rPr>
                    <w:t>集气罩</w:t>
                  </w:r>
                  <w:r>
                    <w:rPr>
                      <w:rFonts w:ascii="Times New Roman" w:hAnsi="Times New Roman" w:eastAsia="Times New Roman" w:cs="Times New Roman"/>
                      <w:spacing w:val="7"/>
                      <w:sz w:val="20"/>
                      <w:szCs w:val="20"/>
                    </w:rPr>
                    <w:t>+</w:t>
                  </w:r>
                  <w:r>
                    <w:rPr>
                      <w:spacing w:val="7"/>
                      <w:sz w:val="20"/>
                      <w:szCs w:val="20"/>
                    </w:rPr>
                    <w:t>布袋除尘器</w:t>
                  </w:r>
                  <w:r>
                    <w:rPr>
                      <w:rFonts w:ascii="Times New Roman" w:hAnsi="Times New Roman" w:eastAsia="Times New Roman" w:cs="Times New Roman"/>
                      <w:spacing w:val="7"/>
                      <w:sz w:val="20"/>
                      <w:szCs w:val="20"/>
                    </w:rPr>
                    <w:t xml:space="preserve">+15m </w:t>
                  </w:r>
                  <w:r>
                    <w:rPr>
                      <w:spacing w:val="7"/>
                      <w:sz w:val="20"/>
                      <w:szCs w:val="20"/>
                    </w:rPr>
                    <w:t>高</w:t>
                  </w:r>
                  <w:r>
                    <w:rPr>
                      <w:spacing w:val="3"/>
                      <w:sz w:val="20"/>
                      <w:szCs w:val="20"/>
                    </w:rPr>
                    <w:t xml:space="preserve"> </w:t>
                  </w:r>
                  <w:r>
                    <w:rPr>
                      <w:spacing w:val="6"/>
                      <w:sz w:val="20"/>
                      <w:szCs w:val="20"/>
                    </w:rPr>
                    <w:t>排气筒</w:t>
                  </w:r>
                </w:p>
              </w:tc>
            </w:tr>
            <w:tr w14:paraId="6CA3AA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564" w:type="dxa"/>
                  <w:vMerge w:val="continue"/>
                  <w:tcBorders>
                    <w:top w:val="nil"/>
                    <w:left w:val="nil"/>
                    <w:bottom w:val="nil"/>
                  </w:tcBorders>
                  <w:textDirection w:val="tbRlV"/>
                  <w:vAlign w:val="top"/>
                </w:tcPr>
                <w:p w14:paraId="07EA5F1A">
                  <w:pPr>
                    <w:rPr>
                      <w:rFonts w:ascii="Arial"/>
                      <w:sz w:val="21"/>
                    </w:rPr>
                  </w:pPr>
                </w:p>
              </w:tc>
              <w:tc>
                <w:tcPr>
                  <w:tcW w:w="680" w:type="dxa"/>
                  <w:vMerge w:val="continue"/>
                  <w:tcBorders>
                    <w:top w:val="nil"/>
                    <w:bottom w:val="nil"/>
                  </w:tcBorders>
                  <w:vAlign w:val="top"/>
                </w:tcPr>
                <w:p w14:paraId="1BCA2E9E">
                  <w:pPr>
                    <w:rPr>
                      <w:rFonts w:ascii="Arial"/>
                      <w:sz w:val="21"/>
                    </w:rPr>
                  </w:pPr>
                </w:p>
              </w:tc>
              <w:tc>
                <w:tcPr>
                  <w:tcW w:w="1143" w:type="dxa"/>
                  <w:vAlign w:val="top"/>
                </w:tcPr>
                <w:p w14:paraId="05030F1C">
                  <w:pPr>
                    <w:pStyle w:val="6"/>
                    <w:spacing w:before="53" w:line="261" w:lineRule="auto"/>
                    <w:ind w:left="472" w:right="151" w:hanging="295"/>
                    <w:rPr>
                      <w:sz w:val="20"/>
                      <w:szCs w:val="20"/>
                    </w:rPr>
                  </w:pPr>
                  <w:r>
                    <w:rPr>
                      <w:spacing w:val="2"/>
                      <w:sz w:val="20"/>
                      <w:szCs w:val="20"/>
                    </w:rPr>
                    <w:t>回收废油</w:t>
                  </w:r>
                  <w:r>
                    <w:rPr>
                      <w:sz w:val="20"/>
                      <w:szCs w:val="20"/>
                    </w:rPr>
                    <w:t xml:space="preserve"> 液</w:t>
                  </w:r>
                </w:p>
              </w:tc>
              <w:tc>
                <w:tcPr>
                  <w:tcW w:w="2881" w:type="dxa"/>
                  <w:vAlign w:val="top"/>
                </w:tcPr>
                <w:p w14:paraId="007F354F">
                  <w:pPr>
                    <w:pStyle w:val="6"/>
                    <w:spacing w:before="209" w:line="228" w:lineRule="auto"/>
                    <w:ind w:left="923"/>
                    <w:rPr>
                      <w:sz w:val="20"/>
                      <w:szCs w:val="20"/>
                    </w:rPr>
                  </w:pPr>
                  <w:r>
                    <w:rPr>
                      <w:spacing w:val="7"/>
                      <w:sz w:val="20"/>
                      <w:szCs w:val="20"/>
                    </w:rPr>
                    <w:t>非甲烷总烃</w:t>
                  </w:r>
                </w:p>
              </w:tc>
              <w:tc>
                <w:tcPr>
                  <w:tcW w:w="2765" w:type="dxa"/>
                  <w:tcBorders>
                    <w:right w:val="nil"/>
                  </w:tcBorders>
                  <w:vAlign w:val="top"/>
                </w:tcPr>
                <w:p w14:paraId="5C880C07">
                  <w:pPr>
                    <w:pStyle w:val="6"/>
                    <w:spacing w:before="53" w:line="261" w:lineRule="auto"/>
                    <w:ind w:left="1072" w:right="109" w:hanging="960"/>
                    <w:rPr>
                      <w:sz w:val="20"/>
                      <w:szCs w:val="20"/>
                    </w:rPr>
                  </w:pPr>
                  <w:r>
                    <w:rPr>
                      <w:spacing w:val="7"/>
                      <w:sz w:val="20"/>
                      <w:szCs w:val="20"/>
                    </w:rPr>
                    <w:t>集气罩</w:t>
                  </w:r>
                  <w:r>
                    <w:rPr>
                      <w:rFonts w:ascii="Times New Roman" w:hAnsi="Times New Roman" w:eastAsia="Times New Roman" w:cs="Times New Roman"/>
                      <w:spacing w:val="7"/>
                      <w:sz w:val="20"/>
                      <w:szCs w:val="20"/>
                    </w:rPr>
                    <w:t>+</w:t>
                  </w:r>
                  <w:r>
                    <w:rPr>
                      <w:spacing w:val="7"/>
                      <w:sz w:val="20"/>
                      <w:szCs w:val="20"/>
                    </w:rPr>
                    <w:t>活性炭吸附</w:t>
                  </w:r>
                  <w:r>
                    <w:rPr>
                      <w:rFonts w:ascii="Times New Roman" w:hAnsi="Times New Roman" w:eastAsia="Times New Roman" w:cs="Times New Roman"/>
                      <w:spacing w:val="7"/>
                      <w:sz w:val="20"/>
                      <w:szCs w:val="20"/>
                    </w:rPr>
                    <w:t xml:space="preserve">+15m </w:t>
                  </w:r>
                  <w:r>
                    <w:rPr>
                      <w:spacing w:val="7"/>
                      <w:sz w:val="20"/>
                      <w:szCs w:val="20"/>
                    </w:rPr>
                    <w:t>高</w:t>
                  </w:r>
                  <w:r>
                    <w:rPr>
                      <w:spacing w:val="3"/>
                      <w:sz w:val="20"/>
                      <w:szCs w:val="20"/>
                    </w:rPr>
                    <w:t xml:space="preserve"> </w:t>
                  </w:r>
                  <w:r>
                    <w:rPr>
                      <w:spacing w:val="6"/>
                      <w:sz w:val="20"/>
                      <w:szCs w:val="20"/>
                    </w:rPr>
                    <w:t>排气筒</w:t>
                  </w:r>
                </w:p>
              </w:tc>
            </w:tr>
            <w:tr w14:paraId="0370E3C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564" w:type="dxa"/>
                  <w:vMerge w:val="continue"/>
                  <w:tcBorders>
                    <w:top w:val="nil"/>
                    <w:left w:val="nil"/>
                    <w:bottom w:val="nil"/>
                  </w:tcBorders>
                  <w:textDirection w:val="tbRlV"/>
                  <w:vAlign w:val="top"/>
                </w:tcPr>
                <w:p w14:paraId="307E0637">
                  <w:pPr>
                    <w:rPr>
                      <w:rFonts w:ascii="Arial"/>
                      <w:sz w:val="21"/>
                    </w:rPr>
                  </w:pPr>
                </w:p>
              </w:tc>
              <w:tc>
                <w:tcPr>
                  <w:tcW w:w="680" w:type="dxa"/>
                  <w:vMerge w:val="continue"/>
                  <w:tcBorders>
                    <w:top w:val="nil"/>
                  </w:tcBorders>
                  <w:vAlign w:val="top"/>
                </w:tcPr>
                <w:p w14:paraId="0B7C9A47">
                  <w:pPr>
                    <w:rPr>
                      <w:rFonts w:ascii="Arial"/>
                      <w:sz w:val="21"/>
                    </w:rPr>
                  </w:pPr>
                </w:p>
              </w:tc>
              <w:tc>
                <w:tcPr>
                  <w:tcW w:w="1143" w:type="dxa"/>
                  <w:vAlign w:val="top"/>
                </w:tcPr>
                <w:p w14:paraId="7731C5C2">
                  <w:pPr>
                    <w:pStyle w:val="6"/>
                    <w:spacing w:before="51" w:line="262" w:lineRule="auto"/>
                    <w:ind w:left="158" w:right="151" w:firstLine="19"/>
                    <w:rPr>
                      <w:sz w:val="20"/>
                      <w:szCs w:val="20"/>
                    </w:rPr>
                  </w:pPr>
                  <w:r>
                    <w:rPr>
                      <w:spacing w:val="2"/>
                      <w:sz w:val="20"/>
                      <w:szCs w:val="20"/>
                    </w:rPr>
                    <w:t>回收废铅</w:t>
                  </w:r>
                  <w:r>
                    <w:rPr>
                      <w:sz w:val="20"/>
                      <w:szCs w:val="20"/>
                    </w:rPr>
                    <w:t xml:space="preserve"> </w:t>
                  </w:r>
                  <w:r>
                    <w:rPr>
                      <w:spacing w:val="7"/>
                      <w:sz w:val="20"/>
                      <w:szCs w:val="20"/>
                    </w:rPr>
                    <w:t>酸蓄电池</w:t>
                  </w:r>
                </w:p>
              </w:tc>
              <w:tc>
                <w:tcPr>
                  <w:tcW w:w="2881" w:type="dxa"/>
                  <w:vAlign w:val="top"/>
                </w:tcPr>
                <w:p w14:paraId="004449D3">
                  <w:pPr>
                    <w:pStyle w:val="6"/>
                    <w:spacing w:before="207" w:line="229" w:lineRule="auto"/>
                    <w:ind w:left="1130"/>
                    <w:rPr>
                      <w:sz w:val="20"/>
                      <w:szCs w:val="20"/>
                    </w:rPr>
                  </w:pPr>
                  <w:r>
                    <w:rPr>
                      <w:spacing w:val="7"/>
                      <w:sz w:val="20"/>
                      <w:szCs w:val="20"/>
                    </w:rPr>
                    <w:t>硫酸雾</w:t>
                  </w:r>
                </w:p>
              </w:tc>
              <w:tc>
                <w:tcPr>
                  <w:tcW w:w="2765" w:type="dxa"/>
                  <w:tcBorders>
                    <w:right w:val="nil"/>
                  </w:tcBorders>
                  <w:vAlign w:val="top"/>
                </w:tcPr>
                <w:p w14:paraId="7CEA5921">
                  <w:pPr>
                    <w:pStyle w:val="6"/>
                    <w:spacing w:before="51" w:line="262" w:lineRule="auto"/>
                    <w:ind w:left="1072" w:right="109" w:hanging="960"/>
                    <w:rPr>
                      <w:sz w:val="20"/>
                      <w:szCs w:val="20"/>
                    </w:rPr>
                  </w:pPr>
                  <w:r>
                    <w:rPr>
                      <w:spacing w:val="7"/>
                      <w:sz w:val="20"/>
                      <w:szCs w:val="20"/>
                    </w:rPr>
                    <w:t>集气罩</w:t>
                  </w:r>
                  <w:r>
                    <w:rPr>
                      <w:rFonts w:ascii="Times New Roman" w:hAnsi="Times New Roman" w:eastAsia="Times New Roman" w:cs="Times New Roman"/>
                      <w:spacing w:val="7"/>
                      <w:sz w:val="20"/>
                      <w:szCs w:val="20"/>
                    </w:rPr>
                    <w:t>+</w:t>
                  </w:r>
                  <w:r>
                    <w:rPr>
                      <w:spacing w:val="7"/>
                      <w:sz w:val="20"/>
                      <w:szCs w:val="20"/>
                    </w:rPr>
                    <w:t>活性炭吸附</w:t>
                  </w:r>
                  <w:r>
                    <w:rPr>
                      <w:rFonts w:ascii="Times New Roman" w:hAnsi="Times New Roman" w:eastAsia="Times New Roman" w:cs="Times New Roman"/>
                      <w:spacing w:val="7"/>
                      <w:sz w:val="20"/>
                      <w:szCs w:val="20"/>
                    </w:rPr>
                    <w:t xml:space="preserve">+15m </w:t>
                  </w:r>
                  <w:r>
                    <w:rPr>
                      <w:spacing w:val="7"/>
                      <w:sz w:val="20"/>
                      <w:szCs w:val="20"/>
                    </w:rPr>
                    <w:t>高</w:t>
                  </w:r>
                  <w:r>
                    <w:rPr>
                      <w:spacing w:val="3"/>
                      <w:sz w:val="20"/>
                      <w:szCs w:val="20"/>
                    </w:rPr>
                    <w:t xml:space="preserve"> </w:t>
                  </w:r>
                  <w:r>
                    <w:rPr>
                      <w:spacing w:val="6"/>
                      <w:sz w:val="20"/>
                      <w:szCs w:val="20"/>
                    </w:rPr>
                    <w:t>排气筒</w:t>
                  </w:r>
                </w:p>
              </w:tc>
            </w:tr>
            <w:tr w14:paraId="27BC35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564" w:type="dxa"/>
                  <w:vMerge w:val="continue"/>
                  <w:tcBorders>
                    <w:top w:val="nil"/>
                    <w:left w:val="nil"/>
                    <w:bottom w:val="nil"/>
                  </w:tcBorders>
                  <w:textDirection w:val="tbRlV"/>
                  <w:vAlign w:val="top"/>
                </w:tcPr>
                <w:p w14:paraId="2D502A41">
                  <w:pPr>
                    <w:rPr>
                      <w:rFonts w:ascii="Arial"/>
                      <w:sz w:val="21"/>
                    </w:rPr>
                  </w:pPr>
                </w:p>
              </w:tc>
              <w:tc>
                <w:tcPr>
                  <w:tcW w:w="680" w:type="dxa"/>
                  <w:vAlign w:val="top"/>
                </w:tcPr>
                <w:p w14:paraId="04683158">
                  <w:pPr>
                    <w:pStyle w:val="6"/>
                    <w:spacing w:before="206" w:line="228" w:lineRule="auto"/>
                    <w:ind w:left="135"/>
                    <w:rPr>
                      <w:sz w:val="20"/>
                      <w:szCs w:val="20"/>
                    </w:rPr>
                  </w:pPr>
                  <w:r>
                    <w:rPr>
                      <w:spacing w:val="5"/>
                      <w:sz w:val="20"/>
                      <w:szCs w:val="20"/>
                    </w:rPr>
                    <w:t>废水</w:t>
                  </w:r>
                </w:p>
              </w:tc>
              <w:tc>
                <w:tcPr>
                  <w:tcW w:w="1143" w:type="dxa"/>
                  <w:vAlign w:val="top"/>
                </w:tcPr>
                <w:p w14:paraId="204DF1E5">
                  <w:pPr>
                    <w:pStyle w:val="6"/>
                    <w:spacing w:before="207" w:line="228" w:lineRule="auto"/>
                    <w:ind w:left="165"/>
                    <w:rPr>
                      <w:sz w:val="20"/>
                      <w:szCs w:val="20"/>
                    </w:rPr>
                  </w:pPr>
                  <w:r>
                    <w:rPr>
                      <w:spacing w:val="5"/>
                      <w:sz w:val="20"/>
                      <w:szCs w:val="20"/>
                    </w:rPr>
                    <w:t>员工生活</w:t>
                  </w:r>
                </w:p>
              </w:tc>
              <w:tc>
                <w:tcPr>
                  <w:tcW w:w="2881" w:type="dxa"/>
                  <w:vAlign w:val="top"/>
                </w:tcPr>
                <w:p w14:paraId="222436B3">
                  <w:pPr>
                    <w:pStyle w:val="6"/>
                    <w:spacing w:before="206" w:line="228" w:lineRule="auto"/>
                    <w:ind w:left="1027"/>
                    <w:rPr>
                      <w:sz w:val="20"/>
                      <w:szCs w:val="20"/>
                    </w:rPr>
                  </w:pPr>
                  <w:r>
                    <w:rPr>
                      <w:spacing w:val="6"/>
                      <w:sz w:val="20"/>
                      <w:szCs w:val="20"/>
                    </w:rPr>
                    <w:t>生活污水</w:t>
                  </w:r>
                </w:p>
              </w:tc>
              <w:tc>
                <w:tcPr>
                  <w:tcW w:w="2765" w:type="dxa"/>
                  <w:tcBorders>
                    <w:right w:val="nil"/>
                  </w:tcBorders>
                  <w:vAlign w:val="top"/>
                </w:tcPr>
                <w:p w14:paraId="61665C50">
                  <w:pPr>
                    <w:pStyle w:val="6"/>
                    <w:spacing w:before="50" w:line="262" w:lineRule="auto"/>
                    <w:ind w:left="1073" w:right="126" w:hanging="943"/>
                    <w:rPr>
                      <w:sz w:val="20"/>
                      <w:szCs w:val="20"/>
                    </w:rPr>
                  </w:pPr>
                  <w:r>
                    <w:rPr>
                      <w:spacing w:val="8"/>
                      <w:sz w:val="20"/>
                      <w:szCs w:val="20"/>
                    </w:rPr>
                    <w:t>设防渗旱厕，定期清掏制农</w:t>
                  </w:r>
                  <w:r>
                    <w:rPr>
                      <w:spacing w:val="9"/>
                      <w:sz w:val="20"/>
                      <w:szCs w:val="20"/>
                    </w:rPr>
                    <w:t xml:space="preserve"> </w:t>
                  </w:r>
                  <w:r>
                    <w:rPr>
                      <w:spacing w:val="2"/>
                      <w:sz w:val="20"/>
                      <w:szCs w:val="20"/>
                    </w:rPr>
                    <w:t>家肥。</w:t>
                  </w:r>
                </w:p>
              </w:tc>
            </w:tr>
            <w:tr w14:paraId="64249D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564" w:type="dxa"/>
                  <w:vMerge w:val="continue"/>
                  <w:tcBorders>
                    <w:top w:val="nil"/>
                    <w:left w:val="nil"/>
                    <w:bottom w:val="nil"/>
                  </w:tcBorders>
                  <w:textDirection w:val="tbRlV"/>
                  <w:vAlign w:val="top"/>
                </w:tcPr>
                <w:p w14:paraId="228A289C">
                  <w:pPr>
                    <w:rPr>
                      <w:rFonts w:ascii="Arial"/>
                      <w:sz w:val="21"/>
                    </w:rPr>
                  </w:pPr>
                </w:p>
              </w:tc>
              <w:tc>
                <w:tcPr>
                  <w:tcW w:w="680" w:type="dxa"/>
                  <w:vAlign w:val="top"/>
                </w:tcPr>
                <w:p w14:paraId="673CFEAF">
                  <w:pPr>
                    <w:pStyle w:val="6"/>
                    <w:spacing w:before="207" w:line="228" w:lineRule="auto"/>
                    <w:ind w:left="146"/>
                    <w:rPr>
                      <w:sz w:val="20"/>
                      <w:szCs w:val="20"/>
                    </w:rPr>
                  </w:pPr>
                  <w:r>
                    <w:rPr>
                      <w:spacing w:val="-1"/>
                      <w:sz w:val="20"/>
                      <w:szCs w:val="20"/>
                    </w:rPr>
                    <w:t>噪声</w:t>
                  </w:r>
                </w:p>
              </w:tc>
              <w:tc>
                <w:tcPr>
                  <w:tcW w:w="1143" w:type="dxa"/>
                  <w:vAlign w:val="top"/>
                </w:tcPr>
                <w:p w14:paraId="18C56DF9">
                  <w:pPr>
                    <w:pStyle w:val="6"/>
                    <w:spacing w:before="207" w:line="228" w:lineRule="auto"/>
                    <w:ind w:left="160"/>
                    <w:rPr>
                      <w:sz w:val="20"/>
                      <w:szCs w:val="20"/>
                    </w:rPr>
                  </w:pPr>
                  <w:r>
                    <w:rPr>
                      <w:spacing w:val="6"/>
                      <w:sz w:val="20"/>
                      <w:szCs w:val="20"/>
                    </w:rPr>
                    <w:t>设备运行</w:t>
                  </w:r>
                </w:p>
              </w:tc>
              <w:tc>
                <w:tcPr>
                  <w:tcW w:w="2881" w:type="dxa"/>
                  <w:vAlign w:val="top"/>
                </w:tcPr>
                <w:p w14:paraId="13BA649D">
                  <w:pPr>
                    <w:spacing w:before="246" w:line="193" w:lineRule="auto"/>
                    <w:ind w:left="127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Leq</w:t>
                  </w:r>
                </w:p>
              </w:tc>
              <w:tc>
                <w:tcPr>
                  <w:tcW w:w="2765" w:type="dxa"/>
                  <w:tcBorders>
                    <w:right w:val="nil"/>
                  </w:tcBorders>
                  <w:vAlign w:val="top"/>
                </w:tcPr>
                <w:p w14:paraId="49BEBC3C">
                  <w:pPr>
                    <w:pStyle w:val="6"/>
                    <w:spacing w:before="51" w:line="262" w:lineRule="auto"/>
                    <w:ind w:left="341" w:right="126" w:hanging="216"/>
                    <w:rPr>
                      <w:sz w:val="20"/>
                      <w:szCs w:val="20"/>
                    </w:rPr>
                  </w:pPr>
                  <w:r>
                    <w:rPr>
                      <w:spacing w:val="9"/>
                      <w:sz w:val="20"/>
                      <w:szCs w:val="20"/>
                    </w:rPr>
                    <w:t>采用低噪音设备、隔声、消</w:t>
                  </w:r>
                  <w:r>
                    <w:rPr>
                      <w:spacing w:val="1"/>
                      <w:sz w:val="20"/>
                      <w:szCs w:val="20"/>
                    </w:rPr>
                    <w:t xml:space="preserve"> </w:t>
                  </w:r>
                  <w:r>
                    <w:rPr>
                      <w:spacing w:val="8"/>
                      <w:sz w:val="20"/>
                      <w:szCs w:val="20"/>
                    </w:rPr>
                    <w:t>声、基础做减振等措施</w:t>
                  </w:r>
                </w:p>
              </w:tc>
            </w:tr>
            <w:tr w14:paraId="58AA7A5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564" w:type="dxa"/>
                  <w:vMerge w:val="continue"/>
                  <w:tcBorders>
                    <w:top w:val="nil"/>
                    <w:left w:val="nil"/>
                    <w:bottom w:val="nil"/>
                  </w:tcBorders>
                  <w:textDirection w:val="tbRlV"/>
                  <w:vAlign w:val="top"/>
                </w:tcPr>
                <w:p w14:paraId="66F70199">
                  <w:pPr>
                    <w:rPr>
                      <w:rFonts w:ascii="Arial"/>
                      <w:sz w:val="21"/>
                    </w:rPr>
                  </w:pPr>
                </w:p>
              </w:tc>
              <w:tc>
                <w:tcPr>
                  <w:tcW w:w="680" w:type="dxa"/>
                  <w:vMerge w:val="restart"/>
                  <w:tcBorders>
                    <w:bottom w:val="nil"/>
                  </w:tcBorders>
                  <w:vAlign w:val="top"/>
                </w:tcPr>
                <w:p w14:paraId="25FB04B1">
                  <w:pPr>
                    <w:spacing w:line="258" w:lineRule="auto"/>
                    <w:rPr>
                      <w:rFonts w:ascii="Arial"/>
                      <w:sz w:val="21"/>
                    </w:rPr>
                  </w:pPr>
                </w:p>
                <w:p w14:paraId="6E904FE1">
                  <w:pPr>
                    <w:spacing w:line="259" w:lineRule="auto"/>
                    <w:rPr>
                      <w:rFonts w:ascii="Arial"/>
                      <w:sz w:val="21"/>
                    </w:rPr>
                  </w:pPr>
                </w:p>
                <w:p w14:paraId="3B2CBB96">
                  <w:pPr>
                    <w:spacing w:line="259" w:lineRule="auto"/>
                    <w:rPr>
                      <w:rFonts w:ascii="Arial"/>
                      <w:sz w:val="21"/>
                    </w:rPr>
                  </w:pPr>
                </w:p>
                <w:p w14:paraId="390E70E6">
                  <w:pPr>
                    <w:pStyle w:val="6"/>
                    <w:spacing w:before="65" w:line="274" w:lineRule="auto"/>
                    <w:ind w:left="135" w:right="128" w:firstLine="18"/>
                    <w:rPr>
                      <w:sz w:val="20"/>
                      <w:szCs w:val="20"/>
                    </w:rPr>
                  </w:pPr>
                  <w:r>
                    <w:rPr>
                      <w:spacing w:val="-5"/>
                      <w:sz w:val="20"/>
                      <w:szCs w:val="20"/>
                    </w:rPr>
                    <w:t>固体</w:t>
                  </w:r>
                  <w:r>
                    <w:rPr>
                      <w:sz w:val="20"/>
                      <w:szCs w:val="20"/>
                    </w:rPr>
                    <w:t xml:space="preserve"> </w:t>
                  </w:r>
                  <w:r>
                    <w:rPr>
                      <w:spacing w:val="5"/>
                      <w:sz w:val="20"/>
                      <w:szCs w:val="20"/>
                    </w:rPr>
                    <w:t>废物</w:t>
                  </w:r>
                </w:p>
              </w:tc>
              <w:tc>
                <w:tcPr>
                  <w:tcW w:w="1143" w:type="dxa"/>
                  <w:vAlign w:val="top"/>
                </w:tcPr>
                <w:p w14:paraId="2B185C64">
                  <w:pPr>
                    <w:pStyle w:val="6"/>
                    <w:spacing w:before="53" w:line="228" w:lineRule="auto"/>
                    <w:ind w:left="158"/>
                    <w:rPr>
                      <w:sz w:val="20"/>
                      <w:szCs w:val="20"/>
                    </w:rPr>
                  </w:pPr>
                  <w:r>
                    <w:rPr>
                      <w:spacing w:val="7"/>
                      <w:sz w:val="20"/>
                      <w:szCs w:val="20"/>
                    </w:rPr>
                    <w:t>职工生活</w:t>
                  </w:r>
                </w:p>
              </w:tc>
              <w:tc>
                <w:tcPr>
                  <w:tcW w:w="2881" w:type="dxa"/>
                  <w:vAlign w:val="top"/>
                </w:tcPr>
                <w:p w14:paraId="719CFE66">
                  <w:pPr>
                    <w:pStyle w:val="6"/>
                    <w:spacing w:before="53" w:line="228" w:lineRule="auto"/>
                    <w:ind w:left="1027"/>
                    <w:rPr>
                      <w:sz w:val="20"/>
                      <w:szCs w:val="20"/>
                    </w:rPr>
                  </w:pPr>
                  <w:r>
                    <w:rPr>
                      <w:spacing w:val="6"/>
                      <w:sz w:val="20"/>
                      <w:szCs w:val="20"/>
                    </w:rPr>
                    <w:t>生活垃圾</w:t>
                  </w:r>
                </w:p>
              </w:tc>
              <w:tc>
                <w:tcPr>
                  <w:tcW w:w="2765" w:type="dxa"/>
                  <w:tcBorders>
                    <w:right w:val="nil"/>
                  </w:tcBorders>
                  <w:vAlign w:val="top"/>
                </w:tcPr>
                <w:p w14:paraId="529C54E8">
                  <w:pPr>
                    <w:pStyle w:val="6"/>
                    <w:spacing w:before="52" w:line="228" w:lineRule="auto"/>
                    <w:ind w:left="447"/>
                    <w:rPr>
                      <w:sz w:val="20"/>
                      <w:szCs w:val="20"/>
                    </w:rPr>
                  </w:pPr>
                  <w:r>
                    <w:rPr>
                      <w:spacing w:val="8"/>
                      <w:sz w:val="20"/>
                      <w:szCs w:val="20"/>
                    </w:rPr>
                    <w:t>交环卫部门统一处理</w:t>
                  </w:r>
                </w:p>
              </w:tc>
            </w:tr>
            <w:tr w14:paraId="31FFA1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564" w:type="dxa"/>
                  <w:vMerge w:val="continue"/>
                  <w:tcBorders>
                    <w:top w:val="nil"/>
                    <w:left w:val="nil"/>
                    <w:bottom w:val="nil"/>
                  </w:tcBorders>
                  <w:textDirection w:val="tbRlV"/>
                  <w:vAlign w:val="top"/>
                </w:tcPr>
                <w:p w14:paraId="40591B9D">
                  <w:pPr>
                    <w:rPr>
                      <w:rFonts w:ascii="Arial"/>
                      <w:sz w:val="21"/>
                    </w:rPr>
                  </w:pPr>
                </w:p>
              </w:tc>
              <w:tc>
                <w:tcPr>
                  <w:tcW w:w="680" w:type="dxa"/>
                  <w:vMerge w:val="continue"/>
                  <w:tcBorders>
                    <w:top w:val="nil"/>
                    <w:bottom w:val="nil"/>
                  </w:tcBorders>
                  <w:vAlign w:val="top"/>
                </w:tcPr>
                <w:p w14:paraId="5A9C0A99">
                  <w:pPr>
                    <w:rPr>
                      <w:rFonts w:ascii="Arial"/>
                      <w:sz w:val="21"/>
                    </w:rPr>
                  </w:pPr>
                </w:p>
              </w:tc>
              <w:tc>
                <w:tcPr>
                  <w:tcW w:w="1143" w:type="dxa"/>
                  <w:vMerge w:val="restart"/>
                  <w:tcBorders>
                    <w:bottom w:val="nil"/>
                  </w:tcBorders>
                  <w:vAlign w:val="top"/>
                </w:tcPr>
                <w:p w14:paraId="6C04BF44">
                  <w:pPr>
                    <w:spacing w:line="257" w:lineRule="auto"/>
                    <w:rPr>
                      <w:rFonts w:ascii="Arial"/>
                      <w:sz w:val="21"/>
                    </w:rPr>
                  </w:pPr>
                </w:p>
                <w:p w14:paraId="297F4CF2">
                  <w:pPr>
                    <w:spacing w:line="257" w:lineRule="auto"/>
                    <w:rPr>
                      <w:rFonts w:ascii="Arial"/>
                      <w:sz w:val="21"/>
                    </w:rPr>
                  </w:pPr>
                </w:p>
                <w:p w14:paraId="6606C238">
                  <w:pPr>
                    <w:spacing w:line="257" w:lineRule="auto"/>
                    <w:rPr>
                      <w:rFonts w:ascii="Arial"/>
                      <w:sz w:val="21"/>
                    </w:rPr>
                  </w:pPr>
                </w:p>
                <w:p w14:paraId="6583EE74">
                  <w:pPr>
                    <w:pStyle w:val="6"/>
                    <w:spacing w:before="65" w:line="228" w:lineRule="auto"/>
                    <w:ind w:left="157"/>
                    <w:rPr>
                      <w:sz w:val="20"/>
                      <w:szCs w:val="20"/>
                    </w:rPr>
                  </w:pPr>
                  <w:r>
                    <w:rPr>
                      <w:spacing w:val="7"/>
                      <w:sz w:val="20"/>
                      <w:szCs w:val="20"/>
                    </w:rPr>
                    <w:t>拆解车间</w:t>
                  </w:r>
                </w:p>
              </w:tc>
              <w:tc>
                <w:tcPr>
                  <w:tcW w:w="2881" w:type="dxa"/>
                  <w:vAlign w:val="top"/>
                </w:tcPr>
                <w:p w14:paraId="2118D25B">
                  <w:pPr>
                    <w:pStyle w:val="6"/>
                    <w:spacing w:before="53" w:line="261" w:lineRule="auto"/>
                    <w:ind w:left="395" w:right="108" w:hanging="279"/>
                    <w:rPr>
                      <w:sz w:val="20"/>
                      <w:szCs w:val="20"/>
                    </w:rPr>
                  </w:pPr>
                  <w:r>
                    <w:rPr>
                      <w:spacing w:val="3"/>
                      <w:sz w:val="20"/>
                      <w:szCs w:val="20"/>
                    </w:rPr>
                    <w:t>玻璃、废旧轮胎、塑料、密封</w:t>
                  </w:r>
                  <w:r>
                    <w:rPr>
                      <w:spacing w:val="10"/>
                      <w:sz w:val="20"/>
                      <w:szCs w:val="20"/>
                    </w:rPr>
                    <w:t xml:space="preserve"> </w:t>
                  </w:r>
                  <w:r>
                    <w:rPr>
                      <w:spacing w:val="9"/>
                      <w:sz w:val="20"/>
                      <w:szCs w:val="20"/>
                    </w:rPr>
                    <w:t>胶条、金属类一般固废</w:t>
                  </w:r>
                </w:p>
              </w:tc>
              <w:tc>
                <w:tcPr>
                  <w:tcW w:w="2765" w:type="dxa"/>
                  <w:tcBorders>
                    <w:right w:val="nil"/>
                  </w:tcBorders>
                  <w:vAlign w:val="top"/>
                </w:tcPr>
                <w:p w14:paraId="21ADB2B1">
                  <w:pPr>
                    <w:pStyle w:val="6"/>
                    <w:spacing w:before="207" w:line="228" w:lineRule="auto"/>
                    <w:ind w:left="236"/>
                    <w:rPr>
                      <w:sz w:val="20"/>
                      <w:szCs w:val="20"/>
                    </w:rPr>
                  </w:pPr>
                  <w:r>
                    <w:rPr>
                      <w:spacing w:val="8"/>
                      <w:sz w:val="20"/>
                      <w:szCs w:val="20"/>
                    </w:rPr>
                    <w:t>外售给废旧资源回收公司</w:t>
                  </w:r>
                </w:p>
              </w:tc>
            </w:tr>
            <w:tr w14:paraId="4D6345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564" w:type="dxa"/>
                  <w:vMerge w:val="continue"/>
                  <w:tcBorders>
                    <w:top w:val="nil"/>
                    <w:left w:val="nil"/>
                    <w:bottom w:val="nil"/>
                  </w:tcBorders>
                  <w:textDirection w:val="tbRlV"/>
                  <w:vAlign w:val="top"/>
                </w:tcPr>
                <w:p w14:paraId="35F92CD2">
                  <w:pPr>
                    <w:rPr>
                      <w:rFonts w:ascii="Arial"/>
                      <w:sz w:val="21"/>
                    </w:rPr>
                  </w:pPr>
                </w:p>
              </w:tc>
              <w:tc>
                <w:tcPr>
                  <w:tcW w:w="680" w:type="dxa"/>
                  <w:vMerge w:val="continue"/>
                  <w:tcBorders>
                    <w:top w:val="nil"/>
                    <w:bottom w:val="nil"/>
                  </w:tcBorders>
                  <w:vAlign w:val="top"/>
                </w:tcPr>
                <w:p w14:paraId="0427454B">
                  <w:pPr>
                    <w:rPr>
                      <w:rFonts w:ascii="Arial"/>
                      <w:sz w:val="21"/>
                    </w:rPr>
                  </w:pPr>
                </w:p>
              </w:tc>
              <w:tc>
                <w:tcPr>
                  <w:tcW w:w="1143" w:type="dxa"/>
                  <w:vMerge w:val="continue"/>
                  <w:tcBorders>
                    <w:top w:val="nil"/>
                    <w:bottom w:val="nil"/>
                  </w:tcBorders>
                  <w:vAlign w:val="top"/>
                </w:tcPr>
                <w:p w14:paraId="072D96CD">
                  <w:pPr>
                    <w:rPr>
                      <w:rFonts w:ascii="Arial"/>
                      <w:sz w:val="21"/>
                    </w:rPr>
                  </w:pPr>
                </w:p>
              </w:tc>
              <w:tc>
                <w:tcPr>
                  <w:tcW w:w="2881" w:type="dxa"/>
                  <w:vAlign w:val="top"/>
                </w:tcPr>
                <w:p w14:paraId="4D200D24">
                  <w:pPr>
                    <w:pStyle w:val="6"/>
                    <w:spacing w:before="207" w:line="228" w:lineRule="auto"/>
                    <w:ind w:left="495"/>
                    <w:rPr>
                      <w:sz w:val="20"/>
                      <w:szCs w:val="20"/>
                    </w:rPr>
                  </w:pPr>
                  <w:r>
                    <w:rPr>
                      <w:spacing w:val="5"/>
                      <w:sz w:val="20"/>
                      <w:szCs w:val="20"/>
                    </w:rPr>
                    <w:t>电子电器产品</w:t>
                  </w:r>
                  <w:r>
                    <w:rPr>
                      <w:rFonts w:ascii="Times New Roman" w:hAnsi="Times New Roman" w:eastAsia="Times New Roman" w:cs="Times New Roman"/>
                      <w:spacing w:val="5"/>
                      <w:sz w:val="20"/>
                      <w:szCs w:val="20"/>
                    </w:rPr>
                    <w:t>/</w:t>
                  </w:r>
                  <w:r>
                    <w:rPr>
                      <w:spacing w:val="5"/>
                      <w:sz w:val="20"/>
                      <w:szCs w:val="20"/>
                    </w:rPr>
                    <w:t>元器件</w:t>
                  </w:r>
                </w:p>
              </w:tc>
              <w:tc>
                <w:tcPr>
                  <w:tcW w:w="2765" w:type="dxa"/>
                  <w:tcBorders>
                    <w:right w:val="nil"/>
                  </w:tcBorders>
                  <w:vAlign w:val="top"/>
                </w:tcPr>
                <w:p w14:paraId="781E033F">
                  <w:pPr>
                    <w:pStyle w:val="6"/>
                    <w:spacing w:before="52" w:line="261" w:lineRule="auto"/>
                    <w:ind w:left="650" w:right="229" w:hanging="414"/>
                    <w:rPr>
                      <w:sz w:val="20"/>
                      <w:szCs w:val="20"/>
                    </w:rPr>
                  </w:pPr>
                  <w:r>
                    <w:rPr>
                      <w:spacing w:val="8"/>
                      <w:sz w:val="20"/>
                      <w:szCs w:val="20"/>
                    </w:rPr>
                    <w:t>交由有废电器资质企业拆</w:t>
                  </w:r>
                  <w:r>
                    <w:rPr>
                      <w:spacing w:val="7"/>
                      <w:sz w:val="20"/>
                      <w:szCs w:val="20"/>
                    </w:rPr>
                    <w:t xml:space="preserve"> </w:t>
                  </w:r>
                  <w:r>
                    <w:rPr>
                      <w:spacing w:val="8"/>
                      <w:sz w:val="20"/>
                      <w:szCs w:val="20"/>
                    </w:rPr>
                    <w:t>解，不自行拆解</w:t>
                  </w:r>
                </w:p>
              </w:tc>
            </w:tr>
            <w:tr w14:paraId="656D55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2" w:hRule="atLeast"/>
              </w:trPr>
              <w:tc>
                <w:tcPr>
                  <w:tcW w:w="564" w:type="dxa"/>
                  <w:vMerge w:val="continue"/>
                  <w:tcBorders>
                    <w:top w:val="nil"/>
                    <w:left w:val="nil"/>
                    <w:bottom w:val="nil"/>
                  </w:tcBorders>
                  <w:textDirection w:val="tbRlV"/>
                  <w:vAlign w:val="top"/>
                </w:tcPr>
                <w:p w14:paraId="56792B33">
                  <w:pPr>
                    <w:rPr>
                      <w:rFonts w:ascii="Arial"/>
                      <w:sz w:val="21"/>
                    </w:rPr>
                  </w:pPr>
                </w:p>
              </w:tc>
              <w:tc>
                <w:tcPr>
                  <w:tcW w:w="680" w:type="dxa"/>
                  <w:vMerge w:val="continue"/>
                  <w:tcBorders>
                    <w:top w:val="nil"/>
                    <w:bottom w:val="nil"/>
                  </w:tcBorders>
                  <w:vAlign w:val="top"/>
                </w:tcPr>
                <w:p w14:paraId="403ED1FB">
                  <w:pPr>
                    <w:rPr>
                      <w:rFonts w:ascii="Arial"/>
                      <w:sz w:val="21"/>
                    </w:rPr>
                  </w:pPr>
                </w:p>
              </w:tc>
              <w:tc>
                <w:tcPr>
                  <w:tcW w:w="1143" w:type="dxa"/>
                  <w:vMerge w:val="continue"/>
                  <w:tcBorders>
                    <w:top w:val="nil"/>
                    <w:bottom w:val="nil"/>
                  </w:tcBorders>
                  <w:vAlign w:val="top"/>
                </w:tcPr>
                <w:p w14:paraId="096CAAFE">
                  <w:pPr>
                    <w:rPr>
                      <w:rFonts w:ascii="Arial"/>
                      <w:sz w:val="21"/>
                    </w:rPr>
                  </w:pPr>
                </w:p>
              </w:tc>
              <w:tc>
                <w:tcPr>
                  <w:tcW w:w="2881" w:type="dxa"/>
                  <w:tcBorders>
                    <w:bottom w:val="nil"/>
                  </w:tcBorders>
                  <w:vAlign w:val="top"/>
                </w:tcPr>
                <w:p w14:paraId="2D48642D">
                  <w:pPr>
                    <w:pStyle w:val="6"/>
                    <w:spacing w:before="53" w:line="258" w:lineRule="auto"/>
                    <w:ind w:left="396" w:right="108" w:hanging="284"/>
                    <w:rPr>
                      <w:sz w:val="20"/>
                      <w:szCs w:val="20"/>
                    </w:rPr>
                  </w:pPr>
                  <w:r>
                    <w:rPr>
                      <w:spacing w:val="4"/>
                      <w:sz w:val="20"/>
                      <w:szCs w:val="20"/>
                    </w:rPr>
                    <w:t>废油液、废铅酸蓄电池、含油</w:t>
                  </w:r>
                  <w:r>
                    <w:rPr>
                      <w:spacing w:val="1"/>
                      <w:sz w:val="20"/>
                      <w:szCs w:val="20"/>
                    </w:rPr>
                    <w:t xml:space="preserve"> </w:t>
                  </w:r>
                  <w:r>
                    <w:rPr>
                      <w:spacing w:val="8"/>
                      <w:sz w:val="20"/>
                      <w:szCs w:val="20"/>
                    </w:rPr>
                    <w:t>抹布、手套等危险废物</w:t>
                  </w:r>
                </w:p>
              </w:tc>
              <w:tc>
                <w:tcPr>
                  <w:tcW w:w="2765" w:type="dxa"/>
                  <w:tcBorders>
                    <w:bottom w:val="nil"/>
                    <w:right w:val="nil"/>
                  </w:tcBorders>
                  <w:vAlign w:val="top"/>
                </w:tcPr>
                <w:p w14:paraId="3535D348">
                  <w:pPr>
                    <w:pStyle w:val="6"/>
                    <w:spacing w:before="208" w:line="228" w:lineRule="auto"/>
                    <w:ind w:left="551"/>
                    <w:rPr>
                      <w:sz w:val="20"/>
                      <w:szCs w:val="20"/>
                    </w:rPr>
                  </w:pPr>
                  <w:r>
                    <w:rPr>
                      <w:spacing w:val="8"/>
                      <w:sz w:val="20"/>
                      <w:szCs w:val="20"/>
                    </w:rPr>
                    <w:t>交有资质单位处理</w:t>
                  </w:r>
                </w:p>
              </w:tc>
            </w:tr>
          </w:tbl>
          <w:p w14:paraId="70BCA868">
            <w:pPr>
              <w:spacing w:line="14" w:lineRule="auto"/>
              <w:rPr>
                <w:rFonts w:ascii="Arial"/>
                <w:sz w:val="2"/>
              </w:rPr>
            </w:pPr>
          </w:p>
        </w:tc>
      </w:tr>
      <w:tr w14:paraId="741C99A1">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400" w:hRule="atLeast"/>
        </w:trPr>
        <w:tc>
          <w:tcPr>
            <w:tcW w:w="664" w:type="dxa"/>
            <w:tcBorders>
              <w:top w:val="single" w:color="000000" w:sz="2" w:space="0"/>
              <w:right w:val="single" w:color="000000" w:sz="2" w:space="0"/>
            </w:tcBorders>
            <w:textDirection w:val="tbRlV"/>
            <w:vAlign w:val="top"/>
          </w:tcPr>
          <w:p w14:paraId="4818E8A6">
            <w:pPr>
              <w:pStyle w:val="6"/>
              <w:spacing w:before="212" w:line="201" w:lineRule="auto"/>
              <w:ind w:left="66"/>
            </w:pPr>
            <w:r>
              <w:rPr>
                <w:spacing w:val="23"/>
                <w:w w:val="118"/>
              </w:rPr>
              <w:t>与项</w:t>
            </w:r>
            <w:r>
              <w:rPr>
                <w:spacing w:val="23"/>
                <w:w w:val="118"/>
                <w:position w:val="1"/>
              </w:rPr>
              <w:t>目</w:t>
            </w:r>
            <w:r>
              <w:rPr>
                <w:spacing w:val="23"/>
                <w:w w:val="118"/>
              </w:rPr>
              <w:t>有关的原有环境污染问题</w:t>
            </w:r>
          </w:p>
        </w:tc>
        <w:tc>
          <w:tcPr>
            <w:tcW w:w="8240" w:type="dxa"/>
            <w:tcBorders>
              <w:top w:val="single" w:color="000000" w:sz="2" w:space="0"/>
              <w:left w:val="single" w:color="000000" w:sz="2" w:space="0"/>
            </w:tcBorders>
            <w:vAlign w:val="top"/>
          </w:tcPr>
          <w:p w14:paraId="296BF7A1">
            <w:pPr>
              <w:pStyle w:val="6"/>
              <w:spacing w:before="225" w:line="355" w:lineRule="auto"/>
              <w:ind w:left="102" w:firstLine="480"/>
              <w:jc w:val="both"/>
            </w:pPr>
            <w:r>
              <w:rPr>
                <w:spacing w:val="-3"/>
              </w:rPr>
              <w:t>本项目租用林甸县兴海肉业食品有限公司空地建</w:t>
            </w:r>
            <w:r>
              <w:rPr>
                <w:spacing w:val="-4"/>
              </w:rPr>
              <w:t>设（租赁合同见附件</w:t>
            </w:r>
            <w:r>
              <w:rPr>
                <w:spacing w:val="-56"/>
              </w:rPr>
              <w:t xml:space="preserve"> </w:t>
            </w:r>
            <w:r>
              <w:rPr>
                <w:rFonts w:ascii="Times New Roman" w:hAnsi="Times New Roman" w:eastAsia="Times New Roman" w:cs="Times New Roman"/>
                <w:spacing w:val="-4"/>
              </w:rPr>
              <w:t>4</w:t>
            </w:r>
            <w:r>
              <w:rPr>
                <w:spacing w:val="-60"/>
              </w:rPr>
              <w:t>），</w:t>
            </w:r>
            <w:r>
              <w:t xml:space="preserve"> </w:t>
            </w:r>
            <w:r>
              <w:rPr>
                <w:spacing w:val="2"/>
              </w:rPr>
              <w:t>用地性质为工业用地。本项目东侧为林甸兴海肉业有限公司空置库房，项目</w:t>
            </w:r>
            <w:r>
              <w:rPr>
                <w:spacing w:val="3"/>
              </w:rPr>
              <w:t xml:space="preserve">  </w:t>
            </w:r>
            <w:r>
              <w:rPr>
                <w:spacing w:val="2"/>
              </w:rPr>
              <w:t>北侧为空地，项目西侧为空地，项目南侧为林甸公路管理站闲置厂房。根据</w:t>
            </w:r>
            <w:r>
              <w:rPr>
                <w:spacing w:val="3"/>
              </w:rPr>
              <w:t xml:space="preserve">  </w:t>
            </w:r>
            <w:r>
              <w:rPr>
                <w:spacing w:val="-1"/>
              </w:rPr>
              <w:t>调查，项目东侧林甸兴海肉业有限公司库房已闲置，未进行过肉类</w:t>
            </w:r>
            <w:r>
              <w:rPr>
                <w:spacing w:val="-2"/>
              </w:rPr>
              <w:t>加工生产，</w:t>
            </w:r>
            <w:r>
              <w:t xml:space="preserve"> </w:t>
            </w:r>
            <w:r>
              <w:rPr>
                <w:spacing w:val="2"/>
              </w:rPr>
              <w:t>目前为空置建筑，库房内未残留设备、原辅材料、产品等。该公司屠宰车间</w:t>
            </w:r>
            <w:r>
              <w:rPr>
                <w:spacing w:val="3"/>
              </w:rPr>
              <w:t xml:space="preserve">  </w:t>
            </w:r>
            <w:r>
              <w:rPr>
                <w:spacing w:val="-3"/>
              </w:rPr>
              <w:t>距离本项目东南侧约</w:t>
            </w:r>
            <w:r>
              <w:rPr>
                <w:spacing w:val="-49"/>
              </w:rPr>
              <w:t xml:space="preserve"> </w:t>
            </w:r>
            <w:r>
              <w:rPr>
                <w:rFonts w:ascii="Times New Roman" w:hAnsi="Times New Roman" w:eastAsia="Times New Roman" w:cs="Times New Roman"/>
                <w:spacing w:val="-3"/>
              </w:rPr>
              <w:t>550m</w:t>
            </w:r>
            <w:r>
              <w:rPr>
                <w:rFonts w:ascii="Times New Roman" w:hAnsi="Times New Roman" w:eastAsia="Times New Roman" w:cs="Times New Roman"/>
                <w:spacing w:val="-30"/>
              </w:rPr>
              <w:t xml:space="preserve"> </w:t>
            </w:r>
            <w:r>
              <w:rPr>
                <w:spacing w:val="-3"/>
              </w:rPr>
              <w:t>，不在其防护距离内。</w:t>
            </w:r>
          </w:p>
          <w:p w14:paraId="5AA8630C">
            <w:pPr>
              <w:pStyle w:val="6"/>
              <w:spacing w:before="34" w:line="219" w:lineRule="auto"/>
              <w:ind w:left="584"/>
            </w:pPr>
            <w:r>
              <w:rPr>
                <w:spacing w:val="-1"/>
              </w:rPr>
              <w:t>本项目空地新建，无原有环境污染问题。</w:t>
            </w:r>
          </w:p>
        </w:tc>
      </w:tr>
    </w:tbl>
    <w:p w14:paraId="532995C5">
      <w:pPr>
        <w:spacing w:before="65" w:line="181" w:lineRule="auto"/>
        <w:ind w:left="4557"/>
        <w:rPr>
          <w:rFonts w:ascii="Calibri" w:hAnsi="Calibri" w:eastAsia="Calibri" w:cs="Calibri"/>
          <w:sz w:val="18"/>
          <w:szCs w:val="18"/>
        </w:rPr>
      </w:pPr>
      <w:r>
        <w:rPr>
          <w:rFonts w:ascii="Calibri" w:hAnsi="Calibri" w:eastAsia="Calibri" w:cs="Calibri"/>
          <w:spacing w:val="-3"/>
          <w:sz w:val="18"/>
          <w:szCs w:val="18"/>
        </w:rPr>
        <w:t>49</w:t>
      </w:r>
    </w:p>
    <w:p w14:paraId="1147F3D4">
      <w:pPr>
        <w:spacing w:line="181" w:lineRule="auto"/>
        <w:rPr>
          <w:rFonts w:ascii="Calibri" w:hAnsi="Calibri" w:eastAsia="Calibri" w:cs="Calibri"/>
          <w:sz w:val="18"/>
          <w:szCs w:val="18"/>
        </w:rPr>
        <w:sectPr>
          <w:footerReference r:id="rId53" w:type="default"/>
          <w:pgSz w:w="11906" w:h="16839"/>
          <w:pgMar w:top="1270" w:right="1488" w:bottom="400" w:left="1487" w:header="0" w:footer="0" w:gutter="0"/>
          <w:cols w:space="720" w:num="1"/>
        </w:sectPr>
      </w:pPr>
    </w:p>
    <w:p w14:paraId="56477D09">
      <w:pPr>
        <w:spacing w:before="55" w:line="219" w:lineRule="auto"/>
        <w:ind w:left="1606"/>
        <w:outlineLvl w:val="0"/>
        <w:rPr>
          <w:rFonts w:ascii="宋体" w:hAnsi="宋体" w:eastAsia="宋体" w:cs="宋体"/>
          <w:sz w:val="28"/>
          <w:szCs w:val="28"/>
        </w:rPr>
      </w:pPr>
      <w:r>
        <w:rPr>
          <w:rFonts w:ascii="宋体" w:hAnsi="宋体" w:eastAsia="宋体" w:cs="宋体"/>
          <w:b/>
          <w:bCs/>
          <w:spacing w:val="-3"/>
          <w:sz w:val="28"/>
          <w:szCs w:val="28"/>
        </w:rPr>
        <w:t>三、区域环境质量现状、环境保护目标及评价标准</w:t>
      </w:r>
    </w:p>
    <w:p w14:paraId="1C2A4277">
      <w:pPr>
        <w:spacing w:line="120" w:lineRule="exact"/>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494F8A09">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162" w:hRule="atLeast"/>
        </w:trPr>
        <w:tc>
          <w:tcPr>
            <w:tcW w:w="471" w:type="dxa"/>
            <w:tcBorders>
              <w:right w:val="single" w:color="000000" w:sz="2" w:space="0"/>
            </w:tcBorders>
            <w:textDirection w:val="tbRlV"/>
            <w:vAlign w:val="top"/>
          </w:tcPr>
          <w:p w14:paraId="74FC1755">
            <w:pPr>
              <w:pStyle w:val="6"/>
              <w:spacing w:before="119" w:line="208" w:lineRule="auto"/>
              <w:ind w:left="4826"/>
            </w:pPr>
            <w:r>
              <w:rPr>
                <w:spacing w:val="-1"/>
              </w:rPr>
              <w:t>区</w:t>
            </w:r>
            <w:r>
              <w:rPr>
                <w:spacing w:val="113"/>
              </w:rPr>
              <w:t xml:space="preserve"> </w:t>
            </w:r>
            <w:r>
              <w:rPr>
                <w:spacing w:val="-1"/>
              </w:rPr>
              <w:t>域</w:t>
            </w:r>
            <w:r>
              <w:rPr>
                <w:spacing w:val="108"/>
              </w:rPr>
              <w:t xml:space="preserve"> </w:t>
            </w:r>
            <w:r>
              <w:rPr>
                <w:spacing w:val="-1"/>
              </w:rPr>
              <w:t>环</w:t>
            </w:r>
            <w:r>
              <w:rPr>
                <w:spacing w:val="109"/>
              </w:rPr>
              <w:t xml:space="preserve"> </w:t>
            </w:r>
            <w:r>
              <w:rPr>
                <w:spacing w:val="-1"/>
              </w:rPr>
              <w:t>境</w:t>
            </w:r>
            <w:r>
              <w:rPr>
                <w:spacing w:val="108"/>
              </w:rPr>
              <w:t xml:space="preserve"> </w:t>
            </w:r>
            <w:r>
              <w:rPr>
                <w:spacing w:val="-1"/>
              </w:rPr>
              <w:t>质</w:t>
            </w:r>
            <w:r>
              <w:rPr>
                <w:spacing w:val="108"/>
              </w:rPr>
              <w:t xml:space="preserve"> </w:t>
            </w:r>
            <w:r>
              <w:rPr>
                <w:spacing w:val="-1"/>
              </w:rPr>
              <w:t>量</w:t>
            </w:r>
            <w:r>
              <w:rPr>
                <w:spacing w:val="108"/>
              </w:rPr>
              <w:t xml:space="preserve"> </w:t>
            </w:r>
            <w:r>
              <w:rPr>
                <w:spacing w:val="-1"/>
              </w:rPr>
              <w:t>现</w:t>
            </w:r>
            <w:r>
              <w:rPr>
                <w:spacing w:val="108"/>
              </w:rPr>
              <w:t xml:space="preserve"> </w:t>
            </w:r>
            <w:r>
              <w:rPr>
                <w:spacing w:val="-1"/>
              </w:rPr>
              <w:t>状</w:t>
            </w:r>
          </w:p>
        </w:tc>
        <w:tc>
          <w:tcPr>
            <w:tcW w:w="8877" w:type="dxa"/>
            <w:tcBorders>
              <w:left w:val="single" w:color="000000" w:sz="2" w:space="0"/>
            </w:tcBorders>
            <w:vAlign w:val="top"/>
          </w:tcPr>
          <w:p w14:paraId="413EBF7F">
            <w:pPr>
              <w:pStyle w:val="6"/>
              <w:spacing w:before="120" w:line="219" w:lineRule="auto"/>
              <w:ind w:left="591"/>
            </w:pPr>
            <w:r>
              <w:rPr>
                <w:rFonts w:ascii="Calibri" w:hAnsi="Calibri" w:eastAsia="Calibri" w:cs="Calibri"/>
                <w:b/>
                <w:bCs/>
                <w:spacing w:val="-6"/>
              </w:rPr>
              <w:t>1</w:t>
            </w:r>
            <w:r>
              <w:rPr>
                <w:rFonts w:ascii="Calibri" w:hAnsi="Calibri" w:eastAsia="Calibri" w:cs="Calibri"/>
                <w:b/>
                <w:bCs/>
                <w:spacing w:val="-28"/>
              </w:rPr>
              <w:t xml:space="preserve"> </w:t>
            </w:r>
            <w:r>
              <w:rPr>
                <w:b/>
                <w:bCs/>
                <w:spacing w:val="-6"/>
              </w:rPr>
              <w:t>、环境空气质量现状</w:t>
            </w:r>
          </w:p>
          <w:p w14:paraId="67E6191D">
            <w:pPr>
              <w:pStyle w:val="6"/>
              <w:spacing w:before="261" w:line="219" w:lineRule="auto"/>
              <w:ind w:left="594"/>
            </w:pPr>
            <w:r>
              <w:rPr>
                <w:spacing w:val="-2"/>
              </w:rPr>
              <w:t>（</w:t>
            </w:r>
            <w:r>
              <w:rPr>
                <w:rFonts w:ascii="Calibri" w:hAnsi="Calibri" w:eastAsia="Calibri" w:cs="Calibri"/>
                <w:spacing w:val="-2"/>
              </w:rPr>
              <w:t>1</w:t>
            </w:r>
            <w:r>
              <w:rPr>
                <w:spacing w:val="-2"/>
              </w:rPr>
              <w:t>）基本污染物环境质量现状</w:t>
            </w:r>
          </w:p>
          <w:p w14:paraId="741B07A7">
            <w:pPr>
              <w:pStyle w:val="6"/>
              <w:spacing w:before="216" w:line="334" w:lineRule="auto"/>
              <w:ind w:left="109" w:right="96" w:firstLine="474"/>
              <w:jc w:val="both"/>
            </w:pPr>
            <w:r>
              <w:rPr>
                <w:spacing w:val="-4"/>
              </w:rPr>
              <w:t>根据《</w:t>
            </w:r>
            <w:r>
              <w:rPr>
                <w:rFonts w:ascii="Calibri" w:hAnsi="Calibri" w:eastAsia="Calibri" w:cs="Calibri"/>
                <w:spacing w:val="-4"/>
              </w:rPr>
              <w:t>2023</w:t>
            </w:r>
            <w:r>
              <w:rPr>
                <w:rFonts w:ascii="Calibri" w:hAnsi="Calibri" w:eastAsia="Calibri" w:cs="Calibri"/>
                <w:spacing w:val="14"/>
                <w:w w:val="101"/>
              </w:rPr>
              <w:t xml:space="preserve"> </w:t>
            </w:r>
            <w:r>
              <w:rPr>
                <w:spacing w:val="-4"/>
              </w:rPr>
              <w:t>年大庆市生态环境状况公报》，</w:t>
            </w:r>
            <w:r>
              <w:rPr>
                <w:rFonts w:ascii="Calibri" w:hAnsi="Calibri" w:eastAsia="Calibri" w:cs="Calibri"/>
                <w:spacing w:val="-4"/>
              </w:rPr>
              <w:t>2023</w:t>
            </w:r>
            <w:r>
              <w:rPr>
                <w:rFonts w:ascii="Calibri" w:hAnsi="Calibri" w:eastAsia="Calibri" w:cs="Calibri"/>
                <w:spacing w:val="14"/>
                <w:w w:val="101"/>
              </w:rPr>
              <w:t xml:space="preserve"> </w:t>
            </w:r>
            <w:r>
              <w:rPr>
                <w:spacing w:val="-4"/>
              </w:rPr>
              <w:t>年，大庆市共进行了</w:t>
            </w:r>
            <w:r>
              <w:rPr>
                <w:spacing w:val="-48"/>
              </w:rPr>
              <w:t xml:space="preserve"> </w:t>
            </w:r>
            <w:r>
              <w:rPr>
                <w:rFonts w:ascii="Calibri" w:hAnsi="Calibri" w:eastAsia="Calibri" w:cs="Calibri"/>
                <w:spacing w:val="-4"/>
              </w:rPr>
              <w:t>3</w:t>
            </w:r>
            <w:r>
              <w:rPr>
                <w:rFonts w:ascii="Calibri" w:hAnsi="Calibri" w:eastAsia="Calibri" w:cs="Calibri"/>
                <w:spacing w:val="-5"/>
              </w:rPr>
              <w:t>65</w:t>
            </w:r>
            <w:r>
              <w:rPr>
                <w:rFonts w:ascii="Calibri" w:hAnsi="Calibri" w:eastAsia="Calibri" w:cs="Calibri"/>
                <w:spacing w:val="18"/>
                <w:w w:val="101"/>
              </w:rPr>
              <w:t xml:space="preserve"> </w:t>
            </w:r>
            <w:r>
              <w:rPr>
                <w:spacing w:val="-5"/>
              </w:rPr>
              <w:t>天有</w:t>
            </w:r>
            <w:r>
              <w:t xml:space="preserve"> 效环境空气质量自动监测，其中：全年环境空气质</w:t>
            </w:r>
            <w:r>
              <w:rPr>
                <w:spacing w:val="-1"/>
              </w:rPr>
              <w:t>量优良天数为</w:t>
            </w:r>
            <w:r>
              <w:rPr>
                <w:spacing w:val="-48"/>
              </w:rPr>
              <w:t xml:space="preserve"> </w:t>
            </w:r>
            <w:r>
              <w:rPr>
                <w:rFonts w:ascii="Calibri" w:hAnsi="Calibri" w:eastAsia="Calibri" w:cs="Calibri"/>
                <w:spacing w:val="-1"/>
              </w:rPr>
              <w:t>332</w:t>
            </w:r>
            <w:r>
              <w:rPr>
                <w:rFonts w:ascii="Calibri" w:hAnsi="Calibri" w:eastAsia="Calibri" w:cs="Calibri"/>
                <w:spacing w:val="18"/>
                <w:w w:val="101"/>
              </w:rPr>
              <w:t xml:space="preserve"> </w:t>
            </w:r>
            <w:r>
              <w:rPr>
                <w:spacing w:val="-1"/>
              </w:rPr>
              <w:t>天，优良天数</w:t>
            </w:r>
            <w:r>
              <w:t xml:space="preserve"> </w:t>
            </w:r>
            <w:r>
              <w:rPr>
                <w:spacing w:val="-3"/>
              </w:rPr>
              <w:t>比例为</w:t>
            </w:r>
            <w:r>
              <w:rPr>
                <w:spacing w:val="-51"/>
              </w:rPr>
              <w:t xml:space="preserve"> </w:t>
            </w:r>
            <w:r>
              <w:rPr>
                <w:rFonts w:ascii="Calibri" w:hAnsi="Calibri" w:eastAsia="Calibri" w:cs="Calibri"/>
                <w:spacing w:val="-3"/>
              </w:rPr>
              <w:t>91.0%</w:t>
            </w:r>
            <w:r>
              <w:rPr>
                <w:spacing w:val="-3"/>
              </w:rPr>
              <w:t>。</w:t>
            </w:r>
          </w:p>
          <w:p w14:paraId="7A8315FD">
            <w:pPr>
              <w:spacing w:line="5220" w:lineRule="exact"/>
            </w:pPr>
            <w:r>
              <w:rPr>
                <w:position w:val="-104"/>
              </w:rPr>
              <w:drawing>
                <wp:inline distT="0" distB="0" distL="0" distR="0">
                  <wp:extent cx="5429885" cy="33147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21"/>
                          <a:stretch>
                            <a:fillRect/>
                          </a:stretch>
                        </pic:blipFill>
                        <pic:spPr>
                          <a:xfrm>
                            <a:off x="0" y="0"/>
                            <a:ext cx="5430139" cy="3314700"/>
                          </a:xfrm>
                          <a:prstGeom prst="rect">
                            <a:avLst/>
                          </a:prstGeom>
                        </pic:spPr>
                      </pic:pic>
                    </a:graphicData>
                  </a:graphic>
                </wp:inline>
              </w:drawing>
            </w:r>
          </w:p>
          <w:p w14:paraId="577C5E93">
            <w:pPr>
              <w:pStyle w:val="6"/>
              <w:spacing w:before="166" w:line="374" w:lineRule="auto"/>
              <w:ind w:left="102" w:right="95" w:firstLine="485"/>
            </w:pPr>
            <w:r>
              <w:rPr>
                <w:rFonts w:ascii="Calibri" w:hAnsi="Calibri" w:eastAsia="Calibri" w:cs="Calibri"/>
                <w:spacing w:val="8"/>
              </w:rPr>
              <w:t>2023</w:t>
            </w:r>
            <w:r>
              <w:rPr>
                <w:rFonts w:ascii="Calibri" w:hAnsi="Calibri" w:eastAsia="Calibri" w:cs="Calibri"/>
                <w:spacing w:val="29"/>
              </w:rPr>
              <w:t xml:space="preserve"> </w:t>
            </w:r>
            <w:r>
              <w:rPr>
                <w:spacing w:val="8"/>
              </w:rPr>
              <w:t>年环境空气质量为</w:t>
            </w:r>
            <w:r>
              <w:rPr>
                <w:spacing w:val="-33"/>
              </w:rPr>
              <w:t xml:space="preserve"> </w:t>
            </w:r>
            <w:r>
              <w:rPr>
                <w:rFonts w:ascii="Calibri" w:hAnsi="Calibri" w:eastAsia="Calibri" w:cs="Calibri"/>
                <w:spacing w:val="8"/>
              </w:rPr>
              <w:t>6</w:t>
            </w:r>
            <w:r>
              <w:rPr>
                <w:rFonts w:ascii="Calibri" w:hAnsi="Calibri" w:eastAsia="Calibri" w:cs="Calibri"/>
                <w:spacing w:val="30"/>
              </w:rPr>
              <w:t xml:space="preserve"> </w:t>
            </w:r>
            <w:r>
              <w:rPr>
                <w:spacing w:val="8"/>
              </w:rPr>
              <w:t>个监测项</w:t>
            </w:r>
            <w:r>
              <w:rPr>
                <w:spacing w:val="-48"/>
              </w:rPr>
              <w:t xml:space="preserve"> </w:t>
            </w:r>
            <w:r>
              <w:rPr>
                <w:spacing w:val="8"/>
              </w:rPr>
              <w:t>目，执行标准为《环境空气质量标准》</w:t>
            </w:r>
            <w:r>
              <w:t xml:space="preserve"> </w:t>
            </w:r>
            <w:r>
              <w:rPr>
                <w:spacing w:val="-2"/>
              </w:rPr>
              <w:t>（</w:t>
            </w:r>
            <w:r>
              <w:rPr>
                <w:rFonts w:ascii="Calibri" w:hAnsi="Calibri" w:eastAsia="Calibri" w:cs="Calibri"/>
                <w:spacing w:val="-2"/>
              </w:rPr>
              <w:t>GB3095-2012</w:t>
            </w:r>
            <w:r>
              <w:rPr>
                <w:spacing w:val="-2"/>
              </w:rPr>
              <w:t>）及修改单，评价方法为环境空气质量指数（</w:t>
            </w:r>
            <w:r>
              <w:rPr>
                <w:rFonts w:ascii="Calibri" w:hAnsi="Calibri" w:eastAsia="Calibri" w:cs="Calibri"/>
                <w:spacing w:val="-2"/>
              </w:rPr>
              <w:t>AQI</w:t>
            </w:r>
            <w:r>
              <w:rPr>
                <w:spacing w:val="-2"/>
              </w:rPr>
              <w:t>）技术规定（</w:t>
            </w:r>
            <w:r>
              <w:rPr>
                <w:rFonts w:ascii="Calibri" w:hAnsi="Calibri" w:eastAsia="Calibri" w:cs="Calibri"/>
                <w:spacing w:val="-3"/>
              </w:rPr>
              <w:t>HJ633</w:t>
            </w:r>
            <w:r>
              <w:rPr>
                <w:rFonts w:ascii="Calibri" w:hAnsi="Calibri" w:eastAsia="Calibri" w:cs="Calibri"/>
              </w:rPr>
              <w:t xml:space="preserve"> </w:t>
            </w:r>
            <w:r>
              <w:rPr>
                <w:rFonts w:ascii="Calibri" w:hAnsi="Calibri" w:eastAsia="Calibri" w:cs="Calibri"/>
                <w:spacing w:val="-2"/>
              </w:rPr>
              <w:t>-2012</w:t>
            </w:r>
            <w:r>
              <w:rPr>
                <w:spacing w:val="-2"/>
              </w:rPr>
              <w:t>）。</w:t>
            </w:r>
          </w:p>
          <w:p w14:paraId="00873D41">
            <w:pPr>
              <w:pStyle w:val="6"/>
              <w:spacing w:before="9" w:line="368" w:lineRule="auto"/>
              <w:ind w:left="103" w:right="96" w:firstLine="484"/>
              <w:jc w:val="both"/>
            </w:pPr>
            <w:r>
              <w:rPr>
                <w:rFonts w:ascii="Calibri" w:hAnsi="Calibri" w:eastAsia="Calibri" w:cs="Calibri"/>
              </w:rPr>
              <w:t>2023</w:t>
            </w:r>
            <w:r>
              <w:rPr>
                <w:rFonts w:ascii="Calibri" w:hAnsi="Calibri" w:eastAsia="Calibri" w:cs="Calibri"/>
                <w:spacing w:val="18"/>
              </w:rPr>
              <w:t xml:space="preserve"> </w:t>
            </w:r>
            <w:r>
              <w:t>年，大庆市城区环境空气中二氧化硫年均浓度为</w:t>
            </w:r>
            <w:r>
              <w:rPr>
                <w:spacing w:val="-45"/>
              </w:rPr>
              <w:t xml:space="preserve"> </w:t>
            </w:r>
            <w:r>
              <w:rPr>
                <w:rFonts w:ascii="Calibri" w:hAnsi="Calibri" w:eastAsia="Calibri" w:cs="Calibri"/>
              </w:rPr>
              <w:t>6</w:t>
            </w:r>
            <w:r>
              <w:rPr>
                <w:rFonts w:ascii="Calibri" w:hAnsi="Calibri" w:eastAsia="Calibri" w:cs="Calibri"/>
                <w:spacing w:val="18"/>
                <w:w w:val="101"/>
              </w:rPr>
              <w:t xml:space="preserve"> </w:t>
            </w:r>
            <w:r>
              <w:t>微克</w:t>
            </w:r>
            <w:r>
              <w:rPr>
                <w:rFonts w:ascii="Calibri" w:hAnsi="Calibri" w:eastAsia="Calibri" w:cs="Calibri"/>
              </w:rPr>
              <w:t>/</w:t>
            </w:r>
            <w:r>
              <w:t>立方米，</w:t>
            </w:r>
            <w:r>
              <w:rPr>
                <w:spacing w:val="-65"/>
              </w:rPr>
              <w:t xml:space="preserve"> </w:t>
            </w:r>
            <w:r>
              <w:t xml:space="preserve">日均值 </w:t>
            </w:r>
            <w:r>
              <w:rPr>
                <w:spacing w:val="-3"/>
              </w:rPr>
              <w:t>浓度范围为</w:t>
            </w:r>
            <w:r>
              <w:rPr>
                <w:spacing w:val="-31"/>
              </w:rPr>
              <w:t xml:space="preserve"> </w:t>
            </w:r>
            <w:r>
              <w:rPr>
                <w:rFonts w:ascii="Calibri" w:hAnsi="Calibri" w:eastAsia="Calibri" w:cs="Calibri"/>
                <w:spacing w:val="-3"/>
              </w:rPr>
              <w:t>3</w:t>
            </w:r>
            <w:r>
              <w:rPr>
                <w:spacing w:val="-3"/>
              </w:rPr>
              <w:t>～</w:t>
            </w:r>
            <w:r>
              <w:rPr>
                <w:rFonts w:ascii="Calibri" w:hAnsi="Calibri" w:eastAsia="Calibri" w:cs="Calibri"/>
                <w:spacing w:val="-3"/>
              </w:rPr>
              <w:t>15</w:t>
            </w:r>
            <w:r>
              <w:rPr>
                <w:rFonts w:ascii="Calibri" w:hAnsi="Calibri" w:eastAsia="Calibri" w:cs="Calibri"/>
                <w:spacing w:val="13"/>
                <w:w w:val="101"/>
              </w:rPr>
              <w:t xml:space="preserve"> </w:t>
            </w:r>
            <w:r>
              <w:rPr>
                <w:spacing w:val="-3"/>
              </w:rPr>
              <w:t>微克</w:t>
            </w:r>
            <w:r>
              <w:rPr>
                <w:rFonts w:ascii="Calibri" w:hAnsi="Calibri" w:eastAsia="Calibri" w:cs="Calibri"/>
                <w:spacing w:val="-3"/>
              </w:rPr>
              <w:t>/</w:t>
            </w:r>
            <w:r>
              <w:rPr>
                <w:spacing w:val="-3"/>
              </w:rPr>
              <w:t>立方米，优于国家环境空气质量一级标准限值；二氧化氮年</w:t>
            </w:r>
            <w:r>
              <w:t xml:space="preserve"> </w:t>
            </w:r>
            <w:r>
              <w:rPr>
                <w:spacing w:val="-3"/>
              </w:rPr>
              <w:t>均浓度为</w:t>
            </w:r>
            <w:r>
              <w:rPr>
                <w:spacing w:val="-24"/>
              </w:rPr>
              <w:t xml:space="preserve"> </w:t>
            </w:r>
            <w:r>
              <w:rPr>
                <w:rFonts w:ascii="Calibri" w:hAnsi="Calibri" w:eastAsia="Calibri" w:cs="Calibri"/>
                <w:spacing w:val="-3"/>
              </w:rPr>
              <w:t>17</w:t>
            </w:r>
            <w:r>
              <w:rPr>
                <w:rFonts w:ascii="Calibri" w:hAnsi="Calibri" w:eastAsia="Calibri" w:cs="Calibri"/>
                <w:spacing w:val="14"/>
              </w:rPr>
              <w:t xml:space="preserve"> </w:t>
            </w:r>
            <w:r>
              <w:rPr>
                <w:spacing w:val="-3"/>
              </w:rPr>
              <w:t>微克</w:t>
            </w:r>
            <w:r>
              <w:rPr>
                <w:rFonts w:ascii="Calibri" w:hAnsi="Calibri" w:eastAsia="Calibri" w:cs="Calibri"/>
                <w:spacing w:val="-3"/>
              </w:rPr>
              <w:t>/</w:t>
            </w:r>
            <w:r>
              <w:rPr>
                <w:spacing w:val="-3"/>
              </w:rPr>
              <w:t>立方米，日均值浓度范围为</w:t>
            </w:r>
            <w:r>
              <w:rPr>
                <w:spacing w:val="-48"/>
              </w:rPr>
              <w:t xml:space="preserve"> </w:t>
            </w:r>
            <w:r>
              <w:rPr>
                <w:rFonts w:ascii="Calibri" w:hAnsi="Calibri" w:eastAsia="Calibri" w:cs="Calibri"/>
                <w:spacing w:val="-3"/>
              </w:rPr>
              <w:t>5</w:t>
            </w:r>
            <w:r>
              <w:rPr>
                <w:spacing w:val="-3"/>
              </w:rPr>
              <w:t>～</w:t>
            </w:r>
            <w:r>
              <w:rPr>
                <w:rFonts w:ascii="Calibri" w:hAnsi="Calibri" w:eastAsia="Calibri" w:cs="Calibri"/>
                <w:spacing w:val="-3"/>
              </w:rPr>
              <w:t>48</w:t>
            </w:r>
            <w:r>
              <w:rPr>
                <w:rFonts w:ascii="Calibri" w:hAnsi="Calibri" w:eastAsia="Calibri" w:cs="Calibri"/>
                <w:spacing w:val="13"/>
                <w:w w:val="101"/>
              </w:rPr>
              <w:t xml:space="preserve"> </w:t>
            </w:r>
            <w:r>
              <w:rPr>
                <w:spacing w:val="-3"/>
              </w:rPr>
              <w:t>微克</w:t>
            </w:r>
            <w:r>
              <w:rPr>
                <w:rFonts w:ascii="Calibri" w:hAnsi="Calibri" w:eastAsia="Calibri" w:cs="Calibri"/>
                <w:spacing w:val="-3"/>
              </w:rPr>
              <w:t>/</w:t>
            </w:r>
            <w:r>
              <w:rPr>
                <w:spacing w:val="-3"/>
              </w:rPr>
              <w:t>立方米，优于国家环境空</w:t>
            </w:r>
            <w:r>
              <w:t xml:space="preserve"> </w:t>
            </w:r>
            <w:r>
              <w:rPr>
                <w:spacing w:val="-2"/>
              </w:rPr>
              <w:t>气质量一级标准限值；可吸入颗粒物（</w:t>
            </w:r>
            <w:r>
              <w:rPr>
                <w:rFonts w:ascii="Calibri" w:hAnsi="Calibri" w:eastAsia="Calibri" w:cs="Calibri"/>
                <w:spacing w:val="-2"/>
              </w:rPr>
              <w:t>PM10</w:t>
            </w:r>
            <w:r>
              <w:rPr>
                <w:spacing w:val="-2"/>
              </w:rPr>
              <w:t>）年均浓度为</w:t>
            </w:r>
            <w:r>
              <w:rPr>
                <w:spacing w:val="-38"/>
              </w:rPr>
              <w:t xml:space="preserve"> </w:t>
            </w:r>
            <w:r>
              <w:rPr>
                <w:rFonts w:ascii="Calibri" w:hAnsi="Calibri" w:eastAsia="Calibri" w:cs="Calibri"/>
                <w:spacing w:val="-2"/>
              </w:rPr>
              <w:t>41</w:t>
            </w:r>
            <w:r>
              <w:rPr>
                <w:rFonts w:ascii="Calibri" w:hAnsi="Calibri" w:eastAsia="Calibri" w:cs="Calibri"/>
                <w:spacing w:val="14"/>
              </w:rPr>
              <w:t xml:space="preserve"> </w:t>
            </w:r>
            <w:r>
              <w:rPr>
                <w:spacing w:val="-2"/>
              </w:rPr>
              <w:t>微克</w:t>
            </w:r>
            <w:r>
              <w:rPr>
                <w:rFonts w:ascii="Calibri" w:hAnsi="Calibri" w:eastAsia="Calibri" w:cs="Calibri"/>
                <w:spacing w:val="-2"/>
              </w:rPr>
              <w:t>/</w:t>
            </w:r>
            <w:r>
              <w:rPr>
                <w:spacing w:val="-2"/>
              </w:rPr>
              <w:t>立方米，日均值</w:t>
            </w:r>
            <w:r>
              <w:t xml:space="preserve"> 浓度范围为</w:t>
            </w:r>
            <w:r>
              <w:rPr>
                <w:spacing w:val="-29"/>
              </w:rPr>
              <w:t xml:space="preserve"> </w:t>
            </w:r>
            <w:r>
              <w:rPr>
                <w:rFonts w:ascii="Calibri" w:hAnsi="Calibri" w:eastAsia="Calibri" w:cs="Calibri"/>
              </w:rPr>
              <w:t>7</w:t>
            </w:r>
            <w:r>
              <w:t>～</w:t>
            </w:r>
            <w:r>
              <w:rPr>
                <w:rFonts w:ascii="Calibri" w:hAnsi="Calibri" w:eastAsia="Calibri" w:cs="Calibri"/>
              </w:rPr>
              <w:t>252</w:t>
            </w:r>
            <w:r>
              <w:rPr>
                <w:rFonts w:ascii="Calibri" w:hAnsi="Calibri" w:eastAsia="Calibri" w:cs="Calibri"/>
                <w:spacing w:val="16"/>
              </w:rPr>
              <w:t xml:space="preserve"> </w:t>
            </w:r>
            <w:r>
              <w:t>微克</w:t>
            </w:r>
            <w:r>
              <w:rPr>
                <w:rFonts w:ascii="Calibri" w:hAnsi="Calibri" w:eastAsia="Calibri" w:cs="Calibri"/>
              </w:rPr>
              <w:t>/</w:t>
            </w:r>
            <w:r>
              <w:t xml:space="preserve">立方米，优于国家环境空气质量二级标准限值；细颗粒物 </w:t>
            </w:r>
            <w:r>
              <w:rPr>
                <w:spacing w:val="-3"/>
              </w:rPr>
              <w:t>（</w:t>
            </w:r>
            <w:r>
              <w:rPr>
                <w:rFonts w:ascii="Calibri" w:hAnsi="Calibri" w:eastAsia="Calibri" w:cs="Calibri"/>
                <w:spacing w:val="-3"/>
              </w:rPr>
              <w:t>PM2.5</w:t>
            </w:r>
            <w:r>
              <w:rPr>
                <w:spacing w:val="-3"/>
              </w:rPr>
              <w:t>）年均浓度为</w:t>
            </w:r>
            <w:r>
              <w:rPr>
                <w:spacing w:val="-46"/>
              </w:rPr>
              <w:t xml:space="preserve"> </w:t>
            </w:r>
            <w:r>
              <w:rPr>
                <w:rFonts w:ascii="Calibri" w:hAnsi="Calibri" w:eastAsia="Calibri" w:cs="Calibri"/>
                <w:spacing w:val="-3"/>
              </w:rPr>
              <w:t>26</w:t>
            </w:r>
            <w:r>
              <w:rPr>
                <w:rFonts w:ascii="Calibri" w:hAnsi="Calibri" w:eastAsia="Calibri" w:cs="Calibri"/>
                <w:spacing w:val="13"/>
                <w:w w:val="101"/>
              </w:rPr>
              <w:t xml:space="preserve"> </w:t>
            </w:r>
            <w:r>
              <w:rPr>
                <w:spacing w:val="-3"/>
              </w:rPr>
              <w:t>微克</w:t>
            </w:r>
            <w:r>
              <w:rPr>
                <w:rFonts w:ascii="Calibri" w:hAnsi="Calibri" w:eastAsia="Calibri" w:cs="Calibri"/>
                <w:spacing w:val="-3"/>
              </w:rPr>
              <w:t>/</w:t>
            </w:r>
            <w:r>
              <w:rPr>
                <w:spacing w:val="-3"/>
              </w:rPr>
              <w:t>立方米，日均值浓度范围为</w:t>
            </w:r>
            <w:r>
              <w:rPr>
                <w:spacing w:val="-48"/>
              </w:rPr>
              <w:t xml:space="preserve"> </w:t>
            </w:r>
            <w:r>
              <w:rPr>
                <w:rFonts w:ascii="Calibri" w:hAnsi="Calibri" w:eastAsia="Calibri" w:cs="Calibri"/>
                <w:spacing w:val="-3"/>
              </w:rPr>
              <w:t>6</w:t>
            </w:r>
            <w:r>
              <w:rPr>
                <w:spacing w:val="-3"/>
              </w:rPr>
              <w:t>～</w:t>
            </w:r>
            <w:r>
              <w:rPr>
                <w:rFonts w:ascii="Calibri" w:hAnsi="Calibri" w:eastAsia="Calibri" w:cs="Calibri"/>
                <w:spacing w:val="-3"/>
              </w:rPr>
              <w:t>181</w:t>
            </w:r>
            <w:r>
              <w:rPr>
                <w:rFonts w:ascii="Calibri" w:hAnsi="Calibri" w:eastAsia="Calibri" w:cs="Calibri"/>
                <w:spacing w:val="14"/>
              </w:rPr>
              <w:t xml:space="preserve"> </w:t>
            </w:r>
            <w:r>
              <w:rPr>
                <w:spacing w:val="-3"/>
              </w:rPr>
              <w:t>微克</w:t>
            </w:r>
            <w:r>
              <w:rPr>
                <w:rFonts w:ascii="Calibri" w:hAnsi="Calibri" w:eastAsia="Calibri" w:cs="Calibri"/>
                <w:spacing w:val="-3"/>
              </w:rPr>
              <w:t>/</w:t>
            </w:r>
            <w:r>
              <w:rPr>
                <w:spacing w:val="-3"/>
              </w:rPr>
              <w:t>立</w:t>
            </w:r>
            <w:r>
              <w:rPr>
                <w:spacing w:val="-4"/>
              </w:rPr>
              <w:t>方米，优</w:t>
            </w:r>
            <w:r>
              <w:t xml:space="preserve"> </w:t>
            </w:r>
            <w:r>
              <w:rPr>
                <w:spacing w:val="-4"/>
              </w:rPr>
              <w:t>于国家环境空气质量二级标准限值；一氧化</w:t>
            </w:r>
            <w:r>
              <w:rPr>
                <w:spacing w:val="-5"/>
              </w:rPr>
              <w:t>碳</w:t>
            </w:r>
            <w:r>
              <w:rPr>
                <w:spacing w:val="-46"/>
              </w:rPr>
              <w:t xml:space="preserve"> </w:t>
            </w:r>
            <w:r>
              <w:rPr>
                <w:rFonts w:ascii="Calibri" w:hAnsi="Calibri" w:eastAsia="Calibri" w:cs="Calibri"/>
                <w:spacing w:val="-5"/>
              </w:rPr>
              <w:t>24</w:t>
            </w:r>
            <w:r>
              <w:rPr>
                <w:rFonts w:ascii="Calibri" w:hAnsi="Calibri" w:eastAsia="Calibri" w:cs="Calibri"/>
                <w:spacing w:val="22"/>
                <w:w w:val="101"/>
              </w:rPr>
              <w:t xml:space="preserve"> </w:t>
            </w:r>
            <w:r>
              <w:rPr>
                <w:spacing w:val="-5"/>
              </w:rPr>
              <w:t>小时平均浓度第</w:t>
            </w:r>
            <w:r>
              <w:rPr>
                <w:spacing w:val="-51"/>
              </w:rPr>
              <w:t xml:space="preserve"> </w:t>
            </w:r>
            <w:r>
              <w:rPr>
                <w:rFonts w:ascii="Calibri" w:hAnsi="Calibri" w:eastAsia="Calibri" w:cs="Calibri"/>
                <w:spacing w:val="-5"/>
              </w:rPr>
              <w:t>95</w:t>
            </w:r>
            <w:r>
              <w:rPr>
                <w:rFonts w:ascii="Calibri" w:hAnsi="Calibri" w:eastAsia="Calibri" w:cs="Calibri"/>
                <w:spacing w:val="22"/>
                <w:w w:val="101"/>
              </w:rPr>
              <w:t xml:space="preserve"> </w:t>
            </w:r>
            <w:r>
              <w:rPr>
                <w:spacing w:val="-5"/>
              </w:rPr>
              <w:t>百分位数为</w:t>
            </w:r>
            <w:r>
              <w:rPr>
                <w:spacing w:val="-52"/>
              </w:rPr>
              <w:t xml:space="preserve"> </w:t>
            </w:r>
            <w:r>
              <w:rPr>
                <w:rFonts w:ascii="Calibri" w:hAnsi="Calibri" w:eastAsia="Calibri" w:cs="Calibri"/>
                <w:spacing w:val="-5"/>
              </w:rPr>
              <w:t>0.8</w:t>
            </w:r>
            <w:r>
              <w:rPr>
                <w:rFonts w:ascii="Calibri" w:hAnsi="Calibri" w:eastAsia="Calibri" w:cs="Calibri"/>
              </w:rPr>
              <w:t xml:space="preserve"> </w:t>
            </w:r>
            <w:r>
              <w:rPr>
                <w:spacing w:val="-2"/>
              </w:rPr>
              <w:t>毫克</w:t>
            </w:r>
            <w:r>
              <w:rPr>
                <w:rFonts w:ascii="Calibri" w:hAnsi="Calibri" w:eastAsia="Calibri" w:cs="Calibri"/>
                <w:spacing w:val="-2"/>
              </w:rPr>
              <w:t>/</w:t>
            </w:r>
            <w:r>
              <w:rPr>
                <w:spacing w:val="-2"/>
              </w:rPr>
              <w:t>立方米，</w:t>
            </w:r>
            <w:r>
              <w:rPr>
                <w:rFonts w:ascii="Calibri" w:hAnsi="Calibri" w:eastAsia="Calibri" w:cs="Calibri"/>
                <w:spacing w:val="-2"/>
              </w:rPr>
              <w:t>24</w:t>
            </w:r>
            <w:r>
              <w:rPr>
                <w:rFonts w:ascii="Calibri" w:hAnsi="Calibri" w:eastAsia="Calibri" w:cs="Calibri"/>
                <w:spacing w:val="21"/>
              </w:rPr>
              <w:t xml:space="preserve"> </w:t>
            </w:r>
            <w:r>
              <w:rPr>
                <w:spacing w:val="-2"/>
              </w:rPr>
              <w:t>小时平均浓度范围为</w:t>
            </w:r>
            <w:r>
              <w:rPr>
                <w:spacing w:val="-52"/>
              </w:rPr>
              <w:t xml:space="preserve"> </w:t>
            </w:r>
            <w:r>
              <w:rPr>
                <w:rFonts w:ascii="Calibri" w:hAnsi="Calibri" w:eastAsia="Calibri" w:cs="Calibri"/>
                <w:spacing w:val="-2"/>
              </w:rPr>
              <w:t>0.2</w:t>
            </w:r>
            <w:r>
              <w:rPr>
                <w:spacing w:val="-2"/>
              </w:rPr>
              <w:t>～</w:t>
            </w:r>
            <w:r>
              <w:rPr>
                <w:rFonts w:ascii="Calibri" w:hAnsi="Calibri" w:eastAsia="Calibri" w:cs="Calibri"/>
                <w:spacing w:val="-2"/>
              </w:rPr>
              <w:t>1.5</w:t>
            </w:r>
            <w:r>
              <w:rPr>
                <w:rFonts w:ascii="Calibri" w:hAnsi="Calibri" w:eastAsia="Calibri" w:cs="Calibri"/>
                <w:spacing w:val="17"/>
              </w:rPr>
              <w:t xml:space="preserve"> </w:t>
            </w:r>
            <w:r>
              <w:rPr>
                <w:spacing w:val="-2"/>
              </w:rPr>
              <w:t>毫克</w:t>
            </w:r>
            <w:r>
              <w:rPr>
                <w:rFonts w:ascii="Calibri" w:hAnsi="Calibri" w:eastAsia="Calibri" w:cs="Calibri"/>
                <w:spacing w:val="-2"/>
              </w:rPr>
              <w:t>/</w:t>
            </w:r>
            <w:r>
              <w:rPr>
                <w:spacing w:val="-2"/>
              </w:rPr>
              <w:t>立方米</w:t>
            </w:r>
            <w:r>
              <w:rPr>
                <w:rFonts w:ascii="Calibri" w:hAnsi="Calibri" w:eastAsia="Calibri" w:cs="Calibri"/>
                <w:spacing w:val="-2"/>
              </w:rPr>
              <w:t>,</w:t>
            </w:r>
            <w:r>
              <w:rPr>
                <w:spacing w:val="-2"/>
              </w:rPr>
              <w:t>优于国家</w:t>
            </w:r>
            <w:r>
              <w:rPr>
                <w:spacing w:val="-3"/>
              </w:rPr>
              <w:t>环境空气质量</w:t>
            </w:r>
          </w:p>
        </w:tc>
      </w:tr>
    </w:tbl>
    <w:p w14:paraId="785009C4">
      <w:pPr>
        <w:pStyle w:val="2"/>
      </w:pPr>
    </w:p>
    <w:p w14:paraId="481FB061">
      <w:pPr>
        <w:sectPr>
          <w:footerReference r:id="rId54" w:type="default"/>
          <w:pgSz w:w="11906" w:h="16839"/>
          <w:pgMar w:top="1385" w:right="1266" w:bottom="1263" w:left="1265" w:header="0" w:footer="1097" w:gutter="0"/>
          <w:cols w:space="720" w:num="1"/>
        </w:sectPr>
      </w:pPr>
    </w:p>
    <w:tbl>
      <w:tblPr>
        <w:tblStyle w:val="5"/>
        <w:tblW w:w="9348"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1"/>
        <w:gridCol w:w="999"/>
        <w:gridCol w:w="361"/>
        <w:gridCol w:w="978"/>
        <w:gridCol w:w="459"/>
        <w:gridCol w:w="470"/>
        <w:gridCol w:w="1101"/>
        <w:gridCol w:w="445"/>
        <w:gridCol w:w="712"/>
        <w:gridCol w:w="1760"/>
        <w:gridCol w:w="745"/>
        <w:gridCol w:w="847"/>
      </w:tblGrid>
      <w:tr w14:paraId="2EACD4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0" w:hRule="atLeast"/>
        </w:trPr>
        <w:tc>
          <w:tcPr>
            <w:tcW w:w="471" w:type="dxa"/>
            <w:vMerge w:val="restart"/>
            <w:tcBorders>
              <w:top w:val="single" w:color="000000" w:sz="10" w:space="0"/>
              <w:left w:val="single" w:color="000000" w:sz="10" w:space="0"/>
              <w:bottom w:val="nil"/>
            </w:tcBorders>
            <w:vAlign w:val="top"/>
          </w:tcPr>
          <w:p w14:paraId="30D144B3">
            <w:pPr>
              <w:rPr>
                <w:rFonts w:ascii="Arial"/>
                <w:sz w:val="21"/>
              </w:rPr>
            </w:pPr>
          </w:p>
        </w:tc>
        <w:tc>
          <w:tcPr>
            <w:tcW w:w="8877" w:type="dxa"/>
            <w:gridSpan w:val="11"/>
            <w:tcBorders>
              <w:top w:val="single" w:color="000000" w:sz="10" w:space="0"/>
              <w:right w:val="single" w:color="000000" w:sz="10" w:space="0"/>
            </w:tcBorders>
            <w:vAlign w:val="top"/>
          </w:tcPr>
          <w:p w14:paraId="2C27C665">
            <w:pPr>
              <w:pStyle w:val="6"/>
              <w:spacing w:before="160" w:line="354" w:lineRule="auto"/>
              <w:ind w:left="106" w:right="96"/>
              <w:jc w:val="both"/>
            </w:pPr>
            <w:r>
              <w:rPr>
                <w:spacing w:val="-3"/>
              </w:rPr>
              <w:t>一级标准限值；臭氧日最大</w:t>
            </w:r>
            <w:r>
              <w:rPr>
                <w:spacing w:val="-44"/>
              </w:rPr>
              <w:t xml:space="preserve"> </w:t>
            </w:r>
            <w:r>
              <w:rPr>
                <w:rFonts w:ascii="Calibri" w:hAnsi="Calibri" w:eastAsia="Calibri" w:cs="Calibri"/>
                <w:spacing w:val="-3"/>
              </w:rPr>
              <w:t>8</w:t>
            </w:r>
            <w:r>
              <w:rPr>
                <w:rFonts w:ascii="Calibri" w:hAnsi="Calibri" w:eastAsia="Calibri" w:cs="Calibri"/>
                <w:spacing w:val="23"/>
              </w:rPr>
              <w:t xml:space="preserve"> </w:t>
            </w:r>
            <w:r>
              <w:rPr>
                <w:spacing w:val="-3"/>
              </w:rPr>
              <w:t>小时平均浓度第</w:t>
            </w:r>
            <w:r>
              <w:rPr>
                <w:spacing w:val="-50"/>
              </w:rPr>
              <w:t xml:space="preserve"> </w:t>
            </w:r>
            <w:r>
              <w:rPr>
                <w:rFonts w:ascii="Calibri" w:hAnsi="Calibri" w:eastAsia="Calibri" w:cs="Calibri"/>
                <w:spacing w:val="-3"/>
              </w:rPr>
              <w:t>90</w:t>
            </w:r>
            <w:r>
              <w:rPr>
                <w:rFonts w:ascii="Calibri" w:hAnsi="Calibri" w:eastAsia="Calibri" w:cs="Calibri"/>
                <w:spacing w:val="24"/>
                <w:w w:val="101"/>
              </w:rPr>
              <w:t xml:space="preserve"> </w:t>
            </w:r>
            <w:r>
              <w:rPr>
                <w:spacing w:val="-3"/>
              </w:rPr>
              <w:t>百分位数为</w:t>
            </w:r>
            <w:r>
              <w:rPr>
                <w:spacing w:val="-38"/>
              </w:rPr>
              <w:t xml:space="preserve"> </w:t>
            </w:r>
            <w:r>
              <w:rPr>
                <w:rFonts w:ascii="Calibri" w:hAnsi="Calibri" w:eastAsia="Calibri" w:cs="Calibri"/>
                <w:spacing w:val="-3"/>
              </w:rPr>
              <w:t>116</w:t>
            </w:r>
            <w:r>
              <w:rPr>
                <w:rFonts w:ascii="Calibri" w:hAnsi="Calibri" w:eastAsia="Calibri" w:cs="Calibri"/>
                <w:spacing w:val="17"/>
              </w:rPr>
              <w:t xml:space="preserve"> </w:t>
            </w:r>
            <w:r>
              <w:rPr>
                <w:spacing w:val="-3"/>
              </w:rPr>
              <w:t>微克</w:t>
            </w:r>
            <w:r>
              <w:rPr>
                <w:rFonts w:ascii="Calibri" w:hAnsi="Calibri" w:eastAsia="Calibri" w:cs="Calibri"/>
                <w:spacing w:val="-3"/>
              </w:rPr>
              <w:t>/</w:t>
            </w:r>
            <w:r>
              <w:rPr>
                <w:spacing w:val="-3"/>
              </w:rPr>
              <w:t>立方米，</w:t>
            </w:r>
            <w:r>
              <w:rPr>
                <w:spacing w:val="-70"/>
              </w:rPr>
              <w:t xml:space="preserve"> </w:t>
            </w:r>
            <w:r>
              <w:rPr>
                <w:spacing w:val="-3"/>
              </w:rPr>
              <w:t>日</w:t>
            </w:r>
            <w:r>
              <w:t xml:space="preserve"> </w:t>
            </w:r>
            <w:r>
              <w:rPr>
                <w:spacing w:val="-3"/>
              </w:rPr>
              <w:t>最大</w:t>
            </w:r>
            <w:r>
              <w:rPr>
                <w:spacing w:val="-50"/>
              </w:rPr>
              <w:t xml:space="preserve"> </w:t>
            </w:r>
            <w:r>
              <w:rPr>
                <w:rFonts w:ascii="Calibri" w:hAnsi="Calibri" w:eastAsia="Calibri" w:cs="Calibri"/>
                <w:spacing w:val="-3"/>
              </w:rPr>
              <w:t>8</w:t>
            </w:r>
            <w:r>
              <w:rPr>
                <w:rFonts w:ascii="Calibri" w:hAnsi="Calibri" w:eastAsia="Calibri" w:cs="Calibri"/>
                <w:spacing w:val="22"/>
                <w:w w:val="101"/>
              </w:rPr>
              <w:t xml:space="preserve"> </w:t>
            </w:r>
            <w:r>
              <w:rPr>
                <w:spacing w:val="-3"/>
              </w:rPr>
              <w:t>小时平均浓度范围为</w:t>
            </w:r>
            <w:r>
              <w:rPr>
                <w:spacing w:val="-47"/>
              </w:rPr>
              <w:t xml:space="preserve"> </w:t>
            </w:r>
            <w:r>
              <w:rPr>
                <w:rFonts w:ascii="Calibri" w:hAnsi="Calibri" w:eastAsia="Calibri" w:cs="Calibri"/>
                <w:spacing w:val="-3"/>
              </w:rPr>
              <w:t>24</w:t>
            </w:r>
            <w:r>
              <w:rPr>
                <w:spacing w:val="-3"/>
              </w:rPr>
              <w:t>～</w:t>
            </w:r>
            <w:r>
              <w:rPr>
                <w:rFonts w:ascii="Calibri" w:hAnsi="Calibri" w:eastAsia="Calibri" w:cs="Calibri"/>
                <w:spacing w:val="-3"/>
              </w:rPr>
              <w:t>190</w:t>
            </w:r>
            <w:r>
              <w:rPr>
                <w:rFonts w:ascii="Calibri" w:hAnsi="Calibri" w:eastAsia="Calibri" w:cs="Calibri"/>
                <w:spacing w:val="14"/>
              </w:rPr>
              <w:t xml:space="preserve"> </w:t>
            </w:r>
            <w:r>
              <w:rPr>
                <w:spacing w:val="-3"/>
              </w:rPr>
              <w:t>微克</w:t>
            </w:r>
            <w:r>
              <w:rPr>
                <w:rFonts w:ascii="Calibri" w:hAnsi="Calibri" w:eastAsia="Calibri" w:cs="Calibri"/>
                <w:spacing w:val="-3"/>
              </w:rPr>
              <w:t>/</w:t>
            </w:r>
            <w:r>
              <w:rPr>
                <w:spacing w:val="-3"/>
              </w:rPr>
              <w:t>立方</w:t>
            </w:r>
            <w:r>
              <w:rPr>
                <w:spacing w:val="-4"/>
              </w:rPr>
              <w:t>米，优于国家环境空气质量二级标准</w:t>
            </w:r>
            <w:r>
              <w:t xml:space="preserve"> </w:t>
            </w:r>
            <w:r>
              <w:rPr>
                <w:spacing w:val="-5"/>
              </w:rPr>
              <w:t>限值。</w:t>
            </w:r>
          </w:p>
          <w:p w14:paraId="747AA869">
            <w:pPr>
              <w:pStyle w:val="6"/>
              <w:spacing w:before="1" w:line="344" w:lineRule="auto"/>
              <w:ind w:left="107" w:firstLine="475"/>
            </w:pPr>
            <w:r>
              <w:rPr>
                <w:rFonts w:ascii="Calibri" w:hAnsi="Calibri" w:eastAsia="Calibri" w:cs="Calibri"/>
                <w:spacing w:val="-8"/>
              </w:rPr>
              <w:t>SO</w:t>
            </w:r>
            <w:r>
              <w:rPr>
                <w:rFonts w:ascii="Calibri" w:hAnsi="Calibri" w:eastAsia="Calibri" w:cs="Calibri"/>
                <w:spacing w:val="-8"/>
                <w:position w:val="-2"/>
                <w:sz w:val="15"/>
                <w:szCs w:val="15"/>
              </w:rPr>
              <w:t>2</w:t>
            </w:r>
            <w:r>
              <w:rPr>
                <w:rFonts w:ascii="Calibri" w:hAnsi="Calibri" w:eastAsia="Calibri" w:cs="Calibri"/>
                <w:spacing w:val="-2"/>
                <w:position w:val="-2"/>
                <w:sz w:val="15"/>
                <w:szCs w:val="15"/>
              </w:rPr>
              <w:t xml:space="preserve"> </w:t>
            </w:r>
            <w:r>
              <w:rPr>
                <w:spacing w:val="-8"/>
              </w:rPr>
              <w:t>、</w:t>
            </w:r>
            <w:r>
              <w:rPr>
                <w:rFonts w:ascii="Calibri" w:hAnsi="Calibri" w:eastAsia="Calibri" w:cs="Calibri"/>
                <w:spacing w:val="-5"/>
              </w:rPr>
              <w:t>NO</w:t>
            </w:r>
            <w:r>
              <w:rPr>
                <w:rFonts w:ascii="Calibri" w:hAnsi="Calibri" w:eastAsia="Calibri" w:cs="Calibri"/>
                <w:spacing w:val="-5"/>
                <w:position w:val="-2"/>
                <w:sz w:val="15"/>
                <w:szCs w:val="15"/>
              </w:rPr>
              <w:t>2</w:t>
            </w:r>
            <w:r>
              <w:rPr>
                <w:rFonts w:ascii="Calibri" w:hAnsi="Calibri" w:eastAsia="Calibri" w:cs="Calibri"/>
                <w:spacing w:val="-10"/>
                <w:position w:val="-2"/>
                <w:sz w:val="15"/>
                <w:szCs w:val="15"/>
              </w:rPr>
              <w:t xml:space="preserve"> </w:t>
            </w:r>
            <w:r>
              <w:rPr>
                <w:spacing w:val="-6"/>
              </w:rPr>
              <w:t>、</w:t>
            </w:r>
            <w:r>
              <w:rPr>
                <w:rFonts w:ascii="Calibri" w:hAnsi="Calibri" w:eastAsia="Calibri" w:cs="Calibri"/>
                <w:spacing w:val="-6"/>
              </w:rPr>
              <w:t>PM</w:t>
            </w:r>
            <w:r>
              <w:rPr>
                <w:rFonts w:ascii="Calibri" w:hAnsi="Calibri" w:eastAsia="Calibri" w:cs="Calibri"/>
                <w:spacing w:val="-6"/>
                <w:position w:val="-2"/>
                <w:sz w:val="15"/>
                <w:szCs w:val="15"/>
              </w:rPr>
              <w:t>2.5</w:t>
            </w:r>
            <w:r>
              <w:rPr>
                <w:rFonts w:ascii="Calibri" w:hAnsi="Calibri" w:eastAsia="Calibri" w:cs="Calibri"/>
                <w:spacing w:val="-10"/>
                <w:position w:val="-2"/>
                <w:sz w:val="15"/>
                <w:szCs w:val="15"/>
              </w:rPr>
              <w:t xml:space="preserve"> </w:t>
            </w:r>
            <w:r>
              <w:rPr>
                <w:spacing w:val="-7"/>
              </w:rPr>
              <w:t>、</w:t>
            </w:r>
            <w:r>
              <w:rPr>
                <w:rFonts w:ascii="Calibri" w:hAnsi="Calibri" w:eastAsia="Calibri" w:cs="Calibri"/>
                <w:spacing w:val="-7"/>
              </w:rPr>
              <w:t>PM</w:t>
            </w:r>
            <w:r>
              <w:rPr>
                <w:rFonts w:ascii="Calibri" w:hAnsi="Calibri" w:eastAsia="Calibri" w:cs="Calibri"/>
                <w:spacing w:val="-7"/>
                <w:position w:val="-2"/>
                <w:sz w:val="15"/>
                <w:szCs w:val="15"/>
              </w:rPr>
              <w:t>10</w:t>
            </w:r>
            <w:r>
              <w:rPr>
                <w:rFonts w:ascii="Calibri" w:hAnsi="Calibri" w:eastAsia="Calibri" w:cs="Calibri"/>
                <w:spacing w:val="-9"/>
                <w:position w:val="-2"/>
                <w:sz w:val="15"/>
                <w:szCs w:val="15"/>
              </w:rPr>
              <w:t xml:space="preserve"> </w:t>
            </w:r>
            <w:r>
              <w:rPr>
                <w:spacing w:val="-17"/>
              </w:rPr>
              <w:t>、</w:t>
            </w:r>
            <w:r>
              <w:rPr>
                <w:rFonts w:ascii="Calibri" w:hAnsi="Calibri" w:eastAsia="Calibri" w:cs="Calibri"/>
                <w:spacing w:val="-17"/>
              </w:rPr>
              <w:t>CO</w:t>
            </w:r>
            <w:r>
              <w:rPr>
                <w:rFonts w:ascii="Calibri" w:hAnsi="Calibri" w:eastAsia="Calibri" w:cs="Calibri"/>
                <w:spacing w:val="-31"/>
              </w:rPr>
              <w:t xml:space="preserve"> </w:t>
            </w:r>
            <w:r>
              <w:rPr>
                <w:spacing w:val="-17"/>
              </w:rPr>
              <w:t>、</w:t>
            </w:r>
            <w:r>
              <w:rPr>
                <w:rFonts w:ascii="Calibri" w:hAnsi="Calibri" w:eastAsia="Calibri" w:cs="Calibri"/>
                <w:spacing w:val="-17"/>
              </w:rPr>
              <w:t>O</w:t>
            </w:r>
            <w:r>
              <w:rPr>
                <w:rFonts w:ascii="Calibri" w:hAnsi="Calibri" w:eastAsia="Calibri" w:cs="Calibri"/>
                <w:spacing w:val="-3"/>
                <w:position w:val="-2"/>
                <w:sz w:val="15"/>
                <w:szCs w:val="15"/>
              </w:rPr>
              <w:t>3</w:t>
            </w:r>
            <w:r>
              <w:rPr>
                <w:rFonts w:ascii="Calibri" w:hAnsi="Calibri" w:eastAsia="Calibri" w:cs="Calibri"/>
                <w:spacing w:val="15"/>
                <w:position w:val="-2"/>
                <w:sz w:val="15"/>
                <w:szCs w:val="15"/>
              </w:rPr>
              <w:t xml:space="preserve"> </w:t>
            </w:r>
            <w:r>
              <w:rPr>
                <w:spacing w:val="-3"/>
              </w:rPr>
              <w:t>均满足《环境空气质量标准》（</w:t>
            </w:r>
            <w:r>
              <w:rPr>
                <w:rFonts w:ascii="Calibri" w:hAnsi="Calibri" w:eastAsia="Calibri" w:cs="Calibri"/>
                <w:spacing w:val="-3"/>
              </w:rPr>
              <w:t>GB3095-2012</w:t>
            </w:r>
            <w:r>
              <w:rPr>
                <w:spacing w:val="-3"/>
              </w:rPr>
              <w:t>）</w:t>
            </w:r>
            <w:r>
              <w:t xml:space="preserve"> </w:t>
            </w:r>
            <w:r>
              <w:rPr>
                <w:spacing w:val="-1"/>
              </w:rPr>
              <w:t>二级标准，本项目所在区域处于环境空气质量达标区。</w:t>
            </w:r>
          </w:p>
          <w:p w14:paraId="3985A688">
            <w:pPr>
              <w:pStyle w:val="6"/>
              <w:spacing w:before="38" w:line="219" w:lineRule="auto"/>
              <w:ind w:left="594"/>
            </w:pPr>
            <w:r>
              <w:rPr>
                <w:spacing w:val="-3"/>
              </w:rPr>
              <w:t>（</w:t>
            </w:r>
            <w:r>
              <w:rPr>
                <w:rFonts w:ascii="Calibri" w:hAnsi="Calibri" w:eastAsia="Calibri" w:cs="Calibri"/>
                <w:spacing w:val="-3"/>
              </w:rPr>
              <w:t>2</w:t>
            </w:r>
            <w:r>
              <w:rPr>
                <w:spacing w:val="-3"/>
              </w:rPr>
              <w:t>）特征污染物监测</w:t>
            </w:r>
          </w:p>
          <w:p w14:paraId="6B955419">
            <w:pPr>
              <w:pStyle w:val="6"/>
              <w:spacing w:before="180" w:line="351" w:lineRule="auto"/>
              <w:ind w:left="101" w:right="16" w:firstLine="488"/>
            </w:pPr>
            <w:r>
              <w:rPr>
                <w:spacing w:val="-5"/>
              </w:rPr>
              <w:t>黑龙江永青环保科技有限公司于</w:t>
            </w:r>
            <w:r>
              <w:rPr>
                <w:spacing w:val="-48"/>
              </w:rPr>
              <w:t xml:space="preserve"> </w:t>
            </w:r>
            <w:r>
              <w:rPr>
                <w:rFonts w:ascii="Calibri" w:hAnsi="Calibri" w:eastAsia="Calibri" w:cs="Calibri"/>
                <w:spacing w:val="-5"/>
              </w:rPr>
              <w:t xml:space="preserve">2024 </w:t>
            </w:r>
            <w:r>
              <w:rPr>
                <w:spacing w:val="-5"/>
              </w:rPr>
              <w:t>年</w:t>
            </w:r>
            <w:r>
              <w:rPr>
                <w:spacing w:val="-63"/>
              </w:rPr>
              <w:t xml:space="preserve"> </w:t>
            </w:r>
            <w:r>
              <w:rPr>
                <w:rFonts w:ascii="Calibri" w:hAnsi="Calibri" w:eastAsia="Calibri" w:cs="Calibri"/>
                <w:spacing w:val="-5"/>
              </w:rPr>
              <w:t xml:space="preserve">7 </w:t>
            </w:r>
            <w:r>
              <w:rPr>
                <w:spacing w:val="-5"/>
              </w:rPr>
              <w:t>月</w:t>
            </w:r>
            <w:r>
              <w:rPr>
                <w:spacing w:val="-59"/>
              </w:rPr>
              <w:t xml:space="preserve"> </w:t>
            </w:r>
            <w:r>
              <w:rPr>
                <w:rFonts w:ascii="Calibri" w:hAnsi="Calibri" w:eastAsia="Calibri" w:cs="Calibri"/>
                <w:spacing w:val="-5"/>
              </w:rPr>
              <w:t xml:space="preserve">22  </w:t>
            </w:r>
            <w:r>
              <w:rPr>
                <w:spacing w:val="-5"/>
              </w:rPr>
              <w:t>日</w:t>
            </w:r>
            <w:r>
              <w:rPr>
                <w:rFonts w:ascii="Calibri" w:hAnsi="Calibri" w:eastAsia="Calibri" w:cs="Calibri"/>
                <w:spacing w:val="-5"/>
              </w:rPr>
              <w:t xml:space="preserve">-7 </w:t>
            </w:r>
            <w:r>
              <w:rPr>
                <w:spacing w:val="-5"/>
              </w:rPr>
              <w:t>月</w:t>
            </w:r>
            <w:r>
              <w:rPr>
                <w:spacing w:val="-61"/>
              </w:rPr>
              <w:t xml:space="preserve"> </w:t>
            </w:r>
            <w:r>
              <w:rPr>
                <w:rFonts w:ascii="Calibri" w:hAnsi="Calibri" w:eastAsia="Calibri" w:cs="Calibri"/>
                <w:spacing w:val="-5"/>
              </w:rPr>
              <w:t xml:space="preserve">24  </w:t>
            </w:r>
            <w:r>
              <w:rPr>
                <w:spacing w:val="-5"/>
              </w:rPr>
              <w:t>日对厂址非甲烷总烃</w:t>
            </w:r>
            <w:r>
              <w:t xml:space="preserve"> </w:t>
            </w:r>
            <w:r>
              <w:rPr>
                <w:spacing w:val="-6"/>
              </w:rPr>
              <w:t>进行监测，</w:t>
            </w:r>
            <w:r>
              <w:rPr>
                <w:rFonts w:hint="eastAsia" w:ascii="Calibri" w:hAnsi="Calibri" w:cs="Calibri"/>
                <w:spacing w:val="-6"/>
                <w:lang w:eastAsia="zh-CN"/>
              </w:rPr>
              <w:t>2025年1月</w:t>
            </w:r>
            <w:r>
              <w:rPr>
                <w:spacing w:val="-40"/>
              </w:rPr>
              <w:t xml:space="preserve"> </w:t>
            </w:r>
            <w:r>
              <w:rPr>
                <w:rFonts w:ascii="Calibri" w:hAnsi="Calibri" w:eastAsia="Calibri" w:cs="Calibri"/>
                <w:spacing w:val="-6"/>
              </w:rPr>
              <w:t xml:space="preserve">15  </w:t>
            </w:r>
            <w:r>
              <w:rPr>
                <w:spacing w:val="-6"/>
              </w:rPr>
              <w:t>日</w:t>
            </w:r>
            <w:r>
              <w:rPr>
                <w:rFonts w:ascii="Calibri" w:hAnsi="Calibri" w:eastAsia="Calibri" w:cs="Calibri"/>
                <w:spacing w:val="-6"/>
              </w:rPr>
              <w:t>-10</w:t>
            </w:r>
            <w:r>
              <w:rPr>
                <w:rFonts w:ascii="Calibri" w:hAnsi="Calibri" w:eastAsia="Calibri" w:cs="Calibri"/>
                <w:spacing w:val="17"/>
              </w:rPr>
              <w:t xml:space="preserve"> </w:t>
            </w:r>
            <w:r>
              <w:rPr>
                <w:spacing w:val="-6"/>
              </w:rPr>
              <w:t>月</w:t>
            </w:r>
            <w:r>
              <w:rPr>
                <w:spacing w:val="-40"/>
              </w:rPr>
              <w:t xml:space="preserve"> </w:t>
            </w:r>
            <w:r>
              <w:rPr>
                <w:rFonts w:ascii="Calibri" w:hAnsi="Calibri" w:eastAsia="Calibri" w:cs="Calibri"/>
                <w:spacing w:val="-6"/>
              </w:rPr>
              <w:t xml:space="preserve">17  </w:t>
            </w:r>
            <w:r>
              <w:rPr>
                <w:spacing w:val="-6"/>
              </w:rPr>
              <w:t>日对厂址及厂址下风向处</w:t>
            </w:r>
            <w:r>
              <w:rPr>
                <w:spacing w:val="-58"/>
              </w:rPr>
              <w:t xml:space="preserve"> </w:t>
            </w:r>
            <w:r>
              <w:rPr>
                <w:rFonts w:ascii="Calibri" w:hAnsi="Calibri" w:eastAsia="Calibri" w:cs="Calibri"/>
                <w:spacing w:val="-6"/>
              </w:rPr>
              <w:t>TSP</w:t>
            </w:r>
            <w:r>
              <w:rPr>
                <w:rFonts w:ascii="Calibri" w:hAnsi="Calibri" w:eastAsia="Calibri" w:cs="Calibri"/>
                <w:spacing w:val="12"/>
              </w:rPr>
              <w:t xml:space="preserve"> </w:t>
            </w:r>
            <w:r>
              <w:rPr>
                <w:spacing w:val="-6"/>
              </w:rPr>
              <w:t>进行监测，采</w:t>
            </w:r>
            <w:r>
              <w:t xml:space="preserve"> </w:t>
            </w:r>
            <w:r>
              <w:rPr>
                <w:spacing w:val="-5"/>
              </w:rPr>
              <w:t>样及分析按照规定的方法进行。监测点位基本信息见表</w:t>
            </w:r>
            <w:r>
              <w:rPr>
                <w:spacing w:val="-43"/>
              </w:rPr>
              <w:t xml:space="preserve"> </w:t>
            </w:r>
            <w:r>
              <w:rPr>
                <w:rFonts w:ascii="Calibri" w:hAnsi="Calibri" w:eastAsia="Calibri" w:cs="Calibri"/>
                <w:spacing w:val="-5"/>
              </w:rPr>
              <w:t>3-1</w:t>
            </w:r>
            <w:r>
              <w:rPr>
                <w:spacing w:val="-5"/>
              </w:rPr>
              <w:t>，监测结果统计见表</w:t>
            </w:r>
            <w:r>
              <w:rPr>
                <w:spacing w:val="-48"/>
              </w:rPr>
              <w:t xml:space="preserve"> </w:t>
            </w:r>
            <w:r>
              <w:rPr>
                <w:rFonts w:ascii="Calibri" w:hAnsi="Calibri" w:eastAsia="Calibri" w:cs="Calibri"/>
                <w:spacing w:val="-5"/>
              </w:rPr>
              <w:t>3-2</w:t>
            </w:r>
            <w:r>
              <w:rPr>
                <w:spacing w:val="-5"/>
              </w:rPr>
              <w:t>。</w:t>
            </w:r>
          </w:p>
          <w:p w14:paraId="24BD05A5">
            <w:pPr>
              <w:pStyle w:val="6"/>
              <w:spacing w:before="32" w:line="219" w:lineRule="auto"/>
              <w:ind w:left="2358"/>
            </w:pPr>
            <w:r>
              <w:rPr>
                <w:b/>
                <w:bCs/>
                <w:spacing w:val="-3"/>
              </w:rPr>
              <w:t>表</w:t>
            </w:r>
            <w:r>
              <w:rPr>
                <w:spacing w:val="-35"/>
              </w:rPr>
              <w:t xml:space="preserve"> </w:t>
            </w:r>
            <w:r>
              <w:rPr>
                <w:b/>
                <w:bCs/>
                <w:spacing w:val="-3"/>
              </w:rPr>
              <w:t>3-1</w:t>
            </w:r>
            <w:r>
              <w:rPr>
                <w:spacing w:val="-3"/>
              </w:rPr>
              <w:t xml:space="preserve">   </w:t>
            </w:r>
            <w:r>
              <w:rPr>
                <w:b/>
                <w:bCs/>
                <w:spacing w:val="-3"/>
              </w:rPr>
              <w:t>特征污染物补充监测点位基本信息</w:t>
            </w:r>
          </w:p>
        </w:tc>
      </w:tr>
      <w:tr w14:paraId="49E99F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471" w:type="dxa"/>
            <w:vMerge w:val="continue"/>
            <w:tcBorders>
              <w:top w:val="nil"/>
              <w:left w:val="single" w:color="000000" w:sz="10" w:space="0"/>
              <w:bottom w:val="nil"/>
            </w:tcBorders>
            <w:vAlign w:val="top"/>
          </w:tcPr>
          <w:p w14:paraId="51DE6BE4">
            <w:pPr>
              <w:rPr>
                <w:rFonts w:ascii="Arial"/>
                <w:sz w:val="21"/>
              </w:rPr>
            </w:pPr>
          </w:p>
        </w:tc>
        <w:tc>
          <w:tcPr>
            <w:tcW w:w="1360" w:type="dxa"/>
            <w:gridSpan w:val="2"/>
            <w:vMerge w:val="restart"/>
            <w:tcBorders>
              <w:bottom w:val="nil"/>
            </w:tcBorders>
            <w:vAlign w:val="top"/>
          </w:tcPr>
          <w:p w14:paraId="6947FA65">
            <w:pPr>
              <w:spacing w:line="337" w:lineRule="auto"/>
              <w:rPr>
                <w:rFonts w:ascii="Arial"/>
                <w:sz w:val="21"/>
              </w:rPr>
            </w:pPr>
          </w:p>
          <w:p w14:paraId="04F1A66C">
            <w:pPr>
              <w:pStyle w:val="6"/>
              <w:spacing w:before="65" w:line="281" w:lineRule="auto"/>
              <w:ind w:left="521" w:right="317" w:hanging="104"/>
              <w:rPr>
                <w:sz w:val="20"/>
                <w:szCs w:val="20"/>
              </w:rPr>
            </w:pPr>
            <w:r>
              <w:rPr>
                <w:spacing w:val="6"/>
                <w:sz w:val="20"/>
                <w:szCs w:val="20"/>
              </w:rPr>
              <w:t>监测点</w:t>
            </w:r>
            <w:r>
              <w:rPr>
                <w:sz w:val="20"/>
                <w:szCs w:val="20"/>
              </w:rPr>
              <w:t xml:space="preserve"> </w:t>
            </w:r>
            <w:r>
              <w:rPr>
                <w:spacing w:val="3"/>
                <w:sz w:val="20"/>
                <w:szCs w:val="20"/>
              </w:rPr>
              <w:t>名称</w:t>
            </w:r>
          </w:p>
        </w:tc>
        <w:tc>
          <w:tcPr>
            <w:tcW w:w="3008" w:type="dxa"/>
            <w:gridSpan w:val="4"/>
            <w:vAlign w:val="top"/>
          </w:tcPr>
          <w:p w14:paraId="081B638A">
            <w:pPr>
              <w:pStyle w:val="6"/>
              <w:spacing w:before="152" w:line="228" w:lineRule="auto"/>
              <w:ind w:left="876"/>
              <w:rPr>
                <w:sz w:val="20"/>
                <w:szCs w:val="20"/>
              </w:rPr>
            </w:pPr>
            <w:r>
              <w:rPr>
                <w:spacing w:val="8"/>
                <w:sz w:val="20"/>
                <w:szCs w:val="20"/>
              </w:rPr>
              <w:t>监测点经纬度</w:t>
            </w:r>
          </w:p>
        </w:tc>
        <w:tc>
          <w:tcPr>
            <w:tcW w:w="1157" w:type="dxa"/>
            <w:gridSpan w:val="2"/>
            <w:vMerge w:val="restart"/>
            <w:tcBorders>
              <w:bottom w:val="nil"/>
            </w:tcBorders>
            <w:vAlign w:val="top"/>
          </w:tcPr>
          <w:p w14:paraId="5A38638D">
            <w:pPr>
              <w:spacing w:line="337" w:lineRule="auto"/>
              <w:rPr>
                <w:rFonts w:ascii="Arial"/>
                <w:sz w:val="21"/>
              </w:rPr>
            </w:pPr>
          </w:p>
          <w:p w14:paraId="35089B48">
            <w:pPr>
              <w:pStyle w:val="6"/>
              <w:spacing w:before="65" w:line="280" w:lineRule="auto"/>
              <w:ind w:left="391" w:right="366" w:hanging="15"/>
              <w:rPr>
                <w:sz w:val="20"/>
                <w:szCs w:val="20"/>
              </w:rPr>
            </w:pPr>
            <w:r>
              <w:rPr>
                <w:spacing w:val="4"/>
                <w:sz w:val="20"/>
                <w:szCs w:val="20"/>
              </w:rPr>
              <w:t>监测</w:t>
            </w:r>
            <w:r>
              <w:rPr>
                <w:sz w:val="20"/>
                <w:szCs w:val="20"/>
              </w:rPr>
              <w:t xml:space="preserve"> </w:t>
            </w:r>
            <w:r>
              <w:rPr>
                <w:spacing w:val="-4"/>
                <w:sz w:val="20"/>
                <w:szCs w:val="20"/>
              </w:rPr>
              <w:t>因子</w:t>
            </w:r>
          </w:p>
        </w:tc>
        <w:tc>
          <w:tcPr>
            <w:tcW w:w="1760" w:type="dxa"/>
            <w:vMerge w:val="restart"/>
            <w:tcBorders>
              <w:bottom w:val="nil"/>
            </w:tcBorders>
            <w:vAlign w:val="top"/>
          </w:tcPr>
          <w:p w14:paraId="5741FEB8">
            <w:pPr>
              <w:spacing w:line="248" w:lineRule="auto"/>
              <w:rPr>
                <w:rFonts w:ascii="Arial"/>
                <w:sz w:val="21"/>
              </w:rPr>
            </w:pPr>
          </w:p>
          <w:p w14:paraId="4645DB0D">
            <w:pPr>
              <w:spacing w:line="249" w:lineRule="auto"/>
              <w:rPr>
                <w:rFonts w:ascii="Arial"/>
                <w:sz w:val="21"/>
              </w:rPr>
            </w:pPr>
          </w:p>
          <w:p w14:paraId="6D26EA9D">
            <w:pPr>
              <w:pStyle w:val="6"/>
              <w:spacing w:before="65" w:line="229" w:lineRule="auto"/>
              <w:ind w:left="472"/>
              <w:rPr>
                <w:sz w:val="20"/>
                <w:szCs w:val="20"/>
              </w:rPr>
            </w:pPr>
            <w:r>
              <w:rPr>
                <w:spacing w:val="7"/>
                <w:sz w:val="20"/>
                <w:szCs w:val="20"/>
              </w:rPr>
              <w:t>监测时段</w:t>
            </w:r>
          </w:p>
        </w:tc>
        <w:tc>
          <w:tcPr>
            <w:tcW w:w="745" w:type="dxa"/>
            <w:vMerge w:val="restart"/>
            <w:tcBorders>
              <w:bottom w:val="nil"/>
            </w:tcBorders>
            <w:vAlign w:val="top"/>
          </w:tcPr>
          <w:p w14:paraId="1FCA2549">
            <w:pPr>
              <w:pStyle w:val="6"/>
              <w:spacing w:before="244" w:line="286" w:lineRule="auto"/>
              <w:ind w:left="177" w:right="152"/>
              <w:jc w:val="both"/>
              <w:rPr>
                <w:sz w:val="20"/>
                <w:szCs w:val="20"/>
              </w:rPr>
            </w:pPr>
            <w:r>
              <w:rPr>
                <w:spacing w:val="4"/>
                <w:sz w:val="20"/>
                <w:szCs w:val="20"/>
              </w:rPr>
              <w:t>相对</w:t>
            </w:r>
            <w:r>
              <w:rPr>
                <w:sz w:val="20"/>
                <w:szCs w:val="20"/>
              </w:rPr>
              <w:t xml:space="preserve"> </w:t>
            </w:r>
            <w:r>
              <w:rPr>
                <w:spacing w:val="4"/>
                <w:sz w:val="20"/>
                <w:szCs w:val="20"/>
              </w:rPr>
              <w:t>厂址</w:t>
            </w:r>
            <w:r>
              <w:rPr>
                <w:sz w:val="20"/>
                <w:szCs w:val="20"/>
              </w:rPr>
              <w:t xml:space="preserve"> </w:t>
            </w:r>
            <w:r>
              <w:rPr>
                <w:spacing w:val="4"/>
                <w:sz w:val="20"/>
                <w:szCs w:val="20"/>
              </w:rPr>
              <w:t>方位</w:t>
            </w:r>
          </w:p>
        </w:tc>
        <w:tc>
          <w:tcPr>
            <w:tcW w:w="847" w:type="dxa"/>
            <w:vMerge w:val="restart"/>
            <w:tcBorders>
              <w:bottom w:val="nil"/>
              <w:right w:val="single" w:color="000000" w:sz="10" w:space="0"/>
            </w:tcBorders>
            <w:vAlign w:val="top"/>
          </w:tcPr>
          <w:p w14:paraId="1E192B94">
            <w:pPr>
              <w:pStyle w:val="6"/>
              <w:tabs>
                <w:tab w:val="left" w:pos="247"/>
              </w:tabs>
              <w:spacing w:before="86" w:line="278" w:lineRule="auto"/>
              <w:ind w:left="168" w:right="252"/>
              <w:jc w:val="both"/>
              <w:rPr>
                <w:rFonts w:ascii="Calibri" w:hAnsi="Calibri" w:eastAsia="Calibri" w:cs="Calibri"/>
                <w:sz w:val="20"/>
                <w:szCs w:val="20"/>
              </w:rPr>
            </w:pPr>
            <w:r>
              <w:rPr>
                <w:spacing w:val="4"/>
                <w:sz w:val="20"/>
                <w:szCs w:val="20"/>
              </w:rPr>
              <w:t>相对</w:t>
            </w:r>
            <w:r>
              <w:rPr>
                <w:sz w:val="20"/>
                <w:szCs w:val="20"/>
              </w:rPr>
              <w:t xml:space="preserve"> </w:t>
            </w:r>
            <w:r>
              <w:rPr>
                <w:spacing w:val="5"/>
                <w:sz w:val="20"/>
                <w:szCs w:val="20"/>
              </w:rPr>
              <w:t>厂界</w:t>
            </w:r>
            <w:r>
              <w:rPr>
                <w:sz w:val="20"/>
                <w:szCs w:val="20"/>
              </w:rPr>
              <w:t xml:space="preserve"> </w:t>
            </w:r>
            <w:r>
              <w:rPr>
                <w:spacing w:val="5"/>
                <w:sz w:val="20"/>
                <w:szCs w:val="20"/>
              </w:rPr>
              <w:t>距离</w:t>
            </w:r>
            <w:r>
              <w:rPr>
                <w:sz w:val="20"/>
                <w:szCs w:val="20"/>
              </w:rPr>
              <w:t xml:space="preserve"> </w:t>
            </w:r>
            <w:r>
              <w:rPr>
                <w:rFonts w:ascii="Calibri" w:hAnsi="Calibri" w:eastAsia="Calibri" w:cs="Calibri"/>
                <w:sz w:val="20"/>
                <w:szCs w:val="20"/>
              </w:rPr>
              <w:tab/>
            </w:r>
            <w:r>
              <w:rPr>
                <w:rFonts w:ascii="Calibri" w:hAnsi="Calibri" w:eastAsia="Calibri" w:cs="Calibri"/>
                <w:spacing w:val="10"/>
                <w:sz w:val="20"/>
                <w:szCs w:val="20"/>
              </w:rPr>
              <w:t>/m</w:t>
            </w:r>
          </w:p>
        </w:tc>
      </w:tr>
      <w:tr w14:paraId="3B553B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trPr>
        <w:tc>
          <w:tcPr>
            <w:tcW w:w="471" w:type="dxa"/>
            <w:vMerge w:val="continue"/>
            <w:tcBorders>
              <w:top w:val="nil"/>
              <w:left w:val="single" w:color="000000" w:sz="10" w:space="0"/>
              <w:bottom w:val="nil"/>
            </w:tcBorders>
            <w:vAlign w:val="top"/>
          </w:tcPr>
          <w:p w14:paraId="6AD847CF">
            <w:pPr>
              <w:rPr>
                <w:rFonts w:ascii="Arial"/>
                <w:sz w:val="21"/>
              </w:rPr>
            </w:pPr>
          </w:p>
        </w:tc>
        <w:tc>
          <w:tcPr>
            <w:tcW w:w="1360" w:type="dxa"/>
            <w:gridSpan w:val="2"/>
            <w:vMerge w:val="continue"/>
            <w:tcBorders>
              <w:top w:val="nil"/>
            </w:tcBorders>
            <w:vAlign w:val="top"/>
          </w:tcPr>
          <w:p w14:paraId="06C340C9">
            <w:pPr>
              <w:rPr>
                <w:rFonts w:ascii="Arial"/>
                <w:sz w:val="21"/>
              </w:rPr>
            </w:pPr>
          </w:p>
        </w:tc>
        <w:tc>
          <w:tcPr>
            <w:tcW w:w="1437" w:type="dxa"/>
            <w:gridSpan w:val="2"/>
            <w:vAlign w:val="top"/>
          </w:tcPr>
          <w:p w14:paraId="51EB7BF3">
            <w:pPr>
              <w:spacing w:line="265" w:lineRule="auto"/>
              <w:rPr>
                <w:rFonts w:ascii="Arial"/>
                <w:sz w:val="21"/>
              </w:rPr>
            </w:pPr>
          </w:p>
          <w:p w14:paraId="676F5820">
            <w:pPr>
              <w:pStyle w:val="6"/>
              <w:spacing w:before="65" w:line="228" w:lineRule="auto"/>
              <w:ind w:left="515"/>
              <w:rPr>
                <w:sz w:val="20"/>
                <w:szCs w:val="20"/>
              </w:rPr>
            </w:pPr>
            <w:r>
              <w:rPr>
                <w:spacing w:val="1"/>
                <w:sz w:val="20"/>
                <w:szCs w:val="20"/>
              </w:rPr>
              <w:t>东经</w:t>
            </w:r>
          </w:p>
        </w:tc>
        <w:tc>
          <w:tcPr>
            <w:tcW w:w="1571" w:type="dxa"/>
            <w:gridSpan w:val="2"/>
            <w:vAlign w:val="top"/>
          </w:tcPr>
          <w:p w14:paraId="1F245872">
            <w:pPr>
              <w:spacing w:line="266" w:lineRule="auto"/>
              <w:rPr>
                <w:rFonts w:ascii="Arial"/>
                <w:sz w:val="21"/>
              </w:rPr>
            </w:pPr>
          </w:p>
          <w:p w14:paraId="0D1E9AF6">
            <w:pPr>
              <w:pStyle w:val="6"/>
              <w:spacing w:before="65" w:line="228" w:lineRule="auto"/>
              <w:ind w:left="582"/>
              <w:rPr>
                <w:sz w:val="20"/>
                <w:szCs w:val="20"/>
              </w:rPr>
            </w:pPr>
            <w:r>
              <w:rPr>
                <w:spacing w:val="3"/>
                <w:sz w:val="20"/>
                <w:szCs w:val="20"/>
              </w:rPr>
              <w:t>北纬</w:t>
            </w:r>
          </w:p>
        </w:tc>
        <w:tc>
          <w:tcPr>
            <w:tcW w:w="1157" w:type="dxa"/>
            <w:gridSpan w:val="2"/>
            <w:vMerge w:val="continue"/>
            <w:tcBorders>
              <w:top w:val="nil"/>
            </w:tcBorders>
            <w:vAlign w:val="top"/>
          </w:tcPr>
          <w:p w14:paraId="06CD7C78">
            <w:pPr>
              <w:rPr>
                <w:rFonts w:ascii="Arial"/>
                <w:sz w:val="21"/>
              </w:rPr>
            </w:pPr>
          </w:p>
        </w:tc>
        <w:tc>
          <w:tcPr>
            <w:tcW w:w="1760" w:type="dxa"/>
            <w:vMerge w:val="continue"/>
            <w:tcBorders>
              <w:top w:val="nil"/>
            </w:tcBorders>
            <w:vAlign w:val="top"/>
          </w:tcPr>
          <w:p w14:paraId="073912DA">
            <w:pPr>
              <w:rPr>
                <w:rFonts w:ascii="Arial"/>
                <w:sz w:val="21"/>
              </w:rPr>
            </w:pPr>
          </w:p>
        </w:tc>
        <w:tc>
          <w:tcPr>
            <w:tcW w:w="745" w:type="dxa"/>
            <w:vMerge w:val="continue"/>
            <w:tcBorders>
              <w:top w:val="nil"/>
            </w:tcBorders>
            <w:vAlign w:val="top"/>
          </w:tcPr>
          <w:p w14:paraId="0ED10E11">
            <w:pPr>
              <w:rPr>
                <w:rFonts w:ascii="Arial"/>
                <w:sz w:val="21"/>
              </w:rPr>
            </w:pPr>
          </w:p>
        </w:tc>
        <w:tc>
          <w:tcPr>
            <w:tcW w:w="847" w:type="dxa"/>
            <w:vMerge w:val="continue"/>
            <w:tcBorders>
              <w:top w:val="nil"/>
              <w:right w:val="single" w:color="000000" w:sz="10" w:space="0"/>
            </w:tcBorders>
            <w:vAlign w:val="top"/>
          </w:tcPr>
          <w:p w14:paraId="39C47ED7">
            <w:pPr>
              <w:rPr>
                <w:rFonts w:ascii="Arial"/>
                <w:sz w:val="21"/>
              </w:rPr>
            </w:pPr>
          </w:p>
        </w:tc>
      </w:tr>
      <w:tr w14:paraId="3F910C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1" w:type="dxa"/>
            <w:vMerge w:val="continue"/>
            <w:tcBorders>
              <w:top w:val="nil"/>
              <w:left w:val="single" w:color="000000" w:sz="10" w:space="0"/>
              <w:bottom w:val="nil"/>
            </w:tcBorders>
            <w:vAlign w:val="top"/>
          </w:tcPr>
          <w:p w14:paraId="3752060C">
            <w:pPr>
              <w:rPr>
                <w:rFonts w:ascii="Arial"/>
                <w:sz w:val="21"/>
              </w:rPr>
            </w:pPr>
          </w:p>
        </w:tc>
        <w:tc>
          <w:tcPr>
            <w:tcW w:w="1360" w:type="dxa"/>
            <w:gridSpan w:val="2"/>
            <w:vAlign w:val="top"/>
          </w:tcPr>
          <w:p w14:paraId="3E9843BF">
            <w:pPr>
              <w:pStyle w:val="6"/>
              <w:spacing w:before="247" w:line="228" w:lineRule="auto"/>
              <w:ind w:left="212"/>
              <w:rPr>
                <w:sz w:val="20"/>
                <w:szCs w:val="20"/>
              </w:rPr>
            </w:pPr>
            <w:r>
              <w:rPr>
                <w:spacing w:val="4"/>
                <w:sz w:val="20"/>
                <w:szCs w:val="20"/>
              </w:rPr>
              <w:t>厂址（</w:t>
            </w:r>
            <w:r>
              <w:rPr>
                <w:rFonts w:ascii="Calibri" w:hAnsi="Calibri" w:eastAsia="Calibri" w:cs="Calibri"/>
                <w:spacing w:val="4"/>
                <w:sz w:val="20"/>
                <w:szCs w:val="20"/>
              </w:rPr>
              <w:t>1#</w:t>
            </w:r>
            <w:r>
              <w:rPr>
                <w:spacing w:val="4"/>
                <w:sz w:val="20"/>
                <w:szCs w:val="20"/>
              </w:rPr>
              <w:t>）</w:t>
            </w:r>
          </w:p>
        </w:tc>
        <w:tc>
          <w:tcPr>
            <w:tcW w:w="1437" w:type="dxa"/>
            <w:gridSpan w:val="2"/>
            <w:vAlign w:val="top"/>
          </w:tcPr>
          <w:p w14:paraId="2708AA7C">
            <w:pPr>
              <w:pStyle w:val="6"/>
              <w:spacing w:before="101" w:line="246" w:lineRule="auto"/>
              <w:ind w:left="317" w:right="194" w:hanging="116"/>
              <w:rPr>
                <w:sz w:val="20"/>
                <w:szCs w:val="20"/>
              </w:rPr>
            </w:pPr>
            <w:r>
              <w:rPr>
                <w:rFonts w:ascii="Calibri" w:hAnsi="Calibri" w:eastAsia="Calibri" w:cs="Calibri"/>
                <w:spacing w:val="-5"/>
                <w:sz w:val="20"/>
                <w:szCs w:val="20"/>
              </w:rPr>
              <w:t>E124</w:t>
            </w:r>
            <w:r>
              <w:rPr>
                <w:rFonts w:ascii="Calibri" w:hAnsi="Calibri" w:eastAsia="Calibri" w:cs="Calibri"/>
                <w:spacing w:val="-15"/>
                <w:sz w:val="20"/>
                <w:szCs w:val="20"/>
              </w:rPr>
              <w:t xml:space="preserve"> </w:t>
            </w:r>
            <w:r>
              <w:rPr>
                <w:spacing w:val="-5"/>
                <w:sz w:val="20"/>
                <w:szCs w:val="20"/>
              </w:rPr>
              <w:t>°</w:t>
            </w:r>
            <w:r>
              <w:rPr>
                <w:rFonts w:ascii="Calibri" w:hAnsi="Calibri" w:eastAsia="Calibri" w:cs="Calibri"/>
                <w:spacing w:val="-5"/>
                <w:sz w:val="20"/>
                <w:szCs w:val="20"/>
              </w:rPr>
              <w:t xml:space="preserve">49 </w:t>
            </w:r>
            <w:r>
              <w:rPr>
                <w:spacing w:val="-5"/>
                <w:sz w:val="20"/>
                <w:szCs w:val="20"/>
              </w:rPr>
              <w:t>′</w:t>
            </w:r>
            <w:r>
              <w:rPr>
                <w:sz w:val="20"/>
                <w:szCs w:val="20"/>
              </w:rPr>
              <w:t xml:space="preserve"> </w:t>
            </w:r>
            <w:r>
              <w:rPr>
                <w:rFonts w:ascii="Calibri" w:hAnsi="Calibri" w:eastAsia="Calibri" w:cs="Calibri"/>
                <w:spacing w:val="2"/>
                <w:sz w:val="20"/>
                <w:szCs w:val="20"/>
              </w:rPr>
              <w:t xml:space="preserve">43.209 </w:t>
            </w:r>
            <w:r>
              <w:rPr>
                <w:spacing w:val="2"/>
                <w:sz w:val="20"/>
                <w:szCs w:val="20"/>
              </w:rPr>
              <w:t>″</w:t>
            </w:r>
          </w:p>
        </w:tc>
        <w:tc>
          <w:tcPr>
            <w:tcW w:w="1571" w:type="dxa"/>
            <w:gridSpan w:val="2"/>
            <w:vAlign w:val="top"/>
          </w:tcPr>
          <w:p w14:paraId="77BD9770">
            <w:pPr>
              <w:pStyle w:val="6"/>
              <w:spacing w:before="101" w:line="246" w:lineRule="auto"/>
              <w:ind w:left="393" w:right="294" w:hanging="84"/>
              <w:rPr>
                <w:sz w:val="20"/>
                <w:szCs w:val="20"/>
              </w:rPr>
            </w:pPr>
            <w:r>
              <w:rPr>
                <w:rFonts w:ascii="Calibri" w:hAnsi="Calibri" w:eastAsia="Calibri" w:cs="Calibri"/>
                <w:spacing w:val="-6"/>
                <w:sz w:val="20"/>
                <w:szCs w:val="20"/>
              </w:rPr>
              <w:t>N47</w:t>
            </w:r>
            <w:r>
              <w:rPr>
                <w:rFonts w:ascii="Calibri" w:hAnsi="Calibri" w:eastAsia="Calibri" w:cs="Calibri"/>
                <w:spacing w:val="-16"/>
                <w:sz w:val="20"/>
                <w:szCs w:val="20"/>
              </w:rPr>
              <w:t xml:space="preserve"> </w:t>
            </w:r>
            <w:r>
              <w:rPr>
                <w:spacing w:val="-6"/>
                <w:sz w:val="20"/>
                <w:szCs w:val="20"/>
              </w:rPr>
              <w:t>°</w:t>
            </w:r>
            <w:r>
              <w:rPr>
                <w:rFonts w:ascii="Calibri" w:hAnsi="Calibri" w:eastAsia="Calibri" w:cs="Calibri"/>
                <w:spacing w:val="-6"/>
                <w:sz w:val="20"/>
                <w:szCs w:val="20"/>
              </w:rPr>
              <w:t xml:space="preserve">09 </w:t>
            </w:r>
            <w:r>
              <w:rPr>
                <w:spacing w:val="-6"/>
                <w:sz w:val="20"/>
                <w:szCs w:val="20"/>
              </w:rPr>
              <w:t>′</w:t>
            </w:r>
            <w:r>
              <w:rPr>
                <w:sz w:val="20"/>
                <w:szCs w:val="20"/>
              </w:rPr>
              <w:t xml:space="preserve"> </w:t>
            </w:r>
            <w:r>
              <w:rPr>
                <w:rFonts w:ascii="Calibri" w:hAnsi="Calibri" w:eastAsia="Calibri" w:cs="Calibri"/>
                <w:spacing w:val="1"/>
                <w:sz w:val="20"/>
                <w:szCs w:val="20"/>
              </w:rPr>
              <w:t xml:space="preserve">33.166 </w:t>
            </w:r>
            <w:r>
              <w:rPr>
                <w:spacing w:val="1"/>
                <w:sz w:val="20"/>
                <w:szCs w:val="20"/>
              </w:rPr>
              <w:t>″</w:t>
            </w:r>
          </w:p>
        </w:tc>
        <w:tc>
          <w:tcPr>
            <w:tcW w:w="1157" w:type="dxa"/>
            <w:gridSpan w:val="2"/>
            <w:vMerge w:val="restart"/>
            <w:tcBorders>
              <w:bottom w:val="nil"/>
            </w:tcBorders>
            <w:vAlign w:val="top"/>
          </w:tcPr>
          <w:p w14:paraId="00722ED7">
            <w:pPr>
              <w:spacing w:line="345" w:lineRule="auto"/>
              <w:rPr>
                <w:rFonts w:ascii="Arial"/>
                <w:sz w:val="21"/>
              </w:rPr>
            </w:pPr>
          </w:p>
          <w:p w14:paraId="677C2828">
            <w:pPr>
              <w:pStyle w:val="6"/>
              <w:spacing w:before="65" w:line="280" w:lineRule="auto"/>
              <w:ind w:left="481" w:right="155" w:hanging="311"/>
              <w:rPr>
                <w:sz w:val="20"/>
                <w:szCs w:val="20"/>
              </w:rPr>
            </w:pPr>
            <w:r>
              <w:rPr>
                <w:spacing w:val="6"/>
                <w:sz w:val="20"/>
                <w:szCs w:val="20"/>
              </w:rPr>
              <w:t>非甲烷总</w:t>
            </w:r>
            <w:r>
              <w:rPr>
                <w:spacing w:val="1"/>
                <w:sz w:val="20"/>
                <w:szCs w:val="20"/>
              </w:rPr>
              <w:t xml:space="preserve"> </w:t>
            </w:r>
            <w:r>
              <w:rPr>
                <w:sz w:val="20"/>
                <w:szCs w:val="20"/>
              </w:rPr>
              <w:t>烃</w:t>
            </w:r>
          </w:p>
        </w:tc>
        <w:tc>
          <w:tcPr>
            <w:tcW w:w="1760" w:type="dxa"/>
            <w:vMerge w:val="restart"/>
            <w:tcBorders>
              <w:bottom w:val="nil"/>
            </w:tcBorders>
            <w:vAlign w:val="top"/>
          </w:tcPr>
          <w:p w14:paraId="16687DFB">
            <w:pPr>
              <w:spacing w:line="345" w:lineRule="auto"/>
              <w:rPr>
                <w:rFonts w:ascii="Arial"/>
                <w:sz w:val="21"/>
              </w:rPr>
            </w:pPr>
          </w:p>
          <w:p w14:paraId="035BC2A0">
            <w:pPr>
              <w:pStyle w:val="6"/>
              <w:spacing w:before="65" w:line="280" w:lineRule="auto"/>
              <w:ind w:left="586" w:right="137" w:hanging="426"/>
              <w:rPr>
                <w:sz w:val="20"/>
                <w:szCs w:val="20"/>
              </w:rPr>
            </w:pPr>
            <w:r>
              <w:rPr>
                <w:spacing w:val="8"/>
                <w:sz w:val="20"/>
                <w:szCs w:val="20"/>
              </w:rPr>
              <w:t>非甲烷总烃测小</w:t>
            </w:r>
            <w:r>
              <w:rPr>
                <w:sz w:val="20"/>
                <w:szCs w:val="20"/>
              </w:rPr>
              <w:t xml:space="preserve"> </w:t>
            </w:r>
            <w:r>
              <w:rPr>
                <w:spacing w:val="3"/>
                <w:sz w:val="20"/>
                <w:szCs w:val="20"/>
              </w:rPr>
              <w:t>时均值</w:t>
            </w:r>
          </w:p>
        </w:tc>
        <w:tc>
          <w:tcPr>
            <w:tcW w:w="745" w:type="dxa"/>
            <w:vAlign w:val="top"/>
          </w:tcPr>
          <w:p w14:paraId="2B52DAB9">
            <w:pPr>
              <w:spacing w:before="211" w:line="280" w:lineRule="exact"/>
              <w:ind w:left="340"/>
              <w:rPr>
                <w:rFonts w:ascii="Calibri" w:hAnsi="Calibri" w:eastAsia="Calibri" w:cs="Calibri"/>
                <w:sz w:val="20"/>
                <w:szCs w:val="20"/>
              </w:rPr>
            </w:pPr>
            <w:r>
              <w:rPr>
                <w:rFonts w:ascii="Calibri" w:hAnsi="Calibri" w:eastAsia="Calibri" w:cs="Calibri"/>
                <w:spacing w:val="3"/>
                <w:position w:val="3"/>
                <w:sz w:val="20"/>
                <w:szCs w:val="20"/>
              </w:rPr>
              <w:t>/</w:t>
            </w:r>
          </w:p>
        </w:tc>
        <w:tc>
          <w:tcPr>
            <w:tcW w:w="847" w:type="dxa"/>
            <w:tcBorders>
              <w:right w:val="single" w:color="000000" w:sz="10" w:space="0"/>
            </w:tcBorders>
            <w:vAlign w:val="top"/>
          </w:tcPr>
          <w:p w14:paraId="3E6A106E">
            <w:pPr>
              <w:spacing w:before="290" w:line="186" w:lineRule="auto"/>
              <w:ind w:left="324"/>
              <w:rPr>
                <w:rFonts w:ascii="Calibri" w:hAnsi="Calibri" w:eastAsia="Calibri" w:cs="Calibri"/>
                <w:sz w:val="20"/>
                <w:szCs w:val="20"/>
              </w:rPr>
            </w:pPr>
            <w:r>
              <w:rPr>
                <w:rFonts w:ascii="Calibri" w:hAnsi="Calibri" w:eastAsia="Calibri" w:cs="Calibri"/>
                <w:sz w:val="20"/>
                <w:szCs w:val="20"/>
              </w:rPr>
              <w:t>0</w:t>
            </w:r>
          </w:p>
        </w:tc>
      </w:tr>
      <w:tr w14:paraId="55F7D4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1" w:type="dxa"/>
            <w:vMerge w:val="continue"/>
            <w:tcBorders>
              <w:top w:val="nil"/>
              <w:left w:val="single" w:color="000000" w:sz="10" w:space="0"/>
              <w:bottom w:val="nil"/>
            </w:tcBorders>
            <w:vAlign w:val="top"/>
          </w:tcPr>
          <w:p w14:paraId="454D49C8">
            <w:pPr>
              <w:rPr>
                <w:rFonts w:ascii="Arial"/>
                <w:sz w:val="21"/>
              </w:rPr>
            </w:pPr>
          </w:p>
        </w:tc>
        <w:tc>
          <w:tcPr>
            <w:tcW w:w="1360" w:type="dxa"/>
            <w:gridSpan w:val="2"/>
            <w:vAlign w:val="top"/>
          </w:tcPr>
          <w:p w14:paraId="217C6C7A">
            <w:pPr>
              <w:pStyle w:val="6"/>
              <w:spacing w:before="88" w:line="252" w:lineRule="auto"/>
              <w:ind w:left="329" w:right="214" w:hanging="16"/>
              <w:rPr>
                <w:sz w:val="20"/>
                <w:szCs w:val="20"/>
              </w:rPr>
            </w:pPr>
            <w:r>
              <w:rPr>
                <w:spacing w:val="6"/>
                <w:sz w:val="20"/>
                <w:szCs w:val="20"/>
              </w:rPr>
              <w:t>厂址下风</w:t>
            </w:r>
            <w:r>
              <w:rPr>
                <w:spacing w:val="2"/>
                <w:sz w:val="20"/>
                <w:szCs w:val="20"/>
              </w:rPr>
              <w:t xml:space="preserve"> </w:t>
            </w:r>
            <w:r>
              <w:rPr>
                <w:spacing w:val="-1"/>
                <w:sz w:val="20"/>
                <w:szCs w:val="20"/>
              </w:rPr>
              <w:t>向（</w:t>
            </w:r>
            <w:r>
              <w:rPr>
                <w:rFonts w:ascii="Calibri" w:hAnsi="Calibri" w:eastAsia="Calibri" w:cs="Calibri"/>
                <w:spacing w:val="-1"/>
                <w:sz w:val="20"/>
                <w:szCs w:val="20"/>
              </w:rPr>
              <w:t>2#</w:t>
            </w:r>
            <w:r>
              <w:rPr>
                <w:spacing w:val="-1"/>
                <w:sz w:val="20"/>
                <w:szCs w:val="20"/>
              </w:rPr>
              <w:t>）</w:t>
            </w:r>
          </w:p>
        </w:tc>
        <w:tc>
          <w:tcPr>
            <w:tcW w:w="1437" w:type="dxa"/>
            <w:gridSpan w:val="2"/>
            <w:vAlign w:val="top"/>
          </w:tcPr>
          <w:p w14:paraId="31F18DE5">
            <w:pPr>
              <w:pStyle w:val="6"/>
              <w:spacing w:before="101" w:line="246" w:lineRule="auto"/>
              <w:ind w:left="317" w:right="194" w:hanging="116"/>
              <w:rPr>
                <w:sz w:val="20"/>
                <w:szCs w:val="20"/>
              </w:rPr>
            </w:pPr>
            <w:r>
              <w:rPr>
                <w:rFonts w:ascii="Calibri" w:hAnsi="Calibri" w:eastAsia="Calibri" w:cs="Calibri"/>
                <w:spacing w:val="-5"/>
                <w:sz w:val="20"/>
                <w:szCs w:val="20"/>
              </w:rPr>
              <w:t>E124</w:t>
            </w:r>
            <w:r>
              <w:rPr>
                <w:rFonts w:ascii="Calibri" w:hAnsi="Calibri" w:eastAsia="Calibri" w:cs="Calibri"/>
                <w:spacing w:val="-15"/>
                <w:sz w:val="20"/>
                <w:szCs w:val="20"/>
              </w:rPr>
              <w:t xml:space="preserve"> </w:t>
            </w:r>
            <w:r>
              <w:rPr>
                <w:spacing w:val="-5"/>
                <w:sz w:val="20"/>
                <w:szCs w:val="20"/>
              </w:rPr>
              <w:t>°</w:t>
            </w:r>
            <w:r>
              <w:rPr>
                <w:rFonts w:ascii="Calibri" w:hAnsi="Calibri" w:eastAsia="Calibri" w:cs="Calibri"/>
                <w:spacing w:val="-5"/>
                <w:sz w:val="20"/>
                <w:szCs w:val="20"/>
              </w:rPr>
              <w:t xml:space="preserve">49 </w:t>
            </w:r>
            <w:r>
              <w:rPr>
                <w:spacing w:val="-5"/>
                <w:sz w:val="20"/>
                <w:szCs w:val="20"/>
              </w:rPr>
              <w:t>′</w:t>
            </w:r>
            <w:r>
              <w:rPr>
                <w:sz w:val="20"/>
                <w:szCs w:val="20"/>
              </w:rPr>
              <w:t xml:space="preserve"> </w:t>
            </w:r>
            <w:r>
              <w:rPr>
                <w:rFonts w:ascii="Calibri" w:hAnsi="Calibri" w:eastAsia="Calibri" w:cs="Calibri"/>
                <w:spacing w:val="2"/>
                <w:sz w:val="20"/>
                <w:szCs w:val="20"/>
              </w:rPr>
              <w:t xml:space="preserve">41.474 </w:t>
            </w:r>
            <w:r>
              <w:rPr>
                <w:spacing w:val="2"/>
                <w:sz w:val="20"/>
                <w:szCs w:val="20"/>
              </w:rPr>
              <w:t>″</w:t>
            </w:r>
          </w:p>
        </w:tc>
        <w:tc>
          <w:tcPr>
            <w:tcW w:w="1571" w:type="dxa"/>
            <w:gridSpan w:val="2"/>
            <w:vAlign w:val="top"/>
          </w:tcPr>
          <w:p w14:paraId="0184D647">
            <w:pPr>
              <w:pStyle w:val="6"/>
              <w:spacing w:before="101" w:line="246" w:lineRule="auto"/>
              <w:ind w:left="393" w:right="294" w:hanging="84"/>
              <w:rPr>
                <w:sz w:val="20"/>
                <w:szCs w:val="20"/>
              </w:rPr>
            </w:pPr>
            <w:r>
              <w:rPr>
                <w:rFonts w:ascii="Calibri" w:hAnsi="Calibri" w:eastAsia="Calibri" w:cs="Calibri"/>
                <w:spacing w:val="-6"/>
                <w:sz w:val="20"/>
                <w:szCs w:val="20"/>
              </w:rPr>
              <w:t>N46</w:t>
            </w:r>
            <w:r>
              <w:rPr>
                <w:rFonts w:ascii="Calibri" w:hAnsi="Calibri" w:eastAsia="Calibri" w:cs="Calibri"/>
                <w:spacing w:val="-16"/>
                <w:sz w:val="20"/>
                <w:szCs w:val="20"/>
              </w:rPr>
              <w:t xml:space="preserve"> </w:t>
            </w:r>
            <w:r>
              <w:rPr>
                <w:spacing w:val="-6"/>
                <w:sz w:val="20"/>
                <w:szCs w:val="20"/>
              </w:rPr>
              <w:t>°</w:t>
            </w:r>
            <w:r>
              <w:rPr>
                <w:rFonts w:ascii="Calibri" w:hAnsi="Calibri" w:eastAsia="Calibri" w:cs="Calibri"/>
                <w:spacing w:val="-6"/>
                <w:sz w:val="20"/>
                <w:szCs w:val="20"/>
              </w:rPr>
              <w:t xml:space="preserve">09 </w:t>
            </w:r>
            <w:r>
              <w:rPr>
                <w:spacing w:val="-6"/>
                <w:sz w:val="20"/>
                <w:szCs w:val="20"/>
              </w:rPr>
              <w:t>′</w:t>
            </w:r>
            <w:r>
              <w:rPr>
                <w:sz w:val="20"/>
                <w:szCs w:val="20"/>
              </w:rPr>
              <w:t xml:space="preserve"> </w:t>
            </w:r>
            <w:r>
              <w:rPr>
                <w:rFonts w:ascii="Calibri" w:hAnsi="Calibri" w:eastAsia="Calibri" w:cs="Calibri"/>
                <w:spacing w:val="1"/>
                <w:sz w:val="20"/>
                <w:szCs w:val="20"/>
              </w:rPr>
              <w:t xml:space="preserve">33.325 </w:t>
            </w:r>
            <w:r>
              <w:rPr>
                <w:spacing w:val="1"/>
                <w:sz w:val="20"/>
                <w:szCs w:val="20"/>
              </w:rPr>
              <w:t>″</w:t>
            </w:r>
          </w:p>
        </w:tc>
        <w:tc>
          <w:tcPr>
            <w:tcW w:w="1157" w:type="dxa"/>
            <w:gridSpan w:val="2"/>
            <w:vMerge w:val="continue"/>
            <w:tcBorders>
              <w:top w:val="nil"/>
            </w:tcBorders>
            <w:vAlign w:val="top"/>
          </w:tcPr>
          <w:p w14:paraId="0228E19A">
            <w:pPr>
              <w:rPr>
                <w:rFonts w:ascii="Arial"/>
                <w:sz w:val="21"/>
              </w:rPr>
            </w:pPr>
          </w:p>
        </w:tc>
        <w:tc>
          <w:tcPr>
            <w:tcW w:w="1760" w:type="dxa"/>
            <w:vMerge w:val="continue"/>
            <w:tcBorders>
              <w:top w:val="nil"/>
            </w:tcBorders>
            <w:vAlign w:val="top"/>
          </w:tcPr>
          <w:p w14:paraId="6CFF57DE">
            <w:pPr>
              <w:rPr>
                <w:rFonts w:ascii="Arial"/>
                <w:sz w:val="21"/>
              </w:rPr>
            </w:pPr>
          </w:p>
        </w:tc>
        <w:tc>
          <w:tcPr>
            <w:tcW w:w="745" w:type="dxa"/>
            <w:vAlign w:val="top"/>
          </w:tcPr>
          <w:p w14:paraId="48BA482A">
            <w:pPr>
              <w:pStyle w:val="6"/>
              <w:spacing w:before="88" w:line="252" w:lineRule="auto"/>
              <w:ind w:left="280" w:right="152" w:hanging="98"/>
              <w:rPr>
                <w:sz w:val="20"/>
                <w:szCs w:val="20"/>
              </w:rPr>
            </w:pPr>
            <w:r>
              <w:rPr>
                <w:spacing w:val="2"/>
                <w:sz w:val="20"/>
                <w:szCs w:val="20"/>
              </w:rPr>
              <w:t>西北</w:t>
            </w:r>
            <w:r>
              <w:rPr>
                <w:sz w:val="20"/>
                <w:szCs w:val="20"/>
              </w:rPr>
              <w:t xml:space="preserve"> </w:t>
            </w:r>
            <w:r>
              <w:rPr>
                <w:spacing w:val="2"/>
                <w:sz w:val="20"/>
                <w:szCs w:val="20"/>
              </w:rPr>
              <w:t>侧</w:t>
            </w:r>
          </w:p>
        </w:tc>
        <w:tc>
          <w:tcPr>
            <w:tcW w:w="847" w:type="dxa"/>
            <w:tcBorders>
              <w:right w:val="single" w:color="000000" w:sz="10" w:space="0"/>
            </w:tcBorders>
            <w:vAlign w:val="top"/>
          </w:tcPr>
          <w:p w14:paraId="4D2B874B">
            <w:pPr>
              <w:spacing w:before="291" w:line="186" w:lineRule="auto"/>
              <w:ind w:left="276"/>
              <w:rPr>
                <w:rFonts w:ascii="Calibri" w:hAnsi="Calibri" w:eastAsia="Calibri" w:cs="Calibri"/>
                <w:sz w:val="20"/>
                <w:szCs w:val="20"/>
              </w:rPr>
            </w:pPr>
            <w:r>
              <w:rPr>
                <w:rFonts w:ascii="Calibri" w:hAnsi="Calibri" w:eastAsia="Calibri" w:cs="Calibri"/>
                <w:spacing w:val="-2"/>
                <w:sz w:val="20"/>
                <w:szCs w:val="20"/>
              </w:rPr>
              <w:t>20</w:t>
            </w:r>
          </w:p>
        </w:tc>
      </w:tr>
      <w:tr w14:paraId="1CB141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1" w:type="dxa"/>
            <w:vMerge w:val="continue"/>
            <w:tcBorders>
              <w:top w:val="nil"/>
              <w:left w:val="single" w:color="000000" w:sz="10" w:space="0"/>
              <w:bottom w:val="nil"/>
            </w:tcBorders>
            <w:vAlign w:val="top"/>
          </w:tcPr>
          <w:p w14:paraId="00C42779">
            <w:pPr>
              <w:rPr>
                <w:rFonts w:ascii="Arial"/>
                <w:sz w:val="21"/>
              </w:rPr>
            </w:pPr>
          </w:p>
        </w:tc>
        <w:tc>
          <w:tcPr>
            <w:tcW w:w="1360" w:type="dxa"/>
            <w:gridSpan w:val="2"/>
            <w:vAlign w:val="top"/>
          </w:tcPr>
          <w:p w14:paraId="4934F6CD">
            <w:pPr>
              <w:pStyle w:val="6"/>
              <w:spacing w:before="249" w:line="228" w:lineRule="auto"/>
              <w:ind w:left="212"/>
              <w:rPr>
                <w:sz w:val="20"/>
                <w:szCs w:val="20"/>
              </w:rPr>
            </w:pPr>
            <w:r>
              <w:rPr>
                <w:spacing w:val="4"/>
                <w:sz w:val="20"/>
                <w:szCs w:val="20"/>
              </w:rPr>
              <w:t>厂址（</w:t>
            </w:r>
            <w:r>
              <w:rPr>
                <w:rFonts w:ascii="Calibri" w:hAnsi="Calibri" w:eastAsia="Calibri" w:cs="Calibri"/>
                <w:spacing w:val="4"/>
                <w:sz w:val="20"/>
                <w:szCs w:val="20"/>
              </w:rPr>
              <w:t>1#</w:t>
            </w:r>
            <w:r>
              <w:rPr>
                <w:spacing w:val="4"/>
                <w:sz w:val="20"/>
                <w:szCs w:val="20"/>
              </w:rPr>
              <w:t>）</w:t>
            </w:r>
          </w:p>
        </w:tc>
        <w:tc>
          <w:tcPr>
            <w:tcW w:w="1437" w:type="dxa"/>
            <w:gridSpan w:val="2"/>
            <w:vAlign w:val="top"/>
          </w:tcPr>
          <w:p w14:paraId="3F7114B0">
            <w:pPr>
              <w:pStyle w:val="6"/>
              <w:spacing w:before="103" w:line="245" w:lineRule="auto"/>
              <w:ind w:left="317" w:right="194" w:hanging="116"/>
              <w:rPr>
                <w:sz w:val="20"/>
                <w:szCs w:val="20"/>
              </w:rPr>
            </w:pPr>
            <w:r>
              <w:rPr>
                <w:rFonts w:ascii="Calibri" w:hAnsi="Calibri" w:eastAsia="Calibri" w:cs="Calibri"/>
                <w:spacing w:val="-5"/>
                <w:sz w:val="20"/>
                <w:szCs w:val="20"/>
              </w:rPr>
              <w:t>E124</w:t>
            </w:r>
            <w:r>
              <w:rPr>
                <w:rFonts w:ascii="Calibri" w:hAnsi="Calibri" w:eastAsia="Calibri" w:cs="Calibri"/>
                <w:spacing w:val="-15"/>
                <w:sz w:val="20"/>
                <w:szCs w:val="20"/>
              </w:rPr>
              <w:t xml:space="preserve"> </w:t>
            </w:r>
            <w:r>
              <w:rPr>
                <w:spacing w:val="-5"/>
                <w:sz w:val="20"/>
                <w:szCs w:val="20"/>
              </w:rPr>
              <w:t>°</w:t>
            </w:r>
            <w:r>
              <w:rPr>
                <w:rFonts w:ascii="Calibri" w:hAnsi="Calibri" w:eastAsia="Calibri" w:cs="Calibri"/>
                <w:spacing w:val="-5"/>
                <w:sz w:val="20"/>
                <w:szCs w:val="20"/>
              </w:rPr>
              <w:t xml:space="preserve">49 </w:t>
            </w:r>
            <w:r>
              <w:rPr>
                <w:spacing w:val="-5"/>
                <w:sz w:val="20"/>
                <w:szCs w:val="20"/>
              </w:rPr>
              <w:t>′</w:t>
            </w:r>
            <w:r>
              <w:rPr>
                <w:sz w:val="20"/>
                <w:szCs w:val="20"/>
              </w:rPr>
              <w:t xml:space="preserve"> </w:t>
            </w:r>
            <w:r>
              <w:rPr>
                <w:rFonts w:ascii="Calibri" w:hAnsi="Calibri" w:eastAsia="Calibri" w:cs="Calibri"/>
                <w:spacing w:val="2"/>
                <w:sz w:val="20"/>
                <w:szCs w:val="20"/>
              </w:rPr>
              <w:t xml:space="preserve">43.209 </w:t>
            </w:r>
            <w:r>
              <w:rPr>
                <w:spacing w:val="2"/>
                <w:sz w:val="20"/>
                <w:szCs w:val="20"/>
              </w:rPr>
              <w:t>″</w:t>
            </w:r>
          </w:p>
        </w:tc>
        <w:tc>
          <w:tcPr>
            <w:tcW w:w="1571" w:type="dxa"/>
            <w:gridSpan w:val="2"/>
            <w:vAlign w:val="top"/>
          </w:tcPr>
          <w:p w14:paraId="337074F2">
            <w:pPr>
              <w:pStyle w:val="6"/>
              <w:spacing w:before="103" w:line="245" w:lineRule="auto"/>
              <w:ind w:left="393" w:right="294" w:hanging="84"/>
              <w:rPr>
                <w:sz w:val="20"/>
                <w:szCs w:val="20"/>
              </w:rPr>
            </w:pPr>
            <w:r>
              <w:rPr>
                <w:rFonts w:ascii="Calibri" w:hAnsi="Calibri" w:eastAsia="Calibri" w:cs="Calibri"/>
                <w:spacing w:val="-6"/>
                <w:sz w:val="20"/>
                <w:szCs w:val="20"/>
              </w:rPr>
              <w:t>N47</w:t>
            </w:r>
            <w:r>
              <w:rPr>
                <w:rFonts w:ascii="Calibri" w:hAnsi="Calibri" w:eastAsia="Calibri" w:cs="Calibri"/>
                <w:spacing w:val="-16"/>
                <w:sz w:val="20"/>
                <w:szCs w:val="20"/>
              </w:rPr>
              <w:t xml:space="preserve"> </w:t>
            </w:r>
            <w:r>
              <w:rPr>
                <w:spacing w:val="-6"/>
                <w:sz w:val="20"/>
                <w:szCs w:val="20"/>
              </w:rPr>
              <w:t>°</w:t>
            </w:r>
            <w:r>
              <w:rPr>
                <w:rFonts w:ascii="Calibri" w:hAnsi="Calibri" w:eastAsia="Calibri" w:cs="Calibri"/>
                <w:spacing w:val="-6"/>
                <w:sz w:val="20"/>
                <w:szCs w:val="20"/>
              </w:rPr>
              <w:t xml:space="preserve">09 </w:t>
            </w:r>
            <w:r>
              <w:rPr>
                <w:spacing w:val="-6"/>
                <w:sz w:val="20"/>
                <w:szCs w:val="20"/>
              </w:rPr>
              <w:t>′</w:t>
            </w:r>
            <w:r>
              <w:rPr>
                <w:sz w:val="20"/>
                <w:szCs w:val="20"/>
              </w:rPr>
              <w:t xml:space="preserve"> </w:t>
            </w:r>
            <w:r>
              <w:rPr>
                <w:rFonts w:ascii="Calibri" w:hAnsi="Calibri" w:eastAsia="Calibri" w:cs="Calibri"/>
                <w:spacing w:val="1"/>
                <w:sz w:val="20"/>
                <w:szCs w:val="20"/>
              </w:rPr>
              <w:t xml:space="preserve">33.166 </w:t>
            </w:r>
            <w:r>
              <w:rPr>
                <w:spacing w:val="1"/>
                <w:sz w:val="20"/>
                <w:szCs w:val="20"/>
              </w:rPr>
              <w:t>″</w:t>
            </w:r>
          </w:p>
        </w:tc>
        <w:tc>
          <w:tcPr>
            <w:tcW w:w="1157" w:type="dxa"/>
            <w:gridSpan w:val="2"/>
            <w:vMerge w:val="restart"/>
            <w:tcBorders>
              <w:bottom w:val="nil"/>
            </w:tcBorders>
            <w:vAlign w:val="top"/>
          </w:tcPr>
          <w:p w14:paraId="74753365">
            <w:pPr>
              <w:spacing w:line="276" w:lineRule="auto"/>
              <w:rPr>
                <w:rFonts w:ascii="Arial"/>
                <w:sz w:val="21"/>
              </w:rPr>
            </w:pPr>
          </w:p>
          <w:p w14:paraId="429F0FA8">
            <w:pPr>
              <w:spacing w:line="276" w:lineRule="auto"/>
              <w:rPr>
                <w:rFonts w:ascii="Arial"/>
                <w:sz w:val="21"/>
              </w:rPr>
            </w:pPr>
          </w:p>
          <w:p w14:paraId="6320C388">
            <w:pPr>
              <w:spacing w:before="61" w:line="186" w:lineRule="auto"/>
              <w:ind w:left="426"/>
              <w:rPr>
                <w:rFonts w:ascii="Calibri" w:hAnsi="Calibri" w:eastAsia="Calibri" w:cs="Calibri"/>
                <w:sz w:val="20"/>
                <w:szCs w:val="20"/>
              </w:rPr>
            </w:pPr>
            <w:r>
              <w:rPr>
                <w:rFonts w:ascii="Calibri" w:hAnsi="Calibri" w:eastAsia="Calibri" w:cs="Calibri"/>
                <w:spacing w:val="3"/>
                <w:sz w:val="20"/>
                <w:szCs w:val="20"/>
              </w:rPr>
              <w:t>TSP</w:t>
            </w:r>
          </w:p>
        </w:tc>
        <w:tc>
          <w:tcPr>
            <w:tcW w:w="1760" w:type="dxa"/>
            <w:vMerge w:val="restart"/>
            <w:tcBorders>
              <w:bottom w:val="nil"/>
            </w:tcBorders>
            <w:vAlign w:val="top"/>
          </w:tcPr>
          <w:p w14:paraId="360672EA">
            <w:pPr>
              <w:spacing w:line="252" w:lineRule="auto"/>
              <w:rPr>
                <w:rFonts w:ascii="Arial"/>
                <w:sz w:val="21"/>
              </w:rPr>
            </w:pPr>
          </w:p>
          <w:p w14:paraId="7AFDB479">
            <w:pPr>
              <w:spacing w:line="252" w:lineRule="auto"/>
              <w:rPr>
                <w:rFonts w:ascii="Arial"/>
                <w:sz w:val="21"/>
              </w:rPr>
            </w:pPr>
          </w:p>
          <w:p w14:paraId="73C5F048">
            <w:pPr>
              <w:pStyle w:val="6"/>
              <w:spacing w:before="65" w:line="228" w:lineRule="auto"/>
              <w:ind w:left="343"/>
              <w:rPr>
                <w:sz w:val="20"/>
                <w:szCs w:val="20"/>
              </w:rPr>
            </w:pPr>
            <w:r>
              <w:rPr>
                <w:rFonts w:ascii="Calibri" w:hAnsi="Calibri" w:eastAsia="Calibri" w:cs="Calibri"/>
                <w:spacing w:val="3"/>
                <w:sz w:val="20"/>
                <w:szCs w:val="20"/>
              </w:rPr>
              <w:t>24</w:t>
            </w:r>
            <w:r>
              <w:rPr>
                <w:rFonts w:ascii="Calibri" w:hAnsi="Calibri" w:eastAsia="Calibri" w:cs="Calibri"/>
                <w:spacing w:val="23"/>
                <w:sz w:val="20"/>
                <w:szCs w:val="20"/>
              </w:rPr>
              <w:t xml:space="preserve"> </w:t>
            </w:r>
            <w:r>
              <w:rPr>
                <w:spacing w:val="3"/>
                <w:sz w:val="20"/>
                <w:szCs w:val="20"/>
              </w:rPr>
              <w:t>小时均值</w:t>
            </w:r>
          </w:p>
        </w:tc>
        <w:tc>
          <w:tcPr>
            <w:tcW w:w="745" w:type="dxa"/>
            <w:vAlign w:val="top"/>
          </w:tcPr>
          <w:p w14:paraId="36AECC05">
            <w:pPr>
              <w:spacing w:before="214" w:line="280" w:lineRule="exact"/>
              <w:ind w:left="340"/>
              <w:rPr>
                <w:rFonts w:ascii="Calibri" w:hAnsi="Calibri" w:eastAsia="Calibri" w:cs="Calibri"/>
                <w:sz w:val="20"/>
                <w:szCs w:val="20"/>
              </w:rPr>
            </w:pPr>
            <w:r>
              <w:rPr>
                <w:rFonts w:ascii="Calibri" w:hAnsi="Calibri" w:eastAsia="Calibri" w:cs="Calibri"/>
                <w:spacing w:val="3"/>
                <w:position w:val="3"/>
                <w:sz w:val="20"/>
                <w:szCs w:val="20"/>
              </w:rPr>
              <w:t>/</w:t>
            </w:r>
          </w:p>
        </w:tc>
        <w:tc>
          <w:tcPr>
            <w:tcW w:w="847" w:type="dxa"/>
            <w:tcBorders>
              <w:right w:val="single" w:color="000000" w:sz="10" w:space="0"/>
            </w:tcBorders>
            <w:vAlign w:val="top"/>
          </w:tcPr>
          <w:p w14:paraId="68BCA68F">
            <w:pPr>
              <w:spacing w:before="293" w:line="186" w:lineRule="auto"/>
              <w:ind w:left="324"/>
              <w:rPr>
                <w:rFonts w:ascii="Calibri" w:hAnsi="Calibri" w:eastAsia="Calibri" w:cs="Calibri"/>
                <w:sz w:val="20"/>
                <w:szCs w:val="20"/>
              </w:rPr>
            </w:pPr>
            <w:r>
              <w:rPr>
                <w:rFonts w:ascii="Calibri" w:hAnsi="Calibri" w:eastAsia="Calibri" w:cs="Calibri"/>
                <w:sz w:val="20"/>
                <w:szCs w:val="20"/>
              </w:rPr>
              <w:t>0</w:t>
            </w:r>
          </w:p>
        </w:tc>
      </w:tr>
      <w:tr w14:paraId="12DC97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1" w:type="dxa"/>
            <w:vMerge w:val="continue"/>
            <w:tcBorders>
              <w:top w:val="nil"/>
              <w:left w:val="single" w:color="000000" w:sz="10" w:space="0"/>
              <w:bottom w:val="nil"/>
            </w:tcBorders>
            <w:vAlign w:val="top"/>
          </w:tcPr>
          <w:p w14:paraId="1239945A">
            <w:pPr>
              <w:rPr>
                <w:rFonts w:ascii="Arial"/>
                <w:sz w:val="21"/>
              </w:rPr>
            </w:pPr>
          </w:p>
        </w:tc>
        <w:tc>
          <w:tcPr>
            <w:tcW w:w="1360" w:type="dxa"/>
            <w:gridSpan w:val="2"/>
            <w:vAlign w:val="top"/>
          </w:tcPr>
          <w:p w14:paraId="4525D7FB">
            <w:pPr>
              <w:pStyle w:val="6"/>
              <w:spacing w:before="90" w:line="251" w:lineRule="auto"/>
              <w:ind w:left="329" w:right="214" w:hanging="16"/>
              <w:rPr>
                <w:sz w:val="20"/>
                <w:szCs w:val="20"/>
              </w:rPr>
            </w:pPr>
            <w:r>
              <w:rPr>
                <w:spacing w:val="6"/>
                <w:sz w:val="20"/>
                <w:szCs w:val="20"/>
              </w:rPr>
              <w:t>厂址下风</w:t>
            </w:r>
            <w:r>
              <w:rPr>
                <w:spacing w:val="2"/>
                <w:sz w:val="20"/>
                <w:szCs w:val="20"/>
              </w:rPr>
              <w:t xml:space="preserve"> </w:t>
            </w:r>
            <w:r>
              <w:rPr>
                <w:spacing w:val="-1"/>
                <w:sz w:val="20"/>
                <w:szCs w:val="20"/>
              </w:rPr>
              <w:t>向（</w:t>
            </w:r>
            <w:r>
              <w:rPr>
                <w:rFonts w:ascii="Calibri" w:hAnsi="Calibri" w:eastAsia="Calibri" w:cs="Calibri"/>
                <w:spacing w:val="-1"/>
                <w:sz w:val="20"/>
                <w:szCs w:val="20"/>
              </w:rPr>
              <w:t>2#</w:t>
            </w:r>
            <w:r>
              <w:rPr>
                <w:spacing w:val="-1"/>
                <w:sz w:val="20"/>
                <w:szCs w:val="20"/>
              </w:rPr>
              <w:t>）</w:t>
            </w:r>
          </w:p>
        </w:tc>
        <w:tc>
          <w:tcPr>
            <w:tcW w:w="1437" w:type="dxa"/>
            <w:gridSpan w:val="2"/>
            <w:vAlign w:val="top"/>
          </w:tcPr>
          <w:p w14:paraId="5FFAE98C">
            <w:pPr>
              <w:pStyle w:val="6"/>
              <w:spacing w:before="105" w:line="244" w:lineRule="auto"/>
              <w:ind w:left="317" w:right="194" w:hanging="116"/>
              <w:rPr>
                <w:sz w:val="20"/>
                <w:szCs w:val="20"/>
              </w:rPr>
            </w:pPr>
            <w:r>
              <w:rPr>
                <w:rFonts w:ascii="Calibri" w:hAnsi="Calibri" w:eastAsia="Calibri" w:cs="Calibri"/>
                <w:spacing w:val="-5"/>
                <w:sz w:val="20"/>
                <w:szCs w:val="20"/>
              </w:rPr>
              <w:t>E124</w:t>
            </w:r>
            <w:r>
              <w:rPr>
                <w:rFonts w:ascii="Calibri" w:hAnsi="Calibri" w:eastAsia="Calibri" w:cs="Calibri"/>
                <w:spacing w:val="-15"/>
                <w:sz w:val="20"/>
                <w:szCs w:val="20"/>
              </w:rPr>
              <w:t xml:space="preserve"> </w:t>
            </w:r>
            <w:r>
              <w:rPr>
                <w:spacing w:val="-5"/>
                <w:sz w:val="20"/>
                <w:szCs w:val="20"/>
              </w:rPr>
              <w:t>°</w:t>
            </w:r>
            <w:r>
              <w:rPr>
                <w:rFonts w:ascii="Calibri" w:hAnsi="Calibri" w:eastAsia="Calibri" w:cs="Calibri"/>
                <w:spacing w:val="-5"/>
                <w:sz w:val="20"/>
                <w:szCs w:val="20"/>
              </w:rPr>
              <w:t xml:space="preserve">49 </w:t>
            </w:r>
            <w:r>
              <w:rPr>
                <w:spacing w:val="-5"/>
                <w:sz w:val="20"/>
                <w:szCs w:val="20"/>
              </w:rPr>
              <w:t>′</w:t>
            </w:r>
            <w:r>
              <w:rPr>
                <w:sz w:val="20"/>
                <w:szCs w:val="20"/>
              </w:rPr>
              <w:t xml:space="preserve"> </w:t>
            </w:r>
            <w:r>
              <w:rPr>
                <w:rFonts w:ascii="Calibri" w:hAnsi="Calibri" w:eastAsia="Calibri" w:cs="Calibri"/>
                <w:spacing w:val="2"/>
                <w:sz w:val="20"/>
                <w:szCs w:val="20"/>
              </w:rPr>
              <w:t xml:space="preserve">41.474 </w:t>
            </w:r>
            <w:r>
              <w:rPr>
                <w:spacing w:val="2"/>
                <w:sz w:val="20"/>
                <w:szCs w:val="20"/>
              </w:rPr>
              <w:t>″</w:t>
            </w:r>
          </w:p>
        </w:tc>
        <w:tc>
          <w:tcPr>
            <w:tcW w:w="1571" w:type="dxa"/>
            <w:gridSpan w:val="2"/>
            <w:vAlign w:val="top"/>
          </w:tcPr>
          <w:p w14:paraId="0283AD26">
            <w:pPr>
              <w:pStyle w:val="6"/>
              <w:spacing w:before="105" w:line="244" w:lineRule="auto"/>
              <w:ind w:left="393" w:right="294" w:hanging="84"/>
              <w:rPr>
                <w:sz w:val="20"/>
                <w:szCs w:val="20"/>
              </w:rPr>
            </w:pPr>
            <w:r>
              <w:rPr>
                <w:rFonts w:ascii="Calibri" w:hAnsi="Calibri" w:eastAsia="Calibri" w:cs="Calibri"/>
                <w:spacing w:val="-6"/>
                <w:sz w:val="20"/>
                <w:szCs w:val="20"/>
              </w:rPr>
              <w:t>N46</w:t>
            </w:r>
            <w:r>
              <w:rPr>
                <w:rFonts w:ascii="Calibri" w:hAnsi="Calibri" w:eastAsia="Calibri" w:cs="Calibri"/>
                <w:spacing w:val="-16"/>
                <w:sz w:val="20"/>
                <w:szCs w:val="20"/>
              </w:rPr>
              <w:t xml:space="preserve"> </w:t>
            </w:r>
            <w:r>
              <w:rPr>
                <w:spacing w:val="-6"/>
                <w:sz w:val="20"/>
                <w:szCs w:val="20"/>
              </w:rPr>
              <w:t>°</w:t>
            </w:r>
            <w:r>
              <w:rPr>
                <w:rFonts w:ascii="Calibri" w:hAnsi="Calibri" w:eastAsia="Calibri" w:cs="Calibri"/>
                <w:spacing w:val="-6"/>
                <w:sz w:val="20"/>
                <w:szCs w:val="20"/>
              </w:rPr>
              <w:t xml:space="preserve">09 </w:t>
            </w:r>
            <w:r>
              <w:rPr>
                <w:spacing w:val="-6"/>
                <w:sz w:val="20"/>
                <w:szCs w:val="20"/>
              </w:rPr>
              <w:t>′</w:t>
            </w:r>
            <w:r>
              <w:rPr>
                <w:sz w:val="20"/>
                <w:szCs w:val="20"/>
              </w:rPr>
              <w:t xml:space="preserve"> </w:t>
            </w:r>
            <w:r>
              <w:rPr>
                <w:rFonts w:ascii="Calibri" w:hAnsi="Calibri" w:eastAsia="Calibri" w:cs="Calibri"/>
                <w:spacing w:val="1"/>
                <w:sz w:val="20"/>
                <w:szCs w:val="20"/>
              </w:rPr>
              <w:t xml:space="preserve">33.325 </w:t>
            </w:r>
            <w:r>
              <w:rPr>
                <w:spacing w:val="1"/>
                <w:sz w:val="20"/>
                <w:szCs w:val="20"/>
              </w:rPr>
              <w:t>″</w:t>
            </w:r>
          </w:p>
        </w:tc>
        <w:tc>
          <w:tcPr>
            <w:tcW w:w="1157" w:type="dxa"/>
            <w:gridSpan w:val="2"/>
            <w:vMerge w:val="continue"/>
            <w:tcBorders>
              <w:top w:val="nil"/>
            </w:tcBorders>
            <w:vAlign w:val="top"/>
          </w:tcPr>
          <w:p w14:paraId="1939E4AF">
            <w:pPr>
              <w:rPr>
                <w:rFonts w:ascii="Arial"/>
                <w:sz w:val="21"/>
              </w:rPr>
            </w:pPr>
          </w:p>
        </w:tc>
        <w:tc>
          <w:tcPr>
            <w:tcW w:w="1760" w:type="dxa"/>
            <w:vMerge w:val="continue"/>
            <w:tcBorders>
              <w:top w:val="nil"/>
            </w:tcBorders>
            <w:vAlign w:val="top"/>
          </w:tcPr>
          <w:p w14:paraId="5719CC31">
            <w:pPr>
              <w:rPr>
                <w:rFonts w:ascii="Arial"/>
                <w:sz w:val="21"/>
              </w:rPr>
            </w:pPr>
          </w:p>
        </w:tc>
        <w:tc>
          <w:tcPr>
            <w:tcW w:w="745" w:type="dxa"/>
            <w:vAlign w:val="top"/>
          </w:tcPr>
          <w:p w14:paraId="62E69457">
            <w:pPr>
              <w:pStyle w:val="6"/>
              <w:spacing w:before="90" w:line="251" w:lineRule="auto"/>
              <w:ind w:left="280" w:right="152" w:hanging="98"/>
              <w:rPr>
                <w:sz w:val="20"/>
                <w:szCs w:val="20"/>
              </w:rPr>
            </w:pPr>
            <w:r>
              <w:rPr>
                <w:spacing w:val="2"/>
                <w:sz w:val="20"/>
                <w:szCs w:val="20"/>
              </w:rPr>
              <w:t>西北</w:t>
            </w:r>
            <w:r>
              <w:rPr>
                <w:sz w:val="20"/>
                <w:szCs w:val="20"/>
              </w:rPr>
              <w:t xml:space="preserve"> </w:t>
            </w:r>
            <w:r>
              <w:rPr>
                <w:spacing w:val="2"/>
                <w:sz w:val="20"/>
                <w:szCs w:val="20"/>
              </w:rPr>
              <w:t>侧</w:t>
            </w:r>
          </w:p>
        </w:tc>
        <w:tc>
          <w:tcPr>
            <w:tcW w:w="847" w:type="dxa"/>
            <w:tcBorders>
              <w:right w:val="single" w:color="000000" w:sz="10" w:space="0"/>
            </w:tcBorders>
            <w:vAlign w:val="top"/>
          </w:tcPr>
          <w:p w14:paraId="56EABC76">
            <w:pPr>
              <w:spacing w:before="294" w:line="186" w:lineRule="auto"/>
              <w:ind w:left="276"/>
              <w:rPr>
                <w:rFonts w:ascii="Calibri" w:hAnsi="Calibri" w:eastAsia="Calibri" w:cs="Calibri"/>
                <w:sz w:val="20"/>
                <w:szCs w:val="20"/>
              </w:rPr>
            </w:pPr>
            <w:r>
              <w:rPr>
                <w:rFonts w:ascii="Calibri" w:hAnsi="Calibri" w:eastAsia="Calibri" w:cs="Calibri"/>
                <w:spacing w:val="-2"/>
                <w:sz w:val="20"/>
                <w:szCs w:val="20"/>
              </w:rPr>
              <w:t>20</w:t>
            </w:r>
          </w:p>
        </w:tc>
      </w:tr>
      <w:tr w14:paraId="163535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471" w:type="dxa"/>
            <w:vMerge w:val="continue"/>
            <w:tcBorders>
              <w:top w:val="nil"/>
              <w:left w:val="single" w:color="000000" w:sz="10" w:space="0"/>
              <w:bottom w:val="nil"/>
            </w:tcBorders>
            <w:vAlign w:val="top"/>
          </w:tcPr>
          <w:p w14:paraId="6F389C89">
            <w:pPr>
              <w:rPr>
                <w:rFonts w:ascii="Arial"/>
                <w:sz w:val="21"/>
              </w:rPr>
            </w:pPr>
          </w:p>
        </w:tc>
        <w:tc>
          <w:tcPr>
            <w:tcW w:w="8877" w:type="dxa"/>
            <w:gridSpan w:val="11"/>
            <w:tcBorders>
              <w:bottom w:val="single" w:color="000000" w:sz="10" w:space="0"/>
              <w:right w:val="single" w:color="000000" w:sz="10" w:space="0"/>
            </w:tcBorders>
            <w:vAlign w:val="top"/>
          </w:tcPr>
          <w:p w14:paraId="63056A74">
            <w:pPr>
              <w:pStyle w:val="6"/>
              <w:spacing w:before="50" w:line="220" w:lineRule="auto"/>
              <w:ind w:left="3023"/>
            </w:pPr>
            <w:r>
              <w:rPr>
                <w:b/>
                <w:bCs/>
                <w:spacing w:val="-3"/>
              </w:rPr>
              <w:t>表</w:t>
            </w:r>
            <w:r>
              <w:rPr>
                <w:spacing w:val="-45"/>
              </w:rPr>
              <w:t xml:space="preserve"> </w:t>
            </w:r>
            <w:r>
              <w:rPr>
                <w:b/>
                <w:bCs/>
                <w:spacing w:val="-3"/>
              </w:rPr>
              <w:t>3-2</w:t>
            </w:r>
            <w:r>
              <w:rPr>
                <w:spacing w:val="-3"/>
              </w:rPr>
              <w:t xml:space="preserve">    </w:t>
            </w:r>
            <w:r>
              <w:rPr>
                <w:b/>
                <w:bCs/>
                <w:spacing w:val="-3"/>
              </w:rPr>
              <w:t>监测结果一览表</w:t>
            </w:r>
          </w:p>
        </w:tc>
      </w:tr>
      <w:tr w14:paraId="4D3E1E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1" w:hRule="atLeast"/>
        </w:trPr>
        <w:tc>
          <w:tcPr>
            <w:tcW w:w="471" w:type="dxa"/>
            <w:vMerge w:val="continue"/>
            <w:tcBorders>
              <w:top w:val="nil"/>
              <w:left w:val="single" w:color="000000" w:sz="10" w:space="0"/>
              <w:bottom w:val="nil"/>
            </w:tcBorders>
            <w:vAlign w:val="top"/>
          </w:tcPr>
          <w:p w14:paraId="6DB53385">
            <w:pPr>
              <w:rPr>
                <w:rFonts w:ascii="Arial"/>
                <w:sz w:val="21"/>
              </w:rPr>
            </w:pPr>
          </w:p>
        </w:tc>
        <w:tc>
          <w:tcPr>
            <w:tcW w:w="999" w:type="dxa"/>
            <w:tcBorders>
              <w:top w:val="single" w:color="000000" w:sz="10" w:space="0"/>
            </w:tcBorders>
            <w:vAlign w:val="top"/>
          </w:tcPr>
          <w:p w14:paraId="7AB596CA">
            <w:pPr>
              <w:pStyle w:val="6"/>
              <w:spacing w:before="76" w:line="265" w:lineRule="auto"/>
              <w:ind w:left="444" w:right="138" w:hanging="210"/>
              <w:rPr>
                <w:sz w:val="20"/>
                <w:szCs w:val="20"/>
              </w:rPr>
            </w:pPr>
            <w:r>
              <w:rPr>
                <w:spacing w:val="6"/>
                <w:sz w:val="20"/>
                <w:szCs w:val="20"/>
              </w:rPr>
              <w:t>监测点</w:t>
            </w:r>
            <w:r>
              <w:rPr>
                <w:spacing w:val="1"/>
                <w:sz w:val="20"/>
                <w:szCs w:val="20"/>
              </w:rPr>
              <w:t xml:space="preserve"> </w:t>
            </w:r>
            <w:r>
              <w:rPr>
                <w:sz w:val="20"/>
                <w:szCs w:val="20"/>
              </w:rPr>
              <w:t>位</w:t>
            </w:r>
          </w:p>
        </w:tc>
        <w:tc>
          <w:tcPr>
            <w:tcW w:w="1339" w:type="dxa"/>
            <w:gridSpan w:val="2"/>
            <w:tcBorders>
              <w:top w:val="single" w:color="000000" w:sz="10" w:space="0"/>
            </w:tcBorders>
            <w:vAlign w:val="top"/>
          </w:tcPr>
          <w:p w14:paraId="7AAADD34">
            <w:pPr>
              <w:pStyle w:val="6"/>
              <w:spacing w:before="233" w:line="228" w:lineRule="auto"/>
              <w:ind w:left="248"/>
              <w:rPr>
                <w:sz w:val="20"/>
                <w:szCs w:val="20"/>
              </w:rPr>
            </w:pPr>
            <w:r>
              <w:rPr>
                <w:spacing w:val="7"/>
                <w:sz w:val="20"/>
                <w:szCs w:val="20"/>
              </w:rPr>
              <w:t>监测日期</w:t>
            </w:r>
          </w:p>
        </w:tc>
        <w:tc>
          <w:tcPr>
            <w:tcW w:w="929" w:type="dxa"/>
            <w:gridSpan w:val="2"/>
            <w:tcBorders>
              <w:top w:val="single" w:color="000000" w:sz="10" w:space="0"/>
            </w:tcBorders>
            <w:vAlign w:val="top"/>
          </w:tcPr>
          <w:p w14:paraId="42659DC0">
            <w:pPr>
              <w:pStyle w:val="6"/>
              <w:spacing w:before="76" w:line="265" w:lineRule="auto"/>
              <w:ind w:left="376" w:right="151" w:hanging="225"/>
              <w:rPr>
                <w:sz w:val="20"/>
                <w:szCs w:val="20"/>
              </w:rPr>
            </w:pPr>
            <w:r>
              <w:rPr>
                <w:spacing w:val="7"/>
                <w:sz w:val="20"/>
                <w:szCs w:val="20"/>
              </w:rPr>
              <w:t>采样时</w:t>
            </w:r>
            <w:r>
              <w:rPr>
                <w:sz w:val="20"/>
                <w:szCs w:val="20"/>
              </w:rPr>
              <w:t xml:space="preserve"> 间</w:t>
            </w:r>
          </w:p>
        </w:tc>
        <w:tc>
          <w:tcPr>
            <w:tcW w:w="1546" w:type="dxa"/>
            <w:gridSpan w:val="2"/>
            <w:tcBorders>
              <w:top w:val="single" w:color="000000" w:sz="10" w:space="0"/>
            </w:tcBorders>
            <w:vAlign w:val="top"/>
          </w:tcPr>
          <w:p w14:paraId="583EF5AC">
            <w:pPr>
              <w:pStyle w:val="6"/>
              <w:spacing w:before="76" w:line="265" w:lineRule="auto"/>
              <w:ind w:left="282" w:right="247" w:hanging="26"/>
              <w:rPr>
                <w:sz w:val="20"/>
                <w:szCs w:val="20"/>
              </w:rPr>
            </w:pPr>
            <w:r>
              <w:rPr>
                <w:spacing w:val="7"/>
                <w:sz w:val="20"/>
                <w:szCs w:val="20"/>
              </w:rPr>
              <w:t>非甲烷总烃</w:t>
            </w:r>
            <w:r>
              <w:rPr>
                <w:spacing w:val="1"/>
                <w:sz w:val="20"/>
                <w:szCs w:val="20"/>
              </w:rPr>
              <w:t xml:space="preserve"> （</w:t>
            </w:r>
            <w:r>
              <w:rPr>
                <w:rFonts w:ascii="Calibri" w:hAnsi="Calibri" w:eastAsia="Calibri" w:cs="Calibri"/>
                <w:sz w:val="20"/>
                <w:szCs w:val="20"/>
              </w:rPr>
              <w:t>mg</w:t>
            </w:r>
            <w:r>
              <w:rPr>
                <w:rFonts w:ascii="Calibri" w:hAnsi="Calibri" w:eastAsia="Calibri" w:cs="Calibri"/>
                <w:spacing w:val="1"/>
                <w:sz w:val="20"/>
                <w:szCs w:val="20"/>
              </w:rPr>
              <w:t>/</w:t>
            </w:r>
            <w:r>
              <w:rPr>
                <w:rFonts w:ascii="Calibri" w:hAnsi="Calibri" w:eastAsia="Calibri" w:cs="Calibri"/>
                <w:spacing w:val="-25"/>
                <w:sz w:val="20"/>
                <w:szCs w:val="20"/>
              </w:rPr>
              <w:t xml:space="preserve"> </w:t>
            </w:r>
            <w:r>
              <w:rPr>
                <w:rFonts w:ascii="Calibri" w:hAnsi="Calibri" w:eastAsia="Calibri" w:cs="Calibri"/>
                <w:spacing w:val="1"/>
                <w:sz w:val="20"/>
                <w:szCs w:val="20"/>
              </w:rPr>
              <w:t>m</w:t>
            </w:r>
            <w:r>
              <w:rPr>
                <w:rFonts w:ascii="Calibri" w:hAnsi="Calibri" w:eastAsia="Calibri" w:cs="Calibri"/>
                <w:spacing w:val="1"/>
                <w:position w:val="6"/>
                <w:sz w:val="13"/>
                <w:szCs w:val="13"/>
              </w:rPr>
              <w:t>3</w:t>
            </w:r>
            <w:r>
              <w:rPr>
                <w:spacing w:val="1"/>
                <w:sz w:val="20"/>
                <w:szCs w:val="20"/>
              </w:rPr>
              <w:t>）</w:t>
            </w:r>
          </w:p>
        </w:tc>
        <w:tc>
          <w:tcPr>
            <w:tcW w:w="4064" w:type="dxa"/>
            <w:gridSpan w:val="4"/>
            <w:tcBorders>
              <w:top w:val="single" w:color="000000" w:sz="10" w:space="0"/>
              <w:right w:val="single" w:color="000000" w:sz="10" w:space="0"/>
            </w:tcBorders>
            <w:vAlign w:val="top"/>
          </w:tcPr>
          <w:p w14:paraId="0680DB18">
            <w:pPr>
              <w:pStyle w:val="6"/>
              <w:spacing w:before="233" w:line="228" w:lineRule="auto"/>
              <w:ind w:left="1562"/>
              <w:rPr>
                <w:sz w:val="20"/>
                <w:szCs w:val="20"/>
              </w:rPr>
            </w:pPr>
            <w:r>
              <w:rPr>
                <w:spacing w:val="7"/>
                <w:sz w:val="20"/>
                <w:szCs w:val="20"/>
              </w:rPr>
              <w:t>执行标准</w:t>
            </w:r>
          </w:p>
        </w:tc>
      </w:tr>
      <w:tr w14:paraId="4414A4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1" w:type="dxa"/>
            <w:vMerge w:val="continue"/>
            <w:tcBorders>
              <w:top w:val="nil"/>
              <w:left w:val="single" w:color="000000" w:sz="10" w:space="0"/>
              <w:bottom w:val="nil"/>
            </w:tcBorders>
            <w:vAlign w:val="top"/>
          </w:tcPr>
          <w:p w14:paraId="4E559EC1">
            <w:pPr>
              <w:rPr>
                <w:rFonts w:ascii="Arial"/>
                <w:sz w:val="21"/>
              </w:rPr>
            </w:pPr>
          </w:p>
        </w:tc>
        <w:tc>
          <w:tcPr>
            <w:tcW w:w="999" w:type="dxa"/>
            <w:vMerge w:val="restart"/>
            <w:tcBorders>
              <w:bottom w:val="nil"/>
            </w:tcBorders>
            <w:vAlign w:val="top"/>
          </w:tcPr>
          <w:p w14:paraId="6FB35C99">
            <w:pPr>
              <w:spacing w:line="257" w:lineRule="auto"/>
              <w:rPr>
                <w:rFonts w:ascii="Arial"/>
                <w:sz w:val="21"/>
              </w:rPr>
            </w:pPr>
          </w:p>
          <w:p w14:paraId="75FA3C4C">
            <w:pPr>
              <w:spacing w:line="258" w:lineRule="auto"/>
              <w:rPr>
                <w:rFonts w:ascii="Arial"/>
                <w:sz w:val="21"/>
              </w:rPr>
            </w:pPr>
          </w:p>
          <w:p w14:paraId="3612CB5A">
            <w:pPr>
              <w:spacing w:line="258" w:lineRule="auto"/>
              <w:rPr>
                <w:rFonts w:ascii="Arial"/>
                <w:sz w:val="21"/>
              </w:rPr>
            </w:pPr>
          </w:p>
          <w:p w14:paraId="08FB292F">
            <w:pPr>
              <w:spacing w:line="258" w:lineRule="auto"/>
              <w:rPr>
                <w:rFonts w:ascii="Arial"/>
                <w:sz w:val="21"/>
              </w:rPr>
            </w:pPr>
          </w:p>
          <w:p w14:paraId="2A0F76B2">
            <w:pPr>
              <w:spacing w:line="258" w:lineRule="auto"/>
              <w:rPr>
                <w:rFonts w:ascii="Arial"/>
                <w:sz w:val="21"/>
              </w:rPr>
            </w:pPr>
          </w:p>
          <w:p w14:paraId="02D1EA17">
            <w:pPr>
              <w:spacing w:line="258" w:lineRule="auto"/>
              <w:rPr>
                <w:rFonts w:ascii="Arial"/>
                <w:sz w:val="21"/>
              </w:rPr>
            </w:pPr>
          </w:p>
          <w:p w14:paraId="79F98C01">
            <w:pPr>
              <w:spacing w:line="258" w:lineRule="auto"/>
              <w:rPr>
                <w:rFonts w:ascii="Arial"/>
                <w:sz w:val="21"/>
              </w:rPr>
            </w:pPr>
          </w:p>
          <w:p w14:paraId="06F12F4A">
            <w:pPr>
              <w:pStyle w:val="6"/>
              <w:spacing w:before="65" w:line="228" w:lineRule="auto"/>
              <w:ind w:left="342"/>
              <w:rPr>
                <w:sz w:val="20"/>
                <w:szCs w:val="20"/>
              </w:rPr>
            </w:pPr>
            <w:r>
              <w:rPr>
                <w:spacing w:val="3"/>
                <w:sz w:val="20"/>
                <w:szCs w:val="20"/>
              </w:rPr>
              <w:t>厂址</w:t>
            </w:r>
          </w:p>
        </w:tc>
        <w:tc>
          <w:tcPr>
            <w:tcW w:w="1339" w:type="dxa"/>
            <w:gridSpan w:val="2"/>
            <w:vMerge w:val="restart"/>
            <w:tcBorders>
              <w:bottom w:val="nil"/>
            </w:tcBorders>
            <w:vAlign w:val="top"/>
          </w:tcPr>
          <w:p w14:paraId="7E2F9D1B">
            <w:pPr>
              <w:spacing w:line="342" w:lineRule="auto"/>
              <w:rPr>
                <w:rFonts w:ascii="Arial"/>
                <w:sz w:val="21"/>
              </w:rPr>
            </w:pPr>
          </w:p>
          <w:p w14:paraId="7C2BCF8C">
            <w:pPr>
              <w:pStyle w:val="6"/>
              <w:spacing w:before="65" w:line="276" w:lineRule="auto"/>
              <w:ind w:left="433" w:right="129" w:hanging="324"/>
              <w:rPr>
                <w:sz w:val="20"/>
                <w:szCs w:val="20"/>
              </w:rPr>
            </w:pPr>
            <w:r>
              <w:rPr>
                <w:rFonts w:ascii="Calibri" w:hAnsi="Calibri" w:eastAsia="Calibri" w:cs="Calibri"/>
                <w:spacing w:val="-1"/>
                <w:sz w:val="20"/>
                <w:szCs w:val="20"/>
              </w:rPr>
              <w:t>2024</w:t>
            </w:r>
            <w:r>
              <w:rPr>
                <w:rFonts w:ascii="Calibri" w:hAnsi="Calibri" w:eastAsia="Calibri" w:cs="Calibri"/>
                <w:spacing w:val="20"/>
                <w:sz w:val="20"/>
                <w:szCs w:val="20"/>
              </w:rPr>
              <w:t xml:space="preserve"> </w:t>
            </w:r>
            <w:r>
              <w:rPr>
                <w:spacing w:val="-1"/>
                <w:sz w:val="20"/>
                <w:szCs w:val="20"/>
              </w:rPr>
              <w:t>年</w:t>
            </w:r>
            <w:r>
              <w:rPr>
                <w:spacing w:val="-37"/>
                <w:sz w:val="20"/>
                <w:szCs w:val="20"/>
              </w:rPr>
              <w:t xml:space="preserve"> </w:t>
            </w:r>
            <w:r>
              <w:rPr>
                <w:rFonts w:ascii="Calibri" w:hAnsi="Calibri" w:eastAsia="Calibri" w:cs="Calibri"/>
                <w:spacing w:val="-1"/>
                <w:sz w:val="20"/>
                <w:szCs w:val="20"/>
              </w:rPr>
              <w:t>7</w:t>
            </w:r>
            <w:r>
              <w:rPr>
                <w:rFonts w:ascii="Calibri" w:hAnsi="Calibri" w:eastAsia="Calibri" w:cs="Calibri"/>
                <w:spacing w:val="20"/>
                <w:w w:val="101"/>
                <w:sz w:val="20"/>
                <w:szCs w:val="20"/>
              </w:rPr>
              <w:t xml:space="preserve"> </w:t>
            </w:r>
            <w:r>
              <w:rPr>
                <w:spacing w:val="-1"/>
                <w:sz w:val="20"/>
                <w:szCs w:val="20"/>
              </w:rPr>
              <w:t>月</w:t>
            </w:r>
            <w:r>
              <w:rPr>
                <w:sz w:val="20"/>
                <w:szCs w:val="20"/>
              </w:rPr>
              <w:t xml:space="preserve"> </w:t>
            </w:r>
            <w:r>
              <w:rPr>
                <w:rFonts w:ascii="Calibri" w:hAnsi="Calibri" w:eastAsia="Calibri" w:cs="Calibri"/>
                <w:spacing w:val="-2"/>
                <w:sz w:val="20"/>
                <w:szCs w:val="20"/>
              </w:rPr>
              <w:t>22</w:t>
            </w:r>
            <w:r>
              <w:rPr>
                <w:rFonts w:ascii="Calibri" w:hAnsi="Calibri" w:eastAsia="Calibri" w:cs="Calibri"/>
                <w:spacing w:val="5"/>
                <w:sz w:val="20"/>
                <w:szCs w:val="20"/>
              </w:rPr>
              <w:t xml:space="preserve">  </w:t>
            </w:r>
            <w:r>
              <w:rPr>
                <w:spacing w:val="-2"/>
                <w:sz w:val="20"/>
                <w:szCs w:val="20"/>
              </w:rPr>
              <w:t>日</w:t>
            </w:r>
          </w:p>
        </w:tc>
        <w:tc>
          <w:tcPr>
            <w:tcW w:w="929" w:type="dxa"/>
            <w:gridSpan w:val="2"/>
            <w:vAlign w:val="top"/>
          </w:tcPr>
          <w:p w14:paraId="7F9CFA5F">
            <w:pPr>
              <w:spacing w:before="129" w:line="193"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02:00</w:t>
            </w:r>
          </w:p>
        </w:tc>
        <w:tc>
          <w:tcPr>
            <w:tcW w:w="1546" w:type="dxa"/>
            <w:gridSpan w:val="2"/>
            <w:vAlign w:val="top"/>
          </w:tcPr>
          <w:p w14:paraId="7F255169">
            <w:pPr>
              <w:spacing w:before="107"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0.87</w:t>
            </w:r>
          </w:p>
        </w:tc>
        <w:tc>
          <w:tcPr>
            <w:tcW w:w="4064" w:type="dxa"/>
            <w:gridSpan w:val="4"/>
            <w:vMerge w:val="restart"/>
            <w:tcBorders>
              <w:bottom w:val="nil"/>
              <w:right w:val="single" w:color="000000" w:sz="10" w:space="0"/>
            </w:tcBorders>
            <w:vAlign w:val="top"/>
          </w:tcPr>
          <w:p w14:paraId="49891162">
            <w:pPr>
              <w:spacing w:line="259" w:lineRule="auto"/>
              <w:rPr>
                <w:rFonts w:ascii="Arial"/>
                <w:sz w:val="21"/>
              </w:rPr>
            </w:pPr>
          </w:p>
          <w:p w14:paraId="38D952A9">
            <w:pPr>
              <w:spacing w:line="259" w:lineRule="auto"/>
              <w:rPr>
                <w:rFonts w:ascii="Arial"/>
                <w:sz w:val="21"/>
              </w:rPr>
            </w:pPr>
          </w:p>
          <w:p w14:paraId="50545E7F">
            <w:pPr>
              <w:spacing w:line="259" w:lineRule="auto"/>
              <w:rPr>
                <w:rFonts w:ascii="Arial"/>
                <w:sz w:val="21"/>
              </w:rPr>
            </w:pPr>
          </w:p>
          <w:p w14:paraId="5ED8F62E">
            <w:pPr>
              <w:spacing w:line="259" w:lineRule="auto"/>
              <w:rPr>
                <w:rFonts w:ascii="Arial"/>
                <w:sz w:val="21"/>
              </w:rPr>
            </w:pPr>
          </w:p>
          <w:p w14:paraId="20F5761A">
            <w:pPr>
              <w:spacing w:line="259" w:lineRule="auto"/>
              <w:rPr>
                <w:rFonts w:ascii="Arial"/>
                <w:sz w:val="21"/>
              </w:rPr>
            </w:pPr>
          </w:p>
          <w:p w14:paraId="4586C885">
            <w:pPr>
              <w:spacing w:line="259" w:lineRule="auto"/>
              <w:rPr>
                <w:rFonts w:ascii="Arial"/>
                <w:sz w:val="21"/>
              </w:rPr>
            </w:pPr>
          </w:p>
          <w:p w14:paraId="3EC0A85B">
            <w:pPr>
              <w:spacing w:line="259" w:lineRule="auto"/>
              <w:rPr>
                <w:rFonts w:ascii="Arial"/>
                <w:sz w:val="21"/>
              </w:rPr>
            </w:pPr>
          </w:p>
          <w:p w14:paraId="40202B6C">
            <w:pPr>
              <w:pStyle w:val="6"/>
              <w:spacing w:before="65" w:line="273" w:lineRule="auto"/>
              <w:ind w:left="1534" w:right="512" w:hanging="1121"/>
              <w:rPr>
                <w:rFonts w:ascii="Calibri" w:hAnsi="Calibri" w:eastAsia="Calibri" w:cs="Calibri"/>
                <w:sz w:val="20"/>
                <w:szCs w:val="20"/>
              </w:rPr>
            </w:pPr>
            <w:r>
              <w:rPr>
                <w:spacing w:val="8"/>
                <w:sz w:val="20"/>
                <w:szCs w:val="20"/>
              </w:rPr>
              <w:t>《大气污染物综合排放标准详解》</w:t>
            </w:r>
            <w:r>
              <w:rPr>
                <w:spacing w:val="1"/>
                <w:sz w:val="20"/>
                <w:szCs w:val="20"/>
              </w:rPr>
              <w:t xml:space="preserve"> </w:t>
            </w:r>
            <w:r>
              <w:rPr>
                <w:rFonts w:ascii="Calibri" w:hAnsi="Calibri" w:eastAsia="Calibri" w:cs="Calibri"/>
                <w:spacing w:val="2"/>
                <w:sz w:val="20"/>
                <w:szCs w:val="20"/>
              </w:rPr>
              <w:t>2.0</w:t>
            </w:r>
            <w:r>
              <w:rPr>
                <w:rFonts w:ascii="Calibri" w:hAnsi="Calibri" w:eastAsia="Calibri" w:cs="Calibri"/>
                <w:sz w:val="20"/>
                <w:szCs w:val="20"/>
              </w:rPr>
              <w:t>mg</w:t>
            </w:r>
            <w:r>
              <w:rPr>
                <w:rFonts w:ascii="Calibri" w:hAnsi="Calibri" w:eastAsia="Calibri" w:cs="Calibri"/>
                <w:spacing w:val="2"/>
                <w:sz w:val="20"/>
                <w:szCs w:val="20"/>
              </w:rPr>
              <w:t>/</w:t>
            </w:r>
            <w:r>
              <w:rPr>
                <w:rFonts w:ascii="Calibri" w:hAnsi="Calibri" w:eastAsia="Calibri" w:cs="Calibri"/>
                <w:spacing w:val="24"/>
                <w:sz w:val="20"/>
                <w:szCs w:val="20"/>
              </w:rPr>
              <w:t xml:space="preserve"> </w:t>
            </w:r>
            <w:r>
              <w:rPr>
                <w:rFonts w:ascii="Calibri" w:hAnsi="Calibri" w:eastAsia="Calibri" w:cs="Calibri"/>
                <w:spacing w:val="2"/>
                <w:sz w:val="20"/>
                <w:szCs w:val="20"/>
              </w:rPr>
              <w:t>m³</w:t>
            </w:r>
          </w:p>
        </w:tc>
      </w:tr>
      <w:tr w14:paraId="034E26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1" w:type="dxa"/>
            <w:vMerge w:val="continue"/>
            <w:tcBorders>
              <w:top w:val="nil"/>
              <w:left w:val="single" w:color="000000" w:sz="10" w:space="0"/>
              <w:bottom w:val="nil"/>
            </w:tcBorders>
            <w:vAlign w:val="top"/>
          </w:tcPr>
          <w:p w14:paraId="5DCDBC0D">
            <w:pPr>
              <w:rPr>
                <w:rFonts w:ascii="Arial"/>
                <w:sz w:val="21"/>
              </w:rPr>
            </w:pPr>
          </w:p>
        </w:tc>
        <w:tc>
          <w:tcPr>
            <w:tcW w:w="999" w:type="dxa"/>
            <w:vMerge w:val="continue"/>
            <w:tcBorders>
              <w:top w:val="nil"/>
              <w:bottom w:val="nil"/>
            </w:tcBorders>
            <w:vAlign w:val="top"/>
          </w:tcPr>
          <w:p w14:paraId="1A075FC0">
            <w:pPr>
              <w:rPr>
                <w:rFonts w:ascii="Arial"/>
                <w:sz w:val="21"/>
              </w:rPr>
            </w:pPr>
          </w:p>
        </w:tc>
        <w:tc>
          <w:tcPr>
            <w:tcW w:w="1339" w:type="dxa"/>
            <w:gridSpan w:val="2"/>
            <w:vMerge w:val="continue"/>
            <w:tcBorders>
              <w:top w:val="nil"/>
              <w:bottom w:val="nil"/>
            </w:tcBorders>
            <w:vAlign w:val="top"/>
          </w:tcPr>
          <w:p w14:paraId="68E38B6C">
            <w:pPr>
              <w:rPr>
                <w:rFonts w:ascii="Arial"/>
                <w:sz w:val="21"/>
              </w:rPr>
            </w:pPr>
          </w:p>
        </w:tc>
        <w:tc>
          <w:tcPr>
            <w:tcW w:w="929" w:type="dxa"/>
            <w:gridSpan w:val="2"/>
            <w:vAlign w:val="top"/>
          </w:tcPr>
          <w:p w14:paraId="3076FF44">
            <w:pPr>
              <w:spacing w:before="129" w:line="193"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08:00</w:t>
            </w:r>
          </w:p>
        </w:tc>
        <w:tc>
          <w:tcPr>
            <w:tcW w:w="1546" w:type="dxa"/>
            <w:gridSpan w:val="2"/>
            <w:vAlign w:val="top"/>
          </w:tcPr>
          <w:p w14:paraId="7A50BFEA">
            <w:pPr>
              <w:spacing w:before="109"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0.93</w:t>
            </w:r>
          </w:p>
        </w:tc>
        <w:tc>
          <w:tcPr>
            <w:tcW w:w="4064" w:type="dxa"/>
            <w:gridSpan w:val="4"/>
            <w:vMerge w:val="continue"/>
            <w:tcBorders>
              <w:top w:val="nil"/>
              <w:bottom w:val="nil"/>
              <w:right w:val="single" w:color="000000" w:sz="10" w:space="0"/>
            </w:tcBorders>
            <w:vAlign w:val="top"/>
          </w:tcPr>
          <w:p w14:paraId="3C0464AB">
            <w:pPr>
              <w:rPr>
                <w:rFonts w:ascii="Arial"/>
                <w:sz w:val="21"/>
              </w:rPr>
            </w:pPr>
          </w:p>
        </w:tc>
      </w:tr>
      <w:tr w14:paraId="561F72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1" w:type="dxa"/>
            <w:vMerge w:val="continue"/>
            <w:tcBorders>
              <w:top w:val="nil"/>
              <w:left w:val="single" w:color="000000" w:sz="10" w:space="0"/>
              <w:bottom w:val="nil"/>
            </w:tcBorders>
            <w:vAlign w:val="top"/>
          </w:tcPr>
          <w:p w14:paraId="22355CF6">
            <w:pPr>
              <w:rPr>
                <w:rFonts w:ascii="Arial"/>
                <w:sz w:val="21"/>
              </w:rPr>
            </w:pPr>
          </w:p>
        </w:tc>
        <w:tc>
          <w:tcPr>
            <w:tcW w:w="999" w:type="dxa"/>
            <w:vMerge w:val="continue"/>
            <w:tcBorders>
              <w:top w:val="nil"/>
              <w:bottom w:val="nil"/>
            </w:tcBorders>
            <w:vAlign w:val="top"/>
          </w:tcPr>
          <w:p w14:paraId="5D3F9A4C">
            <w:pPr>
              <w:rPr>
                <w:rFonts w:ascii="Arial"/>
                <w:sz w:val="21"/>
              </w:rPr>
            </w:pPr>
          </w:p>
        </w:tc>
        <w:tc>
          <w:tcPr>
            <w:tcW w:w="1339" w:type="dxa"/>
            <w:gridSpan w:val="2"/>
            <w:vMerge w:val="continue"/>
            <w:tcBorders>
              <w:top w:val="nil"/>
              <w:bottom w:val="nil"/>
            </w:tcBorders>
            <w:vAlign w:val="top"/>
          </w:tcPr>
          <w:p w14:paraId="7154198F">
            <w:pPr>
              <w:rPr>
                <w:rFonts w:ascii="Arial"/>
                <w:sz w:val="21"/>
              </w:rPr>
            </w:pPr>
          </w:p>
        </w:tc>
        <w:tc>
          <w:tcPr>
            <w:tcW w:w="929" w:type="dxa"/>
            <w:gridSpan w:val="2"/>
            <w:vAlign w:val="top"/>
          </w:tcPr>
          <w:p w14:paraId="6DC8B96D">
            <w:pPr>
              <w:spacing w:before="130" w:line="191" w:lineRule="auto"/>
              <w:ind w:left="24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14:00</w:t>
            </w:r>
          </w:p>
        </w:tc>
        <w:tc>
          <w:tcPr>
            <w:tcW w:w="1546" w:type="dxa"/>
            <w:gridSpan w:val="2"/>
            <w:vAlign w:val="top"/>
          </w:tcPr>
          <w:p w14:paraId="7836BDBE">
            <w:pPr>
              <w:spacing w:before="109"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0.89</w:t>
            </w:r>
          </w:p>
        </w:tc>
        <w:tc>
          <w:tcPr>
            <w:tcW w:w="4064" w:type="dxa"/>
            <w:gridSpan w:val="4"/>
            <w:vMerge w:val="continue"/>
            <w:tcBorders>
              <w:top w:val="nil"/>
              <w:bottom w:val="nil"/>
              <w:right w:val="single" w:color="000000" w:sz="10" w:space="0"/>
            </w:tcBorders>
            <w:vAlign w:val="top"/>
          </w:tcPr>
          <w:p w14:paraId="57E23D0E">
            <w:pPr>
              <w:rPr>
                <w:rFonts w:ascii="Arial"/>
                <w:sz w:val="21"/>
              </w:rPr>
            </w:pPr>
          </w:p>
        </w:tc>
      </w:tr>
      <w:tr w14:paraId="6D52817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471" w:type="dxa"/>
            <w:vMerge w:val="continue"/>
            <w:tcBorders>
              <w:top w:val="nil"/>
              <w:left w:val="single" w:color="000000" w:sz="10" w:space="0"/>
              <w:bottom w:val="nil"/>
            </w:tcBorders>
            <w:vAlign w:val="top"/>
          </w:tcPr>
          <w:p w14:paraId="1AF75589">
            <w:pPr>
              <w:rPr>
                <w:rFonts w:ascii="Arial"/>
                <w:sz w:val="21"/>
              </w:rPr>
            </w:pPr>
          </w:p>
        </w:tc>
        <w:tc>
          <w:tcPr>
            <w:tcW w:w="999" w:type="dxa"/>
            <w:vMerge w:val="continue"/>
            <w:tcBorders>
              <w:top w:val="nil"/>
              <w:bottom w:val="nil"/>
            </w:tcBorders>
            <w:vAlign w:val="top"/>
          </w:tcPr>
          <w:p w14:paraId="0099ECE1">
            <w:pPr>
              <w:rPr>
                <w:rFonts w:ascii="Arial"/>
                <w:sz w:val="21"/>
              </w:rPr>
            </w:pPr>
          </w:p>
        </w:tc>
        <w:tc>
          <w:tcPr>
            <w:tcW w:w="1339" w:type="dxa"/>
            <w:gridSpan w:val="2"/>
            <w:vMerge w:val="continue"/>
            <w:tcBorders>
              <w:top w:val="nil"/>
            </w:tcBorders>
            <w:vAlign w:val="top"/>
          </w:tcPr>
          <w:p w14:paraId="70988B3F">
            <w:pPr>
              <w:rPr>
                <w:rFonts w:ascii="Arial"/>
                <w:sz w:val="21"/>
              </w:rPr>
            </w:pPr>
          </w:p>
        </w:tc>
        <w:tc>
          <w:tcPr>
            <w:tcW w:w="929" w:type="dxa"/>
            <w:gridSpan w:val="2"/>
            <w:vAlign w:val="top"/>
          </w:tcPr>
          <w:p w14:paraId="2D9EBC5D">
            <w:pPr>
              <w:spacing w:before="130" w:line="189" w:lineRule="auto"/>
              <w:ind w:left="22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20:00</w:t>
            </w:r>
          </w:p>
        </w:tc>
        <w:tc>
          <w:tcPr>
            <w:tcW w:w="1546" w:type="dxa"/>
            <w:gridSpan w:val="2"/>
            <w:vAlign w:val="top"/>
          </w:tcPr>
          <w:p w14:paraId="575CF254">
            <w:pPr>
              <w:spacing w:before="111"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0.96</w:t>
            </w:r>
          </w:p>
        </w:tc>
        <w:tc>
          <w:tcPr>
            <w:tcW w:w="4064" w:type="dxa"/>
            <w:gridSpan w:val="4"/>
            <w:vMerge w:val="continue"/>
            <w:tcBorders>
              <w:top w:val="nil"/>
              <w:bottom w:val="nil"/>
              <w:right w:val="single" w:color="000000" w:sz="10" w:space="0"/>
            </w:tcBorders>
            <w:vAlign w:val="top"/>
          </w:tcPr>
          <w:p w14:paraId="61ED8662">
            <w:pPr>
              <w:rPr>
                <w:rFonts w:ascii="Arial"/>
                <w:sz w:val="21"/>
              </w:rPr>
            </w:pPr>
          </w:p>
        </w:tc>
      </w:tr>
      <w:tr w14:paraId="1A960E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471" w:type="dxa"/>
            <w:vMerge w:val="continue"/>
            <w:tcBorders>
              <w:top w:val="nil"/>
              <w:left w:val="single" w:color="000000" w:sz="10" w:space="0"/>
              <w:bottom w:val="nil"/>
            </w:tcBorders>
            <w:vAlign w:val="top"/>
          </w:tcPr>
          <w:p w14:paraId="77DE12CA">
            <w:pPr>
              <w:rPr>
                <w:rFonts w:ascii="Arial"/>
                <w:sz w:val="21"/>
              </w:rPr>
            </w:pPr>
          </w:p>
        </w:tc>
        <w:tc>
          <w:tcPr>
            <w:tcW w:w="999" w:type="dxa"/>
            <w:vMerge w:val="continue"/>
            <w:tcBorders>
              <w:top w:val="nil"/>
              <w:bottom w:val="nil"/>
            </w:tcBorders>
            <w:vAlign w:val="top"/>
          </w:tcPr>
          <w:p w14:paraId="16DB7A4E">
            <w:pPr>
              <w:rPr>
                <w:rFonts w:ascii="Arial"/>
                <w:sz w:val="21"/>
              </w:rPr>
            </w:pPr>
          </w:p>
        </w:tc>
        <w:tc>
          <w:tcPr>
            <w:tcW w:w="1339" w:type="dxa"/>
            <w:gridSpan w:val="2"/>
            <w:vMerge w:val="restart"/>
            <w:tcBorders>
              <w:bottom w:val="nil"/>
            </w:tcBorders>
            <w:vAlign w:val="top"/>
          </w:tcPr>
          <w:p w14:paraId="729B3D26">
            <w:pPr>
              <w:spacing w:line="343" w:lineRule="auto"/>
              <w:rPr>
                <w:rFonts w:ascii="Arial"/>
                <w:sz w:val="21"/>
              </w:rPr>
            </w:pPr>
          </w:p>
          <w:p w14:paraId="706CDD37">
            <w:pPr>
              <w:pStyle w:val="6"/>
              <w:spacing w:before="65" w:line="276" w:lineRule="auto"/>
              <w:ind w:left="433" w:right="129" w:hanging="324"/>
              <w:rPr>
                <w:sz w:val="20"/>
                <w:szCs w:val="20"/>
              </w:rPr>
            </w:pPr>
            <w:r>
              <w:rPr>
                <w:rFonts w:ascii="Calibri" w:hAnsi="Calibri" w:eastAsia="Calibri" w:cs="Calibri"/>
                <w:spacing w:val="-1"/>
                <w:sz w:val="20"/>
                <w:szCs w:val="20"/>
              </w:rPr>
              <w:t>2024</w:t>
            </w:r>
            <w:r>
              <w:rPr>
                <w:rFonts w:ascii="Calibri" w:hAnsi="Calibri" w:eastAsia="Calibri" w:cs="Calibri"/>
                <w:spacing w:val="20"/>
                <w:sz w:val="20"/>
                <w:szCs w:val="20"/>
              </w:rPr>
              <w:t xml:space="preserve"> </w:t>
            </w:r>
            <w:r>
              <w:rPr>
                <w:spacing w:val="-1"/>
                <w:sz w:val="20"/>
                <w:szCs w:val="20"/>
              </w:rPr>
              <w:t>年</w:t>
            </w:r>
            <w:r>
              <w:rPr>
                <w:spacing w:val="-37"/>
                <w:sz w:val="20"/>
                <w:szCs w:val="20"/>
              </w:rPr>
              <w:t xml:space="preserve"> </w:t>
            </w:r>
            <w:r>
              <w:rPr>
                <w:rFonts w:ascii="Calibri" w:hAnsi="Calibri" w:eastAsia="Calibri" w:cs="Calibri"/>
                <w:spacing w:val="-1"/>
                <w:sz w:val="20"/>
                <w:szCs w:val="20"/>
              </w:rPr>
              <w:t>7</w:t>
            </w:r>
            <w:r>
              <w:rPr>
                <w:rFonts w:ascii="Calibri" w:hAnsi="Calibri" w:eastAsia="Calibri" w:cs="Calibri"/>
                <w:spacing w:val="20"/>
                <w:w w:val="101"/>
                <w:sz w:val="20"/>
                <w:szCs w:val="20"/>
              </w:rPr>
              <w:t xml:space="preserve"> </w:t>
            </w:r>
            <w:r>
              <w:rPr>
                <w:spacing w:val="-1"/>
                <w:sz w:val="20"/>
                <w:szCs w:val="20"/>
              </w:rPr>
              <w:t>月</w:t>
            </w:r>
            <w:r>
              <w:rPr>
                <w:sz w:val="20"/>
                <w:szCs w:val="20"/>
              </w:rPr>
              <w:t xml:space="preserve"> </w:t>
            </w:r>
            <w:r>
              <w:rPr>
                <w:rFonts w:ascii="Calibri" w:hAnsi="Calibri" w:eastAsia="Calibri" w:cs="Calibri"/>
                <w:spacing w:val="-2"/>
                <w:sz w:val="20"/>
                <w:szCs w:val="20"/>
              </w:rPr>
              <w:t>23</w:t>
            </w:r>
            <w:r>
              <w:rPr>
                <w:rFonts w:ascii="Calibri" w:hAnsi="Calibri" w:eastAsia="Calibri" w:cs="Calibri"/>
                <w:spacing w:val="5"/>
                <w:sz w:val="20"/>
                <w:szCs w:val="20"/>
              </w:rPr>
              <w:t xml:space="preserve">  </w:t>
            </w:r>
            <w:r>
              <w:rPr>
                <w:spacing w:val="-2"/>
                <w:sz w:val="20"/>
                <w:szCs w:val="20"/>
              </w:rPr>
              <w:t>日</w:t>
            </w:r>
          </w:p>
        </w:tc>
        <w:tc>
          <w:tcPr>
            <w:tcW w:w="929" w:type="dxa"/>
            <w:gridSpan w:val="2"/>
            <w:vAlign w:val="top"/>
          </w:tcPr>
          <w:p w14:paraId="7D194474">
            <w:pPr>
              <w:spacing w:before="130" w:line="189"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02:00</w:t>
            </w:r>
          </w:p>
        </w:tc>
        <w:tc>
          <w:tcPr>
            <w:tcW w:w="1546" w:type="dxa"/>
            <w:gridSpan w:val="2"/>
            <w:vAlign w:val="top"/>
          </w:tcPr>
          <w:p w14:paraId="768B0BC3">
            <w:pPr>
              <w:spacing w:before="108"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0.89</w:t>
            </w:r>
          </w:p>
        </w:tc>
        <w:tc>
          <w:tcPr>
            <w:tcW w:w="4064" w:type="dxa"/>
            <w:gridSpan w:val="4"/>
            <w:vMerge w:val="continue"/>
            <w:tcBorders>
              <w:top w:val="nil"/>
              <w:bottom w:val="nil"/>
              <w:right w:val="single" w:color="000000" w:sz="10" w:space="0"/>
            </w:tcBorders>
            <w:vAlign w:val="top"/>
          </w:tcPr>
          <w:p w14:paraId="27DF0842">
            <w:pPr>
              <w:rPr>
                <w:rFonts w:ascii="Arial"/>
                <w:sz w:val="21"/>
              </w:rPr>
            </w:pPr>
          </w:p>
        </w:tc>
      </w:tr>
      <w:tr w14:paraId="38E292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1" w:type="dxa"/>
            <w:vMerge w:val="continue"/>
            <w:tcBorders>
              <w:top w:val="nil"/>
              <w:left w:val="single" w:color="000000" w:sz="10" w:space="0"/>
              <w:bottom w:val="nil"/>
            </w:tcBorders>
            <w:vAlign w:val="top"/>
          </w:tcPr>
          <w:p w14:paraId="70F7FF5F">
            <w:pPr>
              <w:rPr>
                <w:rFonts w:ascii="Arial"/>
                <w:sz w:val="21"/>
              </w:rPr>
            </w:pPr>
          </w:p>
        </w:tc>
        <w:tc>
          <w:tcPr>
            <w:tcW w:w="999" w:type="dxa"/>
            <w:vMerge w:val="continue"/>
            <w:tcBorders>
              <w:top w:val="nil"/>
              <w:bottom w:val="nil"/>
            </w:tcBorders>
            <w:vAlign w:val="top"/>
          </w:tcPr>
          <w:p w14:paraId="4D6DC1EE">
            <w:pPr>
              <w:rPr>
                <w:rFonts w:ascii="Arial"/>
                <w:sz w:val="21"/>
              </w:rPr>
            </w:pPr>
          </w:p>
        </w:tc>
        <w:tc>
          <w:tcPr>
            <w:tcW w:w="1339" w:type="dxa"/>
            <w:gridSpan w:val="2"/>
            <w:vMerge w:val="continue"/>
            <w:tcBorders>
              <w:top w:val="nil"/>
              <w:bottom w:val="nil"/>
            </w:tcBorders>
            <w:vAlign w:val="top"/>
          </w:tcPr>
          <w:p w14:paraId="30C40D0C">
            <w:pPr>
              <w:rPr>
                <w:rFonts w:ascii="Arial"/>
                <w:sz w:val="21"/>
              </w:rPr>
            </w:pPr>
          </w:p>
        </w:tc>
        <w:tc>
          <w:tcPr>
            <w:tcW w:w="929" w:type="dxa"/>
            <w:gridSpan w:val="2"/>
            <w:vAlign w:val="top"/>
          </w:tcPr>
          <w:p w14:paraId="4AB5C50D">
            <w:pPr>
              <w:spacing w:before="131" w:line="190"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08:00</w:t>
            </w:r>
          </w:p>
        </w:tc>
        <w:tc>
          <w:tcPr>
            <w:tcW w:w="1546" w:type="dxa"/>
            <w:gridSpan w:val="2"/>
            <w:vAlign w:val="top"/>
          </w:tcPr>
          <w:p w14:paraId="632A02C0">
            <w:pPr>
              <w:spacing w:before="112"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0.95</w:t>
            </w:r>
          </w:p>
        </w:tc>
        <w:tc>
          <w:tcPr>
            <w:tcW w:w="4064" w:type="dxa"/>
            <w:gridSpan w:val="4"/>
            <w:vMerge w:val="continue"/>
            <w:tcBorders>
              <w:top w:val="nil"/>
              <w:bottom w:val="nil"/>
              <w:right w:val="single" w:color="000000" w:sz="10" w:space="0"/>
            </w:tcBorders>
            <w:vAlign w:val="top"/>
          </w:tcPr>
          <w:p w14:paraId="2C74F5FE">
            <w:pPr>
              <w:rPr>
                <w:rFonts w:ascii="Arial"/>
                <w:sz w:val="21"/>
              </w:rPr>
            </w:pPr>
          </w:p>
        </w:tc>
      </w:tr>
      <w:tr w14:paraId="04F22F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1" w:type="dxa"/>
            <w:vMerge w:val="continue"/>
            <w:tcBorders>
              <w:top w:val="nil"/>
              <w:left w:val="single" w:color="000000" w:sz="10" w:space="0"/>
              <w:bottom w:val="nil"/>
            </w:tcBorders>
            <w:vAlign w:val="top"/>
          </w:tcPr>
          <w:p w14:paraId="6B6F2558">
            <w:pPr>
              <w:rPr>
                <w:rFonts w:ascii="Arial"/>
                <w:sz w:val="21"/>
              </w:rPr>
            </w:pPr>
          </w:p>
        </w:tc>
        <w:tc>
          <w:tcPr>
            <w:tcW w:w="999" w:type="dxa"/>
            <w:vMerge w:val="continue"/>
            <w:tcBorders>
              <w:top w:val="nil"/>
              <w:bottom w:val="nil"/>
            </w:tcBorders>
            <w:vAlign w:val="top"/>
          </w:tcPr>
          <w:p w14:paraId="3F5D8D46">
            <w:pPr>
              <w:rPr>
                <w:rFonts w:ascii="Arial"/>
                <w:sz w:val="21"/>
              </w:rPr>
            </w:pPr>
          </w:p>
        </w:tc>
        <w:tc>
          <w:tcPr>
            <w:tcW w:w="1339" w:type="dxa"/>
            <w:gridSpan w:val="2"/>
            <w:vMerge w:val="continue"/>
            <w:tcBorders>
              <w:top w:val="nil"/>
              <w:bottom w:val="nil"/>
            </w:tcBorders>
            <w:vAlign w:val="top"/>
          </w:tcPr>
          <w:p w14:paraId="2580213E">
            <w:pPr>
              <w:rPr>
                <w:rFonts w:ascii="Arial"/>
                <w:sz w:val="21"/>
              </w:rPr>
            </w:pPr>
          </w:p>
        </w:tc>
        <w:tc>
          <w:tcPr>
            <w:tcW w:w="929" w:type="dxa"/>
            <w:gridSpan w:val="2"/>
            <w:vAlign w:val="top"/>
          </w:tcPr>
          <w:p w14:paraId="63228865">
            <w:pPr>
              <w:spacing w:before="134" w:line="187" w:lineRule="auto"/>
              <w:ind w:left="24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14:00</w:t>
            </w:r>
          </w:p>
        </w:tc>
        <w:tc>
          <w:tcPr>
            <w:tcW w:w="1546" w:type="dxa"/>
            <w:gridSpan w:val="2"/>
            <w:vAlign w:val="top"/>
          </w:tcPr>
          <w:p w14:paraId="32FF8E44">
            <w:pPr>
              <w:spacing w:before="112"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0.91</w:t>
            </w:r>
          </w:p>
        </w:tc>
        <w:tc>
          <w:tcPr>
            <w:tcW w:w="4064" w:type="dxa"/>
            <w:gridSpan w:val="4"/>
            <w:vMerge w:val="continue"/>
            <w:tcBorders>
              <w:top w:val="nil"/>
              <w:bottom w:val="nil"/>
              <w:right w:val="single" w:color="000000" w:sz="10" w:space="0"/>
            </w:tcBorders>
            <w:vAlign w:val="top"/>
          </w:tcPr>
          <w:p w14:paraId="78B2082B">
            <w:pPr>
              <w:rPr>
                <w:rFonts w:ascii="Arial"/>
                <w:sz w:val="21"/>
              </w:rPr>
            </w:pPr>
          </w:p>
        </w:tc>
      </w:tr>
      <w:tr w14:paraId="5D5A16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471" w:type="dxa"/>
            <w:vMerge w:val="continue"/>
            <w:tcBorders>
              <w:top w:val="nil"/>
              <w:left w:val="single" w:color="000000" w:sz="10" w:space="0"/>
              <w:bottom w:val="nil"/>
            </w:tcBorders>
            <w:vAlign w:val="top"/>
          </w:tcPr>
          <w:p w14:paraId="4C548162">
            <w:pPr>
              <w:rPr>
                <w:rFonts w:ascii="Arial"/>
                <w:sz w:val="21"/>
              </w:rPr>
            </w:pPr>
          </w:p>
        </w:tc>
        <w:tc>
          <w:tcPr>
            <w:tcW w:w="999" w:type="dxa"/>
            <w:vMerge w:val="continue"/>
            <w:tcBorders>
              <w:top w:val="nil"/>
              <w:bottom w:val="nil"/>
            </w:tcBorders>
            <w:vAlign w:val="top"/>
          </w:tcPr>
          <w:p w14:paraId="11B4F3C3">
            <w:pPr>
              <w:rPr>
                <w:rFonts w:ascii="Arial"/>
                <w:sz w:val="21"/>
              </w:rPr>
            </w:pPr>
          </w:p>
        </w:tc>
        <w:tc>
          <w:tcPr>
            <w:tcW w:w="1339" w:type="dxa"/>
            <w:gridSpan w:val="2"/>
            <w:vMerge w:val="continue"/>
            <w:tcBorders>
              <w:top w:val="nil"/>
            </w:tcBorders>
            <w:vAlign w:val="top"/>
          </w:tcPr>
          <w:p w14:paraId="50313A7E">
            <w:pPr>
              <w:rPr>
                <w:rFonts w:ascii="Arial"/>
                <w:sz w:val="21"/>
              </w:rPr>
            </w:pPr>
          </w:p>
        </w:tc>
        <w:tc>
          <w:tcPr>
            <w:tcW w:w="929" w:type="dxa"/>
            <w:gridSpan w:val="2"/>
            <w:vAlign w:val="top"/>
          </w:tcPr>
          <w:p w14:paraId="5FAB04D1">
            <w:pPr>
              <w:spacing w:before="133" w:line="186" w:lineRule="auto"/>
              <w:ind w:left="22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20:00</w:t>
            </w:r>
          </w:p>
        </w:tc>
        <w:tc>
          <w:tcPr>
            <w:tcW w:w="1546" w:type="dxa"/>
            <w:gridSpan w:val="2"/>
            <w:vAlign w:val="top"/>
          </w:tcPr>
          <w:p w14:paraId="3E544601">
            <w:pPr>
              <w:spacing w:before="114"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0.90</w:t>
            </w:r>
          </w:p>
        </w:tc>
        <w:tc>
          <w:tcPr>
            <w:tcW w:w="4064" w:type="dxa"/>
            <w:gridSpan w:val="4"/>
            <w:vMerge w:val="continue"/>
            <w:tcBorders>
              <w:top w:val="nil"/>
              <w:bottom w:val="nil"/>
              <w:right w:val="single" w:color="000000" w:sz="10" w:space="0"/>
            </w:tcBorders>
            <w:vAlign w:val="top"/>
          </w:tcPr>
          <w:p w14:paraId="441E4FEB">
            <w:pPr>
              <w:rPr>
                <w:rFonts w:ascii="Arial"/>
                <w:sz w:val="21"/>
              </w:rPr>
            </w:pPr>
          </w:p>
        </w:tc>
      </w:tr>
      <w:tr w14:paraId="76D463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471" w:type="dxa"/>
            <w:vMerge w:val="continue"/>
            <w:tcBorders>
              <w:top w:val="nil"/>
              <w:left w:val="single" w:color="000000" w:sz="10" w:space="0"/>
              <w:bottom w:val="nil"/>
            </w:tcBorders>
            <w:vAlign w:val="top"/>
          </w:tcPr>
          <w:p w14:paraId="1DDF056C">
            <w:pPr>
              <w:rPr>
                <w:rFonts w:ascii="Arial"/>
                <w:sz w:val="21"/>
              </w:rPr>
            </w:pPr>
          </w:p>
        </w:tc>
        <w:tc>
          <w:tcPr>
            <w:tcW w:w="999" w:type="dxa"/>
            <w:vMerge w:val="continue"/>
            <w:tcBorders>
              <w:top w:val="nil"/>
              <w:bottom w:val="nil"/>
            </w:tcBorders>
            <w:vAlign w:val="top"/>
          </w:tcPr>
          <w:p w14:paraId="46BAB4FA">
            <w:pPr>
              <w:rPr>
                <w:rFonts w:ascii="Arial"/>
                <w:sz w:val="21"/>
              </w:rPr>
            </w:pPr>
          </w:p>
        </w:tc>
        <w:tc>
          <w:tcPr>
            <w:tcW w:w="1339" w:type="dxa"/>
            <w:gridSpan w:val="2"/>
            <w:vMerge w:val="restart"/>
            <w:tcBorders>
              <w:bottom w:val="nil"/>
            </w:tcBorders>
            <w:vAlign w:val="top"/>
          </w:tcPr>
          <w:p w14:paraId="169AF1C8">
            <w:pPr>
              <w:spacing w:line="346" w:lineRule="auto"/>
              <w:rPr>
                <w:rFonts w:ascii="Arial"/>
                <w:sz w:val="21"/>
              </w:rPr>
            </w:pPr>
          </w:p>
          <w:p w14:paraId="571DEEF7">
            <w:pPr>
              <w:pStyle w:val="6"/>
              <w:spacing w:before="65" w:line="276" w:lineRule="auto"/>
              <w:ind w:left="433" w:right="129" w:hanging="324"/>
              <w:rPr>
                <w:sz w:val="20"/>
                <w:szCs w:val="20"/>
              </w:rPr>
            </w:pPr>
            <w:r>
              <w:rPr>
                <w:rFonts w:ascii="Calibri" w:hAnsi="Calibri" w:eastAsia="Calibri" w:cs="Calibri"/>
                <w:spacing w:val="-1"/>
                <w:sz w:val="20"/>
                <w:szCs w:val="20"/>
              </w:rPr>
              <w:t>2024</w:t>
            </w:r>
            <w:r>
              <w:rPr>
                <w:rFonts w:ascii="Calibri" w:hAnsi="Calibri" w:eastAsia="Calibri" w:cs="Calibri"/>
                <w:spacing w:val="20"/>
                <w:sz w:val="20"/>
                <w:szCs w:val="20"/>
              </w:rPr>
              <w:t xml:space="preserve"> </w:t>
            </w:r>
            <w:r>
              <w:rPr>
                <w:spacing w:val="-1"/>
                <w:sz w:val="20"/>
                <w:szCs w:val="20"/>
              </w:rPr>
              <w:t>年</w:t>
            </w:r>
            <w:r>
              <w:rPr>
                <w:spacing w:val="-37"/>
                <w:sz w:val="20"/>
                <w:szCs w:val="20"/>
              </w:rPr>
              <w:t xml:space="preserve"> </w:t>
            </w:r>
            <w:r>
              <w:rPr>
                <w:rFonts w:ascii="Calibri" w:hAnsi="Calibri" w:eastAsia="Calibri" w:cs="Calibri"/>
                <w:spacing w:val="-1"/>
                <w:sz w:val="20"/>
                <w:szCs w:val="20"/>
              </w:rPr>
              <w:t>7</w:t>
            </w:r>
            <w:r>
              <w:rPr>
                <w:rFonts w:ascii="Calibri" w:hAnsi="Calibri" w:eastAsia="Calibri" w:cs="Calibri"/>
                <w:spacing w:val="20"/>
                <w:w w:val="101"/>
                <w:sz w:val="20"/>
                <w:szCs w:val="20"/>
              </w:rPr>
              <w:t xml:space="preserve"> </w:t>
            </w:r>
            <w:r>
              <w:rPr>
                <w:spacing w:val="-1"/>
                <w:sz w:val="20"/>
                <w:szCs w:val="20"/>
              </w:rPr>
              <w:t>月</w:t>
            </w:r>
            <w:r>
              <w:rPr>
                <w:sz w:val="20"/>
                <w:szCs w:val="20"/>
              </w:rPr>
              <w:t xml:space="preserve"> </w:t>
            </w:r>
            <w:r>
              <w:rPr>
                <w:rFonts w:ascii="Calibri" w:hAnsi="Calibri" w:eastAsia="Calibri" w:cs="Calibri"/>
                <w:spacing w:val="-2"/>
                <w:sz w:val="20"/>
                <w:szCs w:val="20"/>
              </w:rPr>
              <w:t>24</w:t>
            </w:r>
            <w:r>
              <w:rPr>
                <w:rFonts w:ascii="Calibri" w:hAnsi="Calibri" w:eastAsia="Calibri" w:cs="Calibri"/>
                <w:spacing w:val="5"/>
                <w:sz w:val="20"/>
                <w:szCs w:val="20"/>
              </w:rPr>
              <w:t xml:space="preserve">  </w:t>
            </w:r>
            <w:r>
              <w:rPr>
                <w:spacing w:val="-2"/>
                <w:sz w:val="20"/>
                <w:szCs w:val="20"/>
              </w:rPr>
              <w:t>日</w:t>
            </w:r>
          </w:p>
        </w:tc>
        <w:tc>
          <w:tcPr>
            <w:tcW w:w="929" w:type="dxa"/>
            <w:gridSpan w:val="2"/>
            <w:vAlign w:val="top"/>
          </w:tcPr>
          <w:p w14:paraId="0D9ABA9D">
            <w:pPr>
              <w:spacing w:before="133" w:line="186"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02:00</w:t>
            </w:r>
          </w:p>
        </w:tc>
        <w:tc>
          <w:tcPr>
            <w:tcW w:w="1546" w:type="dxa"/>
            <w:gridSpan w:val="2"/>
            <w:vAlign w:val="top"/>
          </w:tcPr>
          <w:p w14:paraId="17589F31">
            <w:pPr>
              <w:spacing w:before="111"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0.94</w:t>
            </w:r>
          </w:p>
        </w:tc>
        <w:tc>
          <w:tcPr>
            <w:tcW w:w="4064" w:type="dxa"/>
            <w:gridSpan w:val="4"/>
            <w:vMerge w:val="continue"/>
            <w:tcBorders>
              <w:top w:val="nil"/>
              <w:bottom w:val="nil"/>
              <w:right w:val="single" w:color="000000" w:sz="10" w:space="0"/>
            </w:tcBorders>
            <w:vAlign w:val="top"/>
          </w:tcPr>
          <w:p w14:paraId="04990F06">
            <w:pPr>
              <w:rPr>
                <w:rFonts w:ascii="Arial"/>
                <w:sz w:val="21"/>
              </w:rPr>
            </w:pPr>
          </w:p>
        </w:tc>
      </w:tr>
      <w:tr w14:paraId="4DB73D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1" w:type="dxa"/>
            <w:vMerge w:val="continue"/>
            <w:tcBorders>
              <w:top w:val="nil"/>
              <w:left w:val="single" w:color="000000" w:sz="10" w:space="0"/>
              <w:bottom w:val="nil"/>
            </w:tcBorders>
            <w:vAlign w:val="top"/>
          </w:tcPr>
          <w:p w14:paraId="0EACF349">
            <w:pPr>
              <w:rPr>
                <w:rFonts w:ascii="Arial"/>
                <w:sz w:val="21"/>
              </w:rPr>
            </w:pPr>
          </w:p>
        </w:tc>
        <w:tc>
          <w:tcPr>
            <w:tcW w:w="999" w:type="dxa"/>
            <w:vMerge w:val="continue"/>
            <w:tcBorders>
              <w:top w:val="nil"/>
              <w:bottom w:val="nil"/>
            </w:tcBorders>
            <w:vAlign w:val="top"/>
          </w:tcPr>
          <w:p w14:paraId="0489D797">
            <w:pPr>
              <w:rPr>
                <w:rFonts w:ascii="Arial"/>
                <w:sz w:val="21"/>
              </w:rPr>
            </w:pPr>
          </w:p>
        </w:tc>
        <w:tc>
          <w:tcPr>
            <w:tcW w:w="1339" w:type="dxa"/>
            <w:gridSpan w:val="2"/>
            <w:vMerge w:val="continue"/>
            <w:tcBorders>
              <w:top w:val="nil"/>
              <w:bottom w:val="nil"/>
            </w:tcBorders>
            <w:vAlign w:val="top"/>
          </w:tcPr>
          <w:p w14:paraId="247B849E">
            <w:pPr>
              <w:rPr>
                <w:rFonts w:ascii="Arial"/>
                <w:sz w:val="21"/>
              </w:rPr>
            </w:pPr>
          </w:p>
        </w:tc>
        <w:tc>
          <w:tcPr>
            <w:tcW w:w="929" w:type="dxa"/>
            <w:gridSpan w:val="2"/>
            <w:vAlign w:val="top"/>
          </w:tcPr>
          <w:p w14:paraId="32A56240">
            <w:pPr>
              <w:spacing w:before="135" w:line="186"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08:00</w:t>
            </w:r>
          </w:p>
        </w:tc>
        <w:tc>
          <w:tcPr>
            <w:tcW w:w="1546" w:type="dxa"/>
            <w:gridSpan w:val="2"/>
            <w:vAlign w:val="top"/>
          </w:tcPr>
          <w:p w14:paraId="7D3F7019">
            <w:pPr>
              <w:spacing w:before="115"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0.95</w:t>
            </w:r>
          </w:p>
        </w:tc>
        <w:tc>
          <w:tcPr>
            <w:tcW w:w="4064" w:type="dxa"/>
            <w:gridSpan w:val="4"/>
            <w:vMerge w:val="continue"/>
            <w:tcBorders>
              <w:top w:val="nil"/>
              <w:bottom w:val="nil"/>
              <w:right w:val="single" w:color="000000" w:sz="10" w:space="0"/>
            </w:tcBorders>
            <w:vAlign w:val="top"/>
          </w:tcPr>
          <w:p w14:paraId="6DBC670A">
            <w:pPr>
              <w:rPr>
                <w:rFonts w:ascii="Arial"/>
                <w:sz w:val="21"/>
              </w:rPr>
            </w:pPr>
          </w:p>
        </w:tc>
      </w:tr>
      <w:tr w14:paraId="6E38B2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471" w:type="dxa"/>
            <w:vMerge w:val="continue"/>
            <w:tcBorders>
              <w:top w:val="nil"/>
              <w:left w:val="single" w:color="000000" w:sz="10" w:space="0"/>
              <w:bottom w:val="nil"/>
            </w:tcBorders>
            <w:vAlign w:val="top"/>
          </w:tcPr>
          <w:p w14:paraId="02778375">
            <w:pPr>
              <w:rPr>
                <w:rFonts w:ascii="Arial"/>
                <w:sz w:val="21"/>
              </w:rPr>
            </w:pPr>
          </w:p>
        </w:tc>
        <w:tc>
          <w:tcPr>
            <w:tcW w:w="999" w:type="dxa"/>
            <w:vMerge w:val="continue"/>
            <w:tcBorders>
              <w:top w:val="nil"/>
              <w:bottom w:val="nil"/>
            </w:tcBorders>
            <w:vAlign w:val="top"/>
          </w:tcPr>
          <w:p w14:paraId="42EABCAF">
            <w:pPr>
              <w:rPr>
                <w:rFonts w:ascii="Arial"/>
                <w:sz w:val="21"/>
              </w:rPr>
            </w:pPr>
          </w:p>
        </w:tc>
        <w:tc>
          <w:tcPr>
            <w:tcW w:w="1339" w:type="dxa"/>
            <w:gridSpan w:val="2"/>
            <w:vMerge w:val="continue"/>
            <w:tcBorders>
              <w:top w:val="nil"/>
              <w:bottom w:val="nil"/>
            </w:tcBorders>
            <w:vAlign w:val="top"/>
          </w:tcPr>
          <w:p w14:paraId="03269FC7">
            <w:pPr>
              <w:rPr>
                <w:rFonts w:ascii="Arial"/>
                <w:sz w:val="21"/>
              </w:rPr>
            </w:pPr>
          </w:p>
        </w:tc>
        <w:tc>
          <w:tcPr>
            <w:tcW w:w="929" w:type="dxa"/>
            <w:gridSpan w:val="2"/>
            <w:vAlign w:val="top"/>
          </w:tcPr>
          <w:p w14:paraId="086F34D5">
            <w:pPr>
              <w:spacing w:before="137" w:line="185" w:lineRule="auto"/>
              <w:ind w:left="24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14:00</w:t>
            </w:r>
          </w:p>
        </w:tc>
        <w:tc>
          <w:tcPr>
            <w:tcW w:w="1546" w:type="dxa"/>
            <w:gridSpan w:val="2"/>
            <w:vAlign w:val="top"/>
          </w:tcPr>
          <w:p w14:paraId="6C17CD42">
            <w:pPr>
              <w:spacing w:before="115"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0.90</w:t>
            </w:r>
          </w:p>
        </w:tc>
        <w:tc>
          <w:tcPr>
            <w:tcW w:w="4064" w:type="dxa"/>
            <w:gridSpan w:val="4"/>
            <w:vMerge w:val="continue"/>
            <w:tcBorders>
              <w:top w:val="nil"/>
              <w:bottom w:val="nil"/>
              <w:right w:val="single" w:color="000000" w:sz="10" w:space="0"/>
            </w:tcBorders>
            <w:vAlign w:val="top"/>
          </w:tcPr>
          <w:p w14:paraId="2270EF63">
            <w:pPr>
              <w:rPr>
                <w:rFonts w:ascii="Arial"/>
                <w:sz w:val="21"/>
              </w:rPr>
            </w:pPr>
          </w:p>
        </w:tc>
      </w:tr>
      <w:tr w14:paraId="3111B3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471" w:type="dxa"/>
            <w:vMerge w:val="continue"/>
            <w:tcBorders>
              <w:top w:val="nil"/>
              <w:left w:val="single" w:color="000000" w:sz="10" w:space="0"/>
              <w:bottom w:val="nil"/>
            </w:tcBorders>
            <w:vAlign w:val="top"/>
          </w:tcPr>
          <w:p w14:paraId="7A418D6D">
            <w:pPr>
              <w:rPr>
                <w:rFonts w:ascii="Arial"/>
                <w:sz w:val="21"/>
              </w:rPr>
            </w:pPr>
          </w:p>
        </w:tc>
        <w:tc>
          <w:tcPr>
            <w:tcW w:w="999" w:type="dxa"/>
            <w:vMerge w:val="continue"/>
            <w:tcBorders>
              <w:top w:val="nil"/>
            </w:tcBorders>
            <w:vAlign w:val="top"/>
          </w:tcPr>
          <w:p w14:paraId="3A2D12F3">
            <w:pPr>
              <w:rPr>
                <w:rFonts w:ascii="Arial"/>
                <w:sz w:val="21"/>
              </w:rPr>
            </w:pPr>
          </w:p>
        </w:tc>
        <w:tc>
          <w:tcPr>
            <w:tcW w:w="1339" w:type="dxa"/>
            <w:gridSpan w:val="2"/>
            <w:vMerge w:val="continue"/>
            <w:tcBorders>
              <w:top w:val="nil"/>
            </w:tcBorders>
            <w:vAlign w:val="top"/>
          </w:tcPr>
          <w:p w14:paraId="0D47342A">
            <w:pPr>
              <w:rPr>
                <w:rFonts w:ascii="Arial"/>
                <w:sz w:val="21"/>
              </w:rPr>
            </w:pPr>
          </w:p>
        </w:tc>
        <w:tc>
          <w:tcPr>
            <w:tcW w:w="929" w:type="dxa"/>
            <w:gridSpan w:val="2"/>
            <w:vAlign w:val="top"/>
          </w:tcPr>
          <w:p w14:paraId="4CBDCCF6">
            <w:pPr>
              <w:spacing w:before="136" w:line="183" w:lineRule="auto"/>
              <w:ind w:left="22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20:00</w:t>
            </w:r>
          </w:p>
        </w:tc>
        <w:tc>
          <w:tcPr>
            <w:tcW w:w="1546" w:type="dxa"/>
            <w:gridSpan w:val="2"/>
            <w:vAlign w:val="top"/>
          </w:tcPr>
          <w:p w14:paraId="27D5756F">
            <w:pPr>
              <w:spacing w:before="116"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0.86</w:t>
            </w:r>
          </w:p>
        </w:tc>
        <w:tc>
          <w:tcPr>
            <w:tcW w:w="4064" w:type="dxa"/>
            <w:gridSpan w:val="4"/>
            <w:vMerge w:val="continue"/>
            <w:tcBorders>
              <w:top w:val="nil"/>
              <w:bottom w:val="nil"/>
              <w:right w:val="single" w:color="000000" w:sz="10" w:space="0"/>
            </w:tcBorders>
            <w:vAlign w:val="top"/>
          </w:tcPr>
          <w:p w14:paraId="0AEB85A7">
            <w:pPr>
              <w:rPr>
                <w:rFonts w:ascii="Arial"/>
                <w:sz w:val="21"/>
              </w:rPr>
            </w:pPr>
          </w:p>
        </w:tc>
      </w:tr>
      <w:tr w14:paraId="0FB734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8" w:hRule="atLeast"/>
        </w:trPr>
        <w:tc>
          <w:tcPr>
            <w:tcW w:w="471" w:type="dxa"/>
            <w:vMerge w:val="continue"/>
            <w:tcBorders>
              <w:top w:val="nil"/>
              <w:left w:val="single" w:color="000000" w:sz="10" w:space="0"/>
              <w:bottom w:val="single" w:color="000000" w:sz="10" w:space="0"/>
            </w:tcBorders>
            <w:vAlign w:val="top"/>
          </w:tcPr>
          <w:p w14:paraId="5E3F4243">
            <w:pPr>
              <w:rPr>
                <w:rFonts w:ascii="Arial"/>
                <w:sz w:val="21"/>
              </w:rPr>
            </w:pPr>
          </w:p>
        </w:tc>
        <w:tc>
          <w:tcPr>
            <w:tcW w:w="999" w:type="dxa"/>
            <w:tcBorders>
              <w:bottom w:val="single" w:color="000000" w:sz="10" w:space="0"/>
            </w:tcBorders>
            <w:vAlign w:val="top"/>
          </w:tcPr>
          <w:p w14:paraId="4CB54D43">
            <w:pPr>
              <w:pStyle w:val="6"/>
              <w:spacing w:before="83" w:line="228" w:lineRule="auto"/>
              <w:ind w:left="236"/>
              <w:rPr>
                <w:sz w:val="20"/>
                <w:szCs w:val="20"/>
              </w:rPr>
            </w:pPr>
            <w:r>
              <w:rPr>
                <w:spacing w:val="6"/>
                <w:sz w:val="20"/>
                <w:szCs w:val="20"/>
              </w:rPr>
              <w:t>厂址下</w:t>
            </w:r>
          </w:p>
        </w:tc>
        <w:tc>
          <w:tcPr>
            <w:tcW w:w="1339" w:type="dxa"/>
            <w:gridSpan w:val="2"/>
            <w:tcBorders>
              <w:bottom w:val="single" w:color="000000" w:sz="10" w:space="0"/>
            </w:tcBorders>
            <w:vAlign w:val="top"/>
          </w:tcPr>
          <w:p w14:paraId="24073163">
            <w:pPr>
              <w:pStyle w:val="6"/>
              <w:spacing w:before="82" w:line="228" w:lineRule="auto"/>
              <w:ind w:left="109"/>
              <w:rPr>
                <w:sz w:val="20"/>
                <w:szCs w:val="20"/>
              </w:rPr>
            </w:pPr>
            <w:r>
              <w:rPr>
                <w:rFonts w:ascii="Calibri" w:hAnsi="Calibri" w:eastAsia="Calibri" w:cs="Calibri"/>
                <w:spacing w:val="-1"/>
                <w:sz w:val="20"/>
                <w:szCs w:val="20"/>
              </w:rPr>
              <w:t>2024</w:t>
            </w:r>
            <w:r>
              <w:rPr>
                <w:rFonts w:ascii="Calibri" w:hAnsi="Calibri" w:eastAsia="Calibri" w:cs="Calibri"/>
                <w:spacing w:val="24"/>
                <w:w w:val="101"/>
                <w:sz w:val="20"/>
                <w:szCs w:val="20"/>
              </w:rPr>
              <w:t xml:space="preserve"> </w:t>
            </w:r>
            <w:r>
              <w:rPr>
                <w:spacing w:val="-1"/>
                <w:sz w:val="20"/>
                <w:szCs w:val="20"/>
              </w:rPr>
              <w:t>年</w:t>
            </w:r>
            <w:r>
              <w:rPr>
                <w:spacing w:val="-38"/>
                <w:sz w:val="20"/>
                <w:szCs w:val="20"/>
              </w:rPr>
              <w:t xml:space="preserve"> </w:t>
            </w:r>
            <w:r>
              <w:rPr>
                <w:rFonts w:ascii="Calibri" w:hAnsi="Calibri" w:eastAsia="Calibri" w:cs="Calibri"/>
                <w:spacing w:val="-1"/>
                <w:sz w:val="20"/>
                <w:szCs w:val="20"/>
              </w:rPr>
              <w:t>7</w:t>
            </w:r>
            <w:r>
              <w:rPr>
                <w:rFonts w:ascii="Calibri" w:hAnsi="Calibri" w:eastAsia="Calibri" w:cs="Calibri"/>
                <w:spacing w:val="21"/>
                <w:sz w:val="20"/>
                <w:szCs w:val="20"/>
              </w:rPr>
              <w:t xml:space="preserve"> </w:t>
            </w:r>
            <w:r>
              <w:rPr>
                <w:spacing w:val="-1"/>
                <w:sz w:val="20"/>
                <w:szCs w:val="20"/>
              </w:rPr>
              <w:t>月</w:t>
            </w:r>
          </w:p>
        </w:tc>
        <w:tc>
          <w:tcPr>
            <w:tcW w:w="929" w:type="dxa"/>
            <w:gridSpan w:val="2"/>
            <w:tcBorders>
              <w:bottom w:val="single" w:color="000000" w:sz="10" w:space="0"/>
            </w:tcBorders>
            <w:vAlign w:val="top"/>
          </w:tcPr>
          <w:p w14:paraId="1EB27220">
            <w:pPr>
              <w:spacing w:before="140" w:line="195" w:lineRule="auto"/>
              <w:ind w:left="2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02:00</w:t>
            </w:r>
          </w:p>
        </w:tc>
        <w:tc>
          <w:tcPr>
            <w:tcW w:w="1546" w:type="dxa"/>
            <w:gridSpan w:val="2"/>
            <w:tcBorders>
              <w:bottom w:val="single" w:color="000000" w:sz="10" w:space="0"/>
            </w:tcBorders>
            <w:vAlign w:val="top"/>
          </w:tcPr>
          <w:p w14:paraId="5C858AAA">
            <w:pPr>
              <w:spacing w:before="118" w:line="195"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0.76</w:t>
            </w:r>
          </w:p>
        </w:tc>
        <w:tc>
          <w:tcPr>
            <w:tcW w:w="4064" w:type="dxa"/>
            <w:gridSpan w:val="4"/>
            <w:vMerge w:val="continue"/>
            <w:tcBorders>
              <w:top w:val="nil"/>
              <w:bottom w:val="single" w:color="000000" w:sz="10" w:space="0"/>
              <w:right w:val="single" w:color="000000" w:sz="10" w:space="0"/>
            </w:tcBorders>
            <w:vAlign w:val="top"/>
          </w:tcPr>
          <w:p w14:paraId="451481DB">
            <w:pPr>
              <w:rPr>
                <w:rFonts w:ascii="Arial"/>
                <w:sz w:val="21"/>
              </w:rPr>
            </w:pPr>
          </w:p>
        </w:tc>
      </w:tr>
    </w:tbl>
    <w:p w14:paraId="24B0EE44">
      <w:pPr>
        <w:pStyle w:val="2"/>
        <w:spacing w:line="127" w:lineRule="exact"/>
        <w:rPr>
          <w:sz w:val="11"/>
        </w:rPr>
      </w:pPr>
    </w:p>
    <w:p w14:paraId="37569FD0">
      <w:pPr>
        <w:spacing w:line="127" w:lineRule="exact"/>
        <w:rPr>
          <w:sz w:val="11"/>
          <w:szCs w:val="11"/>
        </w:rPr>
        <w:sectPr>
          <w:footerReference r:id="rId55" w:type="default"/>
          <w:pgSz w:w="11906" w:h="16839"/>
          <w:pgMar w:top="1270" w:right="1266" w:bottom="1261" w:left="1265" w:header="0" w:footer="1097" w:gutter="0"/>
          <w:cols w:space="720" w:num="1"/>
        </w:sectPr>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2B1E3BC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164" w:hRule="atLeast"/>
        </w:trPr>
        <w:tc>
          <w:tcPr>
            <w:tcW w:w="471" w:type="dxa"/>
            <w:tcBorders>
              <w:right w:val="single" w:color="000000" w:sz="2" w:space="0"/>
            </w:tcBorders>
            <w:vAlign w:val="top"/>
          </w:tcPr>
          <w:p w14:paraId="43E86D26">
            <w:pPr>
              <w:rPr>
                <w:rFonts w:ascii="Arial"/>
                <w:sz w:val="21"/>
              </w:rPr>
            </w:pPr>
          </w:p>
        </w:tc>
        <w:tc>
          <w:tcPr>
            <w:tcW w:w="8877" w:type="dxa"/>
            <w:tcBorders>
              <w:left w:val="single" w:color="000000" w:sz="2" w:space="0"/>
            </w:tcBorders>
            <w:vAlign w:val="top"/>
          </w:tcPr>
          <w:p w14:paraId="0897570C">
            <w:pPr>
              <w:spacing w:line="52" w:lineRule="auto"/>
              <w:rPr>
                <w:rFonts w:ascii="Arial"/>
                <w:sz w:val="2"/>
              </w:rPr>
            </w:pPr>
          </w:p>
          <w:tbl>
            <w:tblPr>
              <w:tblStyle w:val="5"/>
              <w:tblW w:w="8670"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94"/>
              <w:gridCol w:w="1343"/>
              <w:gridCol w:w="931"/>
              <w:gridCol w:w="1550"/>
              <w:gridCol w:w="3952"/>
            </w:tblGrid>
            <w:tr w14:paraId="050E9E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34" w:hRule="atLeast"/>
              </w:trPr>
              <w:tc>
                <w:tcPr>
                  <w:tcW w:w="894" w:type="dxa"/>
                  <w:vMerge w:val="restart"/>
                  <w:tcBorders>
                    <w:top w:val="nil"/>
                    <w:left w:val="nil"/>
                    <w:bottom w:val="nil"/>
                  </w:tcBorders>
                  <w:vAlign w:val="top"/>
                </w:tcPr>
                <w:p w14:paraId="675AF90C">
                  <w:pPr>
                    <w:pStyle w:val="6"/>
                    <w:spacing w:before="62" w:line="228" w:lineRule="auto"/>
                    <w:ind w:left="246"/>
                    <w:rPr>
                      <w:sz w:val="20"/>
                      <w:szCs w:val="20"/>
                    </w:rPr>
                  </w:pPr>
                  <w:r>
                    <w:rPr>
                      <w:spacing w:val="4"/>
                      <w:sz w:val="20"/>
                      <w:szCs w:val="20"/>
                    </w:rPr>
                    <w:t>风向</w:t>
                  </w:r>
                </w:p>
              </w:tc>
              <w:tc>
                <w:tcPr>
                  <w:tcW w:w="1343" w:type="dxa"/>
                  <w:vMerge w:val="restart"/>
                  <w:tcBorders>
                    <w:top w:val="nil"/>
                    <w:bottom w:val="nil"/>
                  </w:tcBorders>
                  <w:vAlign w:val="top"/>
                </w:tcPr>
                <w:p w14:paraId="30FD372F">
                  <w:pPr>
                    <w:pStyle w:val="6"/>
                    <w:spacing w:before="61" w:line="233" w:lineRule="auto"/>
                    <w:ind w:left="448"/>
                    <w:rPr>
                      <w:sz w:val="20"/>
                      <w:szCs w:val="20"/>
                    </w:rPr>
                  </w:pPr>
                  <w:r>
                    <w:rPr>
                      <w:rFonts w:ascii="Calibri" w:hAnsi="Calibri" w:eastAsia="Calibri" w:cs="Calibri"/>
                      <w:spacing w:val="-4"/>
                      <w:sz w:val="20"/>
                      <w:szCs w:val="20"/>
                    </w:rPr>
                    <w:t>15</w:t>
                  </w:r>
                  <w:r>
                    <w:rPr>
                      <w:rFonts w:ascii="Calibri" w:hAnsi="Calibri" w:eastAsia="Calibri" w:cs="Calibri"/>
                      <w:spacing w:val="5"/>
                      <w:sz w:val="20"/>
                      <w:szCs w:val="20"/>
                    </w:rPr>
                    <w:t xml:space="preserve">  </w:t>
                  </w:r>
                  <w:r>
                    <w:rPr>
                      <w:spacing w:val="-4"/>
                      <w:sz w:val="20"/>
                      <w:szCs w:val="20"/>
                    </w:rPr>
                    <w:t>日</w:t>
                  </w:r>
                </w:p>
              </w:tc>
              <w:tc>
                <w:tcPr>
                  <w:tcW w:w="931" w:type="dxa"/>
                  <w:tcBorders>
                    <w:top w:val="nil"/>
                  </w:tcBorders>
                  <w:vAlign w:val="top"/>
                </w:tcPr>
                <w:p w14:paraId="717C4DCC">
                  <w:pPr>
                    <w:spacing w:before="122" w:line="195" w:lineRule="auto"/>
                    <w:ind w:left="2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08:00</w:t>
                  </w:r>
                </w:p>
              </w:tc>
              <w:tc>
                <w:tcPr>
                  <w:tcW w:w="1550" w:type="dxa"/>
                  <w:tcBorders>
                    <w:top w:val="nil"/>
                  </w:tcBorders>
                  <w:vAlign w:val="top"/>
                </w:tcPr>
                <w:p w14:paraId="38E3FA02">
                  <w:pPr>
                    <w:spacing w:before="102"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0.81</w:t>
                  </w:r>
                </w:p>
              </w:tc>
              <w:tc>
                <w:tcPr>
                  <w:tcW w:w="3952" w:type="dxa"/>
                  <w:vMerge w:val="restart"/>
                  <w:tcBorders>
                    <w:top w:val="nil"/>
                    <w:bottom w:val="nil"/>
                    <w:right w:val="nil"/>
                  </w:tcBorders>
                  <w:vAlign w:val="top"/>
                </w:tcPr>
                <w:p w14:paraId="79AB94A3">
                  <w:pPr>
                    <w:rPr>
                      <w:rFonts w:ascii="Arial"/>
                      <w:sz w:val="21"/>
                    </w:rPr>
                  </w:pPr>
                </w:p>
              </w:tc>
            </w:tr>
            <w:tr w14:paraId="75C03D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94" w:type="dxa"/>
                  <w:vMerge w:val="continue"/>
                  <w:tcBorders>
                    <w:top w:val="nil"/>
                    <w:left w:val="nil"/>
                    <w:bottom w:val="nil"/>
                  </w:tcBorders>
                  <w:vAlign w:val="top"/>
                </w:tcPr>
                <w:p w14:paraId="5F46B22B">
                  <w:pPr>
                    <w:rPr>
                      <w:rFonts w:ascii="Arial"/>
                      <w:sz w:val="21"/>
                    </w:rPr>
                  </w:pPr>
                </w:p>
              </w:tc>
              <w:tc>
                <w:tcPr>
                  <w:tcW w:w="1343" w:type="dxa"/>
                  <w:vMerge w:val="continue"/>
                  <w:tcBorders>
                    <w:top w:val="nil"/>
                    <w:bottom w:val="nil"/>
                  </w:tcBorders>
                  <w:vAlign w:val="top"/>
                </w:tcPr>
                <w:p w14:paraId="20980C08">
                  <w:pPr>
                    <w:rPr>
                      <w:rFonts w:ascii="Arial"/>
                      <w:sz w:val="21"/>
                    </w:rPr>
                  </w:pPr>
                </w:p>
              </w:tc>
              <w:tc>
                <w:tcPr>
                  <w:tcW w:w="931" w:type="dxa"/>
                  <w:vAlign w:val="top"/>
                </w:tcPr>
                <w:p w14:paraId="75FD2F18">
                  <w:pPr>
                    <w:spacing w:before="114" w:line="195" w:lineRule="auto"/>
                    <w:ind w:left="24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14:00</w:t>
                  </w:r>
                </w:p>
              </w:tc>
              <w:tc>
                <w:tcPr>
                  <w:tcW w:w="1550" w:type="dxa"/>
                  <w:vAlign w:val="top"/>
                </w:tcPr>
                <w:p w14:paraId="5C044504">
                  <w:pPr>
                    <w:spacing w:before="92"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0.79</w:t>
                  </w:r>
                </w:p>
              </w:tc>
              <w:tc>
                <w:tcPr>
                  <w:tcW w:w="3952" w:type="dxa"/>
                  <w:vMerge w:val="continue"/>
                  <w:tcBorders>
                    <w:top w:val="nil"/>
                    <w:bottom w:val="nil"/>
                    <w:right w:val="nil"/>
                  </w:tcBorders>
                  <w:vAlign w:val="top"/>
                </w:tcPr>
                <w:p w14:paraId="3E28EFA9">
                  <w:pPr>
                    <w:rPr>
                      <w:rFonts w:ascii="Arial"/>
                      <w:sz w:val="21"/>
                    </w:rPr>
                  </w:pPr>
                </w:p>
              </w:tc>
            </w:tr>
            <w:tr w14:paraId="16A260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894" w:type="dxa"/>
                  <w:vMerge w:val="continue"/>
                  <w:tcBorders>
                    <w:top w:val="nil"/>
                    <w:left w:val="nil"/>
                    <w:bottom w:val="nil"/>
                  </w:tcBorders>
                  <w:vAlign w:val="top"/>
                </w:tcPr>
                <w:p w14:paraId="383D33F3">
                  <w:pPr>
                    <w:rPr>
                      <w:rFonts w:ascii="Arial"/>
                      <w:sz w:val="21"/>
                    </w:rPr>
                  </w:pPr>
                </w:p>
              </w:tc>
              <w:tc>
                <w:tcPr>
                  <w:tcW w:w="1343" w:type="dxa"/>
                  <w:vMerge w:val="continue"/>
                  <w:tcBorders>
                    <w:top w:val="nil"/>
                  </w:tcBorders>
                  <w:vAlign w:val="top"/>
                </w:tcPr>
                <w:p w14:paraId="79519817">
                  <w:pPr>
                    <w:rPr>
                      <w:rFonts w:ascii="Arial"/>
                      <w:sz w:val="21"/>
                    </w:rPr>
                  </w:pPr>
                </w:p>
              </w:tc>
              <w:tc>
                <w:tcPr>
                  <w:tcW w:w="931" w:type="dxa"/>
                  <w:vAlign w:val="top"/>
                </w:tcPr>
                <w:p w14:paraId="3FF778C7">
                  <w:pPr>
                    <w:spacing w:before="114" w:line="195" w:lineRule="auto"/>
                    <w:ind w:left="22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20:00</w:t>
                  </w:r>
                </w:p>
              </w:tc>
              <w:tc>
                <w:tcPr>
                  <w:tcW w:w="1550" w:type="dxa"/>
                  <w:vAlign w:val="top"/>
                </w:tcPr>
                <w:p w14:paraId="07D08DFB">
                  <w:pPr>
                    <w:spacing w:before="94"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0.84</w:t>
                  </w:r>
                </w:p>
              </w:tc>
              <w:tc>
                <w:tcPr>
                  <w:tcW w:w="3952" w:type="dxa"/>
                  <w:vMerge w:val="continue"/>
                  <w:tcBorders>
                    <w:top w:val="nil"/>
                    <w:bottom w:val="nil"/>
                    <w:right w:val="nil"/>
                  </w:tcBorders>
                  <w:vAlign w:val="top"/>
                </w:tcPr>
                <w:p w14:paraId="36A6206A">
                  <w:pPr>
                    <w:rPr>
                      <w:rFonts w:ascii="Arial"/>
                      <w:sz w:val="21"/>
                    </w:rPr>
                  </w:pPr>
                </w:p>
              </w:tc>
            </w:tr>
            <w:tr w14:paraId="0DC26F0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894" w:type="dxa"/>
                  <w:vMerge w:val="continue"/>
                  <w:tcBorders>
                    <w:top w:val="nil"/>
                    <w:left w:val="nil"/>
                    <w:bottom w:val="nil"/>
                  </w:tcBorders>
                  <w:vAlign w:val="top"/>
                </w:tcPr>
                <w:p w14:paraId="04E4CEF2">
                  <w:pPr>
                    <w:rPr>
                      <w:rFonts w:ascii="Arial"/>
                      <w:sz w:val="21"/>
                    </w:rPr>
                  </w:pPr>
                </w:p>
              </w:tc>
              <w:tc>
                <w:tcPr>
                  <w:tcW w:w="1343" w:type="dxa"/>
                  <w:vMerge w:val="restart"/>
                  <w:tcBorders>
                    <w:bottom w:val="nil"/>
                  </w:tcBorders>
                  <w:vAlign w:val="top"/>
                </w:tcPr>
                <w:p w14:paraId="268FBEC1">
                  <w:pPr>
                    <w:spacing w:line="327" w:lineRule="auto"/>
                    <w:rPr>
                      <w:rFonts w:ascii="Arial"/>
                      <w:sz w:val="21"/>
                    </w:rPr>
                  </w:pPr>
                </w:p>
                <w:p w14:paraId="2B4E2712">
                  <w:pPr>
                    <w:pStyle w:val="6"/>
                    <w:spacing w:before="65" w:line="276" w:lineRule="auto"/>
                    <w:ind w:left="448" w:right="125" w:hanging="330"/>
                    <w:rPr>
                      <w:sz w:val="20"/>
                      <w:szCs w:val="20"/>
                    </w:rPr>
                  </w:pPr>
                  <w:r>
                    <w:rPr>
                      <w:rFonts w:ascii="Calibri" w:hAnsi="Calibri" w:eastAsia="Calibri" w:cs="Calibri"/>
                      <w:spacing w:val="-1"/>
                      <w:sz w:val="20"/>
                      <w:szCs w:val="20"/>
                    </w:rPr>
                    <w:t>2024</w:t>
                  </w:r>
                  <w:r>
                    <w:rPr>
                      <w:rFonts w:ascii="Calibri" w:hAnsi="Calibri" w:eastAsia="Calibri" w:cs="Calibri"/>
                      <w:spacing w:val="20"/>
                      <w:sz w:val="20"/>
                      <w:szCs w:val="20"/>
                    </w:rPr>
                    <w:t xml:space="preserve"> </w:t>
                  </w:r>
                  <w:r>
                    <w:rPr>
                      <w:spacing w:val="-1"/>
                      <w:sz w:val="20"/>
                      <w:szCs w:val="20"/>
                    </w:rPr>
                    <w:t>年</w:t>
                  </w:r>
                  <w:r>
                    <w:rPr>
                      <w:spacing w:val="-37"/>
                      <w:sz w:val="20"/>
                      <w:szCs w:val="20"/>
                    </w:rPr>
                    <w:t xml:space="preserve"> </w:t>
                  </w:r>
                  <w:r>
                    <w:rPr>
                      <w:rFonts w:ascii="Calibri" w:hAnsi="Calibri" w:eastAsia="Calibri" w:cs="Calibri"/>
                      <w:spacing w:val="-1"/>
                      <w:sz w:val="20"/>
                      <w:szCs w:val="20"/>
                    </w:rPr>
                    <w:t>7</w:t>
                  </w:r>
                  <w:r>
                    <w:rPr>
                      <w:rFonts w:ascii="Calibri" w:hAnsi="Calibri" w:eastAsia="Calibri" w:cs="Calibri"/>
                      <w:spacing w:val="20"/>
                      <w:w w:val="101"/>
                      <w:sz w:val="20"/>
                      <w:szCs w:val="20"/>
                    </w:rPr>
                    <w:t xml:space="preserve"> </w:t>
                  </w:r>
                  <w:r>
                    <w:rPr>
                      <w:spacing w:val="-1"/>
                      <w:sz w:val="20"/>
                      <w:szCs w:val="20"/>
                    </w:rPr>
                    <w:t>月</w:t>
                  </w:r>
                  <w:r>
                    <w:rPr>
                      <w:sz w:val="20"/>
                      <w:szCs w:val="20"/>
                    </w:rPr>
                    <w:t xml:space="preserve"> </w:t>
                  </w:r>
                  <w:r>
                    <w:rPr>
                      <w:rFonts w:ascii="Calibri" w:hAnsi="Calibri" w:eastAsia="Calibri" w:cs="Calibri"/>
                      <w:spacing w:val="-4"/>
                      <w:sz w:val="20"/>
                      <w:szCs w:val="20"/>
                    </w:rPr>
                    <w:t>16</w:t>
                  </w:r>
                  <w:r>
                    <w:rPr>
                      <w:rFonts w:ascii="Calibri" w:hAnsi="Calibri" w:eastAsia="Calibri" w:cs="Calibri"/>
                      <w:spacing w:val="5"/>
                      <w:sz w:val="20"/>
                      <w:szCs w:val="20"/>
                    </w:rPr>
                    <w:t xml:space="preserve">  </w:t>
                  </w:r>
                  <w:r>
                    <w:rPr>
                      <w:spacing w:val="-4"/>
                      <w:sz w:val="20"/>
                      <w:szCs w:val="20"/>
                    </w:rPr>
                    <w:t>日</w:t>
                  </w:r>
                </w:p>
              </w:tc>
              <w:tc>
                <w:tcPr>
                  <w:tcW w:w="931" w:type="dxa"/>
                  <w:vAlign w:val="top"/>
                </w:tcPr>
                <w:p w14:paraId="02FEB0E4">
                  <w:pPr>
                    <w:spacing w:before="111" w:line="195" w:lineRule="auto"/>
                    <w:ind w:left="2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02:00</w:t>
                  </w:r>
                </w:p>
              </w:tc>
              <w:tc>
                <w:tcPr>
                  <w:tcW w:w="1550" w:type="dxa"/>
                  <w:vAlign w:val="top"/>
                </w:tcPr>
                <w:p w14:paraId="6D44752D">
                  <w:pPr>
                    <w:spacing w:before="91"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0.72</w:t>
                  </w:r>
                </w:p>
              </w:tc>
              <w:tc>
                <w:tcPr>
                  <w:tcW w:w="3952" w:type="dxa"/>
                  <w:vMerge w:val="continue"/>
                  <w:tcBorders>
                    <w:top w:val="nil"/>
                    <w:bottom w:val="nil"/>
                    <w:right w:val="nil"/>
                  </w:tcBorders>
                  <w:vAlign w:val="top"/>
                </w:tcPr>
                <w:p w14:paraId="77C3CDD3">
                  <w:pPr>
                    <w:rPr>
                      <w:rFonts w:ascii="Arial"/>
                      <w:sz w:val="21"/>
                    </w:rPr>
                  </w:pPr>
                </w:p>
              </w:tc>
            </w:tr>
            <w:tr w14:paraId="3B4A85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94" w:type="dxa"/>
                  <w:vMerge w:val="continue"/>
                  <w:tcBorders>
                    <w:top w:val="nil"/>
                    <w:left w:val="nil"/>
                    <w:bottom w:val="nil"/>
                  </w:tcBorders>
                  <w:vAlign w:val="top"/>
                </w:tcPr>
                <w:p w14:paraId="04715979">
                  <w:pPr>
                    <w:rPr>
                      <w:rFonts w:ascii="Arial"/>
                      <w:sz w:val="21"/>
                    </w:rPr>
                  </w:pPr>
                </w:p>
              </w:tc>
              <w:tc>
                <w:tcPr>
                  <w:tcW w:w="1343" w:type="dxa"/>
                  <w:vMerge w:val="continue"/>
                  <w:tcBorders>
                    <w:top w:val="nil"/>
                    <w:bottom w:val="nil"/>
                  </w:tcBorders>
                  <w:vAlign w:val="top"/>
                </w:tcPr>
                <w:p w14:paraId="2DEC5A52">
                  <w:pPr>
                    <w:rPr>
                      <w:rFonts w:ascii="Arial"/>
                      <w:sz w:val="21"/>
                    </w:rPr>
                  </w:pPr>
                </w:p>
              </w:tc>
              <w:tc>
                <w:tcPr>
                  <w:tcW w:w="931" w:type="dxa"/>
                  <w:vAlign w:val="top"/>
                </w:tcPr>
                <w:p w14:paraId="54E81F36">
                  <w:pPr>
                    <w:spacing w:before="115" w:line="195" w:lineRule="auto"/>
                    <w:ind w:left="2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08:00</w:t>
                  </w:r>
                </w:p>
              </w:tc>
              <w:tc>
                <w:tcPr>
                  <w:tcW w:w="1550" w:type="dxa"/>
                  <w:vAlign w:val="top"/>
                </w:tcPr>
                <w:p w14:paraId="252BB9EB">
                  <w:pPr>
                    <w:spacing w:before="96"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0.77</w:t>
                  </w:r>
                </w:p>
              </w:tc>
              <w:tc>
                <w:tcPr>
                  <w:tcW w:w="3952" w:type="dxa"/>
                  <w:vMerge w:val="continue"/>
                  <w:tcBorders>
                    <w:top w:val="nil"/>
                    <w:bottom w:val="nil"/>
                    <w:right w:val="nil"/>
                  </w:tcBorders>
                  <w:vAlign w:val="top"/>
                </w:tcPr>
                <w:p w14:paraId="32945919">
                  <w:pPr>
                    <w:rPr>
                      <w:rFonts w:ascii="Arial"/>
                      <w:sz w:val="21"/>
                    </w:rPr>
                  </w:pPr>
                </w:p>
              </w:tc>
            </w:tr>
            <w:tr w14:paraId="1DC9DE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94" w:type="dxa"/>
                  <w:vMerge w:val="continue"/>
                  <w:tcBorders>
                    <w:top w:val="nil"/>
                    <w:left w:val="nil"/>
                    <w:bottom w:val="nil"/>
                  </w:tcBorders>
                  <w:vAlign w:val="top"/>
                </w:tcPr>
                <w:p w14:paraId="5E0D248B">
                  <w:pPr>
                    <w:rPr>
                      <w:rFonts w:ascii="Arial"/>
                      <w:sz w:val="21"/>
                    </w:rPr>
                  </w:pPr>
                </w:p>
              </w:tc>
              <w:tc>
                <w:tcPr>
                  <w:tcW w:w="1343" w:type="dxa"/>
                  <w:vMerge w:val="continue"/>
                  <w:tcBorders>
                    <w:top w:val="nil"/>
                    <w:bottom w:val="nil"/>
                  </w:tcBorders>
                  <w:vAlign w:val="top"/>
                </w:tcPr>
                <w:p w14:paraId="4E529BFD">
                  <w:pPr>
                    <w:rPr>
                      <w:rFonts w:ascii="Arial"/>
                      <w:sz w:val="21"/>
                    </w:rPr>
                  </w:pPr>
                </w:p>
              </w:tc>
              <w:tc>
                <w:tcPr>
                  <w:tcW w:w="931" w:type="dxa"/>
                  <w:vAlign w:val="top"/>
                </w:tcPr>
                <w:p w14:paraId="35D5C252">
                  <w:pPr>
                    <w:spacing w:before="115" w:line="195" w:lineRule="auto"/>
                    <w:ind w:left="24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14:00</w:t>
                  </w:r>
                </w:p>
              </w:tc>
              <w:tc>
                <w:tcPr>
                  <w:tcW w:w="1550" w:type="dxa"/>
                  <w:vAlign w:val="top"/>
                </w:tcPr>
                <w:p w14:paraId="62ADA572">
                  <w:pPr>
                    <w:spacing w:before="95"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0.82</w:t>
                  </w:r>
                </w:p>
              </w:tc>
              <w:tc>
                <w:tcPr>
                  <w:tcW w:w="3952" w:type="dxa"/>
                  <w:vMerge w:val="continue"/>
                  <w:tcBorders>
                    <w:top w:val="nil"/>
                    <w:bottom w:val="nil"/>
                    <w:right w:val="nil"/>
                  </w:tcBorders>
                  <w:vAlign w:val="top"/>
                </w:tcPr>
                <w:p w14:paraId="2F262CBB">
                  <w:pPr>
                    <w:rPr>
                      <w:rFonts w:ascii="Arial"/>
                      <w:sz w:val="21"/>
                    </w:rPr>
                  </w:pPr>
                </w:p>
              </w:tc>
            </w:tr>
            <w:tr w14:paraId="3ADCD4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894" w:type="dxa"/>
                  <w:vMerge w:val="continue"/>
                  <w:tcBorders>
                    <w:top w:val="nil"/>
                    <w:left w:val="nil"/>
                    <w:bottom w:val="nil"/>
                  </w:tcBorders>
                  <w:vAlign w:val="top"/>
                </w:tcPr>
                <w:p w14:paraId="511B5F33">
                  <w:pPr>
                    <w:rPr>
                      <w:rFonts w:ascii="Arial"/>
                      <w:sz w:val="21"/>
                    </w:rPr>
                  </w:pPr>
                </w:p>
              </w:tc>
              <w:tc>
                <w:tcPr>
                  <w:tcW w:w="1343" w:type="dxa"/>
                  <w:vMerge w:val="continue"/>
                  <w:tcBorders>
                    <w:top w:val="nil"/>
                  </w:tcBorders>
                  <w:vAlign w:val="top"/>
                </w:tcPr>
                <w:p w14:paraId="4B56B81A">
                  <w:pPr>
                    <w:rPr>
                      <w:rFonts w:ascii="Arial"/>
                      <w:sz w:val="21"/>
                    </w:rPr>
                  </w:pPr>
                </w:p>
              </w:tc>
              <w:tc>
                <w:tcPr>
                  <w:tcW w:w="931" w:type="dxa"/>
                  <w:vAlign w:val="top"/>
                </w:tcPr>
                <w:p w14:paraId="26BBAF86">
                  <w:pPr>
                    <w:spacing w:before="117" w:line="195" w:lineRule="auto"/>
                    <w:ind w:left="22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20:00</w:t>
                  </w:r>
                </w:p>
              </w:tc>
              <w:tc>
                <w:tcPr>
                  <w:tcW w:w="1550" w:type="dxa"/>
                  <w:vAlign w:val="top"/>
                </w:tcPr>
                <w:p w14:paraId="716C3BE9">
                  <w:pPr>
                    <w:spacing w:before="98"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0.74</w:t>
                  </w:r>
                </w:p>
              </w:tc>
              <w:tc>
                <w:tcPr>
                  <w:tcW w:w="3952" w:type="dxa"/>
                  <w:vMerge w:val="continue"/>
                  <w:tcBorders>
                    <w:top w:val="nil"/>
                    <w:bottom w:val="nil"/>
                    <w:right w:val="nil"/>
                  </w:tcBorders>
                  <w:vAlign w:val="top"/>
                </w:tcPr>
                <w:p w14:paraId="492A3B67">
                  <w:pPr>
                    <w:rPr>
                      <w:rFonts w:ascii="Arial"/>
                      <w:sz w:val="21"/>
                    </w:rPr>
                  </w:pPr>
                </w:p>
              </w:tc>
            </w:tr>
            <w:tr w14:paraId="499F6C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2" w:hRule="atLeast"/>
              </w:trPr>
              <w:tc>
                <w:tcPr>
                  <w:tcW w:w="894" w:type="dxa"/>
                  <w:vMerge w:val="continue"/>
                  <w:tcBorders>
                    <w:top w:val="nil"/>
                    <w:left w:val="nil"/>
                    <w:bottom w:val="nil"/>
                  </w:tcBorders>
                  <w:vAlign w:val="top"/>
                </w:tcPr>
                <w:p w14:paraId="3D4DD35F">
                  <w:pPr>
                    <w:rPr>
                      <w:rFonts w:ascii="Arial"/>
                      <w:sz w:val="21"/>
                    </w:rPr>
                  </w:pPr>
                </w:p>
              </w:tc>
              <w:tc>
                <w:tcPr>
                  <w:tcW w:w="1343" w:type="dxa"/>
                  <w:vMerge w:val="restart"/>
                  <w:tcBorders>
                    <w:bottom w:val="nil"/>
                  </w:tcBorders>
                  <w:vAlign w:val="top"/>
                </w:tcPr>
                <w:p w14:paraId="588E1A44">
                  <w:pPr>
                    <w:spacing w:line="325" w:lineRule="auto"/>
                    <w:rPr>
                      <w:rFonts w:ascii="Arial"/>
                      <w:sz w:val="21"/>
                    </w:rPr>
                  </w:pPr>
                </w:p>
                <w:p w14:paraId="09D1453E">
                  <w:pPr>
                    <w:pStyle w:val="6"/>
                    <w:spacing w:before="65" w:line="276" w:lineRule="auto"/>
                    <w:ind w:left="448" w:right="125" w:hanging="330"/>
                    <w:rPr>
                      <w:sz w:val="20"/>
                      <w:szCs w:val="20"/>
                    </w:rPr>
                  </w:pPr>
                  <w:r>
                    <w:rPr>
                      <w:rFonts w:ascii="Calibri" w:hAnsi="Calibri" w:eastAsia="Calibri" w:cs="Calibri"/>
                      <w:spacing w:val="-1"/>
                      <w:sz w:val="20"/>
                      <w:szCs w:val="20"/>
                    </w:rPr>
                    <w:t>2024</w:t>
                  </w:r>
                  <w:r>
                    <w:rPr>
                      <w:rFonts w:ascii="Calibri" w:hAnsi="Calibri" w:eastAsia="Calibri" w:cs="Calibri"/>
                      <w:spacing w:val="20"/>
                      <w:sz w:val="20"/>
                      <w:szCs w:val="20"/>
                    </w:rPr>
                    <w:t xml:space="preserve"> </w:t>
                  </w:r>
                  <w:r>
                    <w:rPr>
                      <w:spacing w:val="-1"/>
                      <w:sz w:val="20"/>
                      <w:szCs w:val="20"/>
                    </w:rPr>
                    <w:t>年</w:t>
                  </w:r>
                  <w:r>
                    <w:rPr>
                      <w:spacing w:val="-37"/>
                      <w:sz w:val="20"/>
                      <w:szCs w:val="20"/>
                    </w:rPr>
                    <w:t xml:space="preserve"> </w:t>
                  </w:r>
                  <w:r>
                    <w:rPr>
                      <w:rFonts w:ascii="Calibri" w:hAnsi="Calibri" w:eastAsia="Calibri" w:cs="Calibri"/>
                      <w:spacing w:val="-1"/>
                      <w:sz w:val="20"/>
                      <w:szCs w:val="20"/>
                    </w:rPr>
                    <w:t>7</w:t>
                  </w:r>
                  <w:r>
                    <w:rPr>
                      <w:rFonts w:ascii="Calibri" w:hAnsi="Calibri" w:eastAsia="Calibri" w:cs="Calibri"/>
                      <w:spacing w:val="20"/>
                      <w:w w:val="101"/>
                      <w:sz w:val="20"/>
                      <w:szCs w:val="20"/>
                    </w:rPr>
                    <w:t xml:space="preserve"> </w:t>
                  </w:r>
                  <w:r>
                    <w:rPr>
                      <w:spacing w:val="-1"/>
                      <w:sz w:val="20"/>
                      <w:szCs w:val="20"/>
                    </w:rPr>
                    <w:t>月</w:t>
                  </w:r>
                  <w:r>
                    <w:rPr>
                      <w:sz w:val="20"/>
                      <w:szCs w:val="20"/>
                    </w:rPr>
                    <w:t xml:space="preserve"> </w:t>
                  </w:r>
                  <w:r>
                    <w:rPr>
                      <w:rFonts w:ascii="Calibri" w:hAnsi="Calibri" w:eastAsia="Calibri" w:cs="Calibri"/>
                      <w:spacing w:val="-4"/>
                      <w:sz w:val="20"/>
                      <w:szCs w:val="20"/>
                    </w:rPr>
                    <w:t>17</w:t>
                  </w:r>
                  <w:r>
                    <w:rPr>
                      <w:rFonts w:ascii="Calibri" w:hAnsi="Calibri" w:eastAsia="Calibri" w:cs="Calibri"/>
                      <w:spacing w:val="5"/>
                      <w:sz w:val="20"/>
                      <w:szCs w:val="20"/>
                    </w:rPr>
                    <w:t xml:space="preserve">  </w:t>
                  </w:r>
                  <w:r>
                    <w:rPr>
                      <w:spacing w:val="-4"/>
                      <w:sz w:val="20"/>
                      <w:szCs w:val="20"/>
                    </w:rPr>
                    <w:t>日</w:t>
                  </w:r>
                </w:p>
              </w:tc>
              <w:tc>
                <w:tcPr>
                  <w:tcW w:w="931" w:type="dxa"/>
                  <w:vAlign w:val="top"/>
                </w:tcPr>
                <w:p w14:paraId="75403AA4">
                  <w:pPr>
                    <w:spacing w:before="114" w:line="195" w:lineRule="auto"/>
                    <w:ind w:left="2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02:00</w:t>
                  </w:r>
                </w:p>
              </w:tc>
              <w:tc>
                <w:tcPr>
                  <w:tcW w:w="1550" w:type="dxa"/>
                  <w:vAlign w:val="top"/>
                </w:tcPr>
                <w:p w14:paraId="71C814C4">
                  <w:pPr>
                    <w:spacing w:before="95"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0.76</w:t>
                  </w:r>
                </w:p>
              </w:tc>
              <w:tc>
                <w:tcPr>
                  <w:tcW w:w="3952" w:type="dxa"/>
                  <w:vMerge w:val="continue"/>
                  <w:tcBorders>
                    <w:top w:val="nil"/>
                    <w:bottom w:val="nil"/>
                    <w:right w:val="nil"/>
                  </w:tcBorders>
                  <w:vAlign w:val="top"/>
                </w:tcPr>
                <w:p w14:paraId="2517284E">
                  <w:pPr>
                    <w:rPr>
                      <w:rFonts w:ascii="Arial"/>
                      <w:sz w:val="21"/>
                    </w:rPr>
                  </w:pPr>
                </w:p>
              </w:tc>
            </w:tr>
            <w:tr w14:paraId="5E1D46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894" w:type="dxa"/>
                  <w:vMerge w:val="continue"/>
                  <w:tcBorders>
                    <w:top w:val="nil"/>
                    <w:left w:val="nil"/>
                    <w:bottom w:val="nil"/>
                  </w:tcBorders>
                  <w:vAlign w:val="top"/>
                </w:tcPr>
                <w:p w14:paraId="633CC2A4">
                  <w:pPr>
                    <w:rPr>
                      <w:rFonts w:ascii="Arial"/>
                      <w:sz w:val="21"/>
                    </w:rPr>
                  </w:pPr>
                </w:p>
              </w:tc>
              <w:tc>
                <w:tcPr>
                  <w:tcW w:w="1343" w:type="dxa"/>
                  <w:vMerge w:val="continue"/>
                  <w:tcBorders>
                    <w:top w:val="nil"/>
                    <w:bottom w:val="nil"/>
                  </w:tcBorders>
                  <w:vAlign w:val="top"/>
                </w:tcPr>
                <w:p w14:paraId="423765CA">
                  <w:pPr>
                    <w:rPr>
                      <w:rFonts w:ascii="Arial"/>
                      <w:sz w:val="21"/>
                    </w:rPr>
                  </w:pPr>
                </w:p>
              </w:tc>
              <w:tc>
                <w:tcPr>
                  <w:tcW w:w="931" w:type="dxa"/>
                  <w:vAlign w:val="top"/>
                </w:tcPr>
                <w:p w14:paraId="507F7BC5">
                  <w:pPr>
                    <w:spacing w:before="118" w:line="195" w:lineRule="auto"/>
                    <w:ind w:left="2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08:00</w:t>
                  </w:r>
                </w:p>
              </w:tc>
              <w:tc>
                <w:tcPr>
                  <w:tcW w:w="1550" w:type="dxa"/>
                  <w:vAlign w:val="top"/>
                </w:tcPr>
                <w:p w14:paraId="1EF06109">
                  <w:pPr>
                    <w:spacing w:before="99"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0.83</w:t>
                  </w:r>
                </w:p>
              </w:tc>
              <w:tc>
                <w:tcPr>
                  <w:tcW w:w="3952" w:type="dxa"/>
                  <w:vMerge w:val="continue"/>
                  <w:tcBorders>
                    <w:top w:val="nil"/>
                    <w:bottom w:val="nil"/>
                    <w:right w:val="nil"/>
                  </w:tcBorders>
                  <w:vAlign w:val="top"/>
                </w:tcPr>
                <w:p w14:paraId="3B627771">
                  <w:pPr>
                    <w:rPr>
                      <w:rFonts w:ascii="Arial"/>
                      <w:sz w:val="21"/>
                    </w:rPr>
                  </w:pPr>
                </w:p>
              </w:tc>
            </w:tr>
            <w:tr w14:paraId="5CC5B9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5" w:hRule="atLeast"/>
              </w:trPr>
              <w:tc>
                <w:tcPr>
                  <w:tcW w:w="894" w:type="dxa"/>
                  <w:vMerge w:val="continue"/>
                  <w:tcBorders>
                    <w:top w:val="nil"/>
                    <w:left w:val="nil"/>
                    <w:bottom w:val="nil"/>
                  </w:tcBorders>
                  <w:vAlign w:val="top"/>
                </w:tcPr>
                <w:p w14:paraId="7C40C423">
                  <w:pPr>
                    <w:rPr>
                      <w:rFonts w:ascii="Arial"/>
                      <w:sz w:val="21"/>
                    </w:rPr>
                  </w:pPr>
                </w:p>
              </w:tc>
              <w:tc>
                <w:tcPr>
                  <w:tcW w:w="1343" w:type="dxa"/>
                  <w:vMerge w:val="continue"/>
                  <w:tcBorders>
                    <w:top w:val="nil"/>
                    <w:bottom w:val="nil"/>
                  </w:tcBorders>
                  <w:vAlign w:val="top"/>
                </w:tcPr>
                <w:p w14:paraId="39C7BD53">
                  <w:pPr>
                    <w:rPr>
                      <w:rFonts w:ascii="Arial"/>
                      <w:sz w:val="21"/>
                    </w:rPr>
                  </w:pPr>
                </w:p>
              </w:tc>
              <w:tc>
                <w:tcPr>
                  <w:tcW w:w="931" w:type="dxa"/>
                  <w:vAlign w:val="top"/>
                </w:tcPr>
                <w:p w14:paraId="636221DE">
                  <w:pPr>
                    <w:spacing w:before="118" w:line="195" w:lineRule="auto"/>
                    <w:ind w:left="246"/>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14:00</w:t>
                  </w:r>
                </w:p>
              </w:tc>
              <w:tc>
                <w:tcPr>
                  <w:tcW w:w="1550" w:type="dxa"/>
                  <w:vAlign w:val="top"/>
                </w:tcPr>
                <w:p w14:paraId="21E20106">
                  <w:pPr>
                    <w:spacing w:before="99" w:line="195" w:lineRule="auto"/>
                    <w:ind w:left="59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0.80</w:t>
                  </w:r>
                </w:p>
              </w:tc>
              <w:tc>
                <w:tcPr>
                  <w:tcW w:w="3952" w:type="dxa"/>
                  <w:vMerge w:val="continue"/>
                  <w:tcBorders>
                    <w:top w:val="nil"/>
                    <w:bottom w:val="nil"/>
                    <w:right w:val="nil"/>
                  </w:tcBorders>
                  <w:vAlign w:val="top"/>
                </w:tcPr>
                <w:p w14:paraId="57C763D5">
                  <w:pPr>
                    <w:rPr>
                      <w:rFonts w:ascii="Arial"/>
                      <w:sz w:val="21"/>
                    </w:rPr>
                  </w:pPr>
                </w:p>
              </w:tc>
            </w:tr>
            <w:tr w14:paraId="65573B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4" w:hRule="atLeast"/>
              </w:trPr>
              <w:tc>
                <w:tcPr>
                  <w:tcW w:w="894" w:type="dxa"/>
                  <w:vMerge w:val="continue"/>
                  <w:tcBorders>
                    <w:top w:val="nil"/>
                    <w:left w:val="nil"/>
                  </w:tcBorders>
                  <w:vAlign w:val="top"/>
                </w:tcPr>
                <w:p w14:paraId="0AF0D03D">
                  <w:pPr>
                    <w:rPr>
                      <w:rFonts w:ascii="Arial"/>
                      <w:sz w:val="21"/>
                    </w:rPr>
                  </w:pPr>
                </w:p>
              </w:tc>
              <w:tc>
                <w:tcPr>
                  <w:tcW w:w="1343" w:type="dxa"/>
                  <w:vMerge w:val="continue"/>
                  <w:tcBorders>
                    <w:top w:val="nil"/>
                  </w:tcBorders>
                  <w:vAlign w:val="top"/>
                </w:tcPr>
                <w:p w14:paraId="05F7D4E4">
                  <w:pPr>
                    <w:rPr>
                      <w:rFonts w:ascii="Arial"/>
                      <w:sz w:val="21"/>
                    </w:rPr>
                  </w:pPr>
                </w:p>
              </w:tc>
              <w:tc>
                <w:tcPr>
                  <w:tcW w:w="931" w:type="dxa"/>
                  <w:vAlign w:val="top"/>
                </w:tcPr>
                <w:p w14:paraId="0694894F">
                  <w:pPr>
                    <w:spacing w:before="98" w:line="186" w:lineRule="auto"/>
                    <w:ind w:left="234"/>
                    <w:rPr>
                      <w:rFonts w:ascii="Calibri" w:hAnsi="Calibri" w:eastAsia="Calibri" w:cs="Calibri"/>
                      <w:sz w:val="20"/>
                      <w:szCs w:val="20"/>
                    </w:rPr>
                  </w:pPr>
                  <w:r>
                    <w:rPr>
                      <w:rFonts w:ascii="Calibri" w:hAnsi="Calibri" w:eastAsia="Calibri" w:cs="Calibri"/>
                      <w:spacing w:val="1"/>
                      <w:sz w:val="20"/>
                      <w:szCs w:val="20"/>
                    </w:rPr>
                    <w:t>20:00</w:t>
                  </w:r>
                </w:p>
              </w:tc>
              <w:tc>
                <w:tcPr>
                  <w:tcW w:w="1550" w:type="dxa"/>
                  <w:vAlign w:val="top"/>
                </w:tcPr>
                <w:p w14:paraId="7E5B4220">
                  <w:pPr>
                    <w:spacing w:before="98" w:line="186" w:lineRule="auto"/>
                    <w:ind w:left="594"/>
                    <w:rPr>
                      <w:rFonts w:ascii="Calibri" w:hAnsi="Calibri" w:eastAsia="Calibri" w:cs="Calibri"/>
                      <w:sz w:val="20"/>
                      <w:szCs w:val="20"/>
                    </w:rPr>
                  </w:pPr>
                  <w:r>
                    <w:rPr>
                      <w:rFonts w:ascii="Calibri" w:hAnsi="Calibri" w:eastAsia="Calibri" w:cs="Calibri"/>
                      <w:spacing w:val="1"/>
                      <w:sz w:val="20"/>
                      <w:szCs w:val="20"/>
                    </w:rPr>
                    <w:t>0.78</w:t>
                  </w:r>
                </w:p>
              </w:tc>
              <w:tc>
                <w:tcPr>
                  <w:tcW w:w="3952" w:type="dxa"/>
                  <w:vMerge w:val="continue"/>
                  <w:tcBorders>
                    <w:top w:val="nil"/>
                    <w:right w:val="nil"/>
                  </w:tcBorders>
                  <w:vAlign w:val="top"/>
                </w:tcPr>
                <w:p w14:paraId="61B78F85">
                  <w:pPr>
                    <w:rPr>
                      <w:rFonts w:ascii="Arial"/>
                      <w:sz w:val="21"/>
                    </w:rPr>
                  </w:pPr>
                </w:p>
              </w:tc>
            </w:tr>
            <w:tr w14:paraId="05959BC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894" w:type="dxa"/>
                  <w:tcBorders>
                    <w:left w:val="nil"/>
                  </w:tcBorders>
                  <w:vAlign w:val="top"/>
                </w:tcPr>
                <w:p w14:paraId="0D4BE1BA">
                  <w:pPr>
                    <w:pStyle w:val="6"/>
                    <w:spacing w:before="61" w:line="256" w:lineRule="auto"/>
                    <w:ind w:left="350" w:right="130" w:hanging="210"/>
                    <w:rPr>
                      <w:sz w:val="20"/>
                      <w:szCs w:val="20"/>
                    </w:rPr>
                  </w:pPr>
                  <w:r>
                    <w:rPr>
                      <w:spacing w:val="6"/>
                      <w:sz w:val="20"/>
                      <w:szCs w:val="20"/>
                    </w:rPr>
                    <w:t>监测点</w:t>
                  </w:r>
                  <w:r>
                    <w:rPr>
                      <w:spacing w:val="1"/>
                      <w:sz w:val="20"/>
                      <w:szCs w:val="20"/>
                    </w:rPr>
                    <w:t xml:space="preserve"> </w:t>
                  </w:r>
                  <w:r>
                    <w:rPr>
                      <w:sz w:val="20"/>
                      <w:szCs w:val="20"/>
                    </w:rPr>
                    <w:t>位</w:t>
                  </w:r>
                </w:p>
              </w:tc>
              <w:tc>
                <w:tcPr>
                  <w:tcW w:w="1343" w:type="dxa"/>
                  <w:vAlign w:val="top"/>
                </w:tcPr>
                <w:p w14:paraId="29F5C03C">
                  <w:pPr>
                    <w:pStyle w:val="6"/>
                    <w:spacing w:before="218" w:line="228" w:lineRule="auto"/>
                    <w:ind w:left="256"/>
                    <w:rPr>
                      <w:sz w:val="20"/>
                      <w:szCs w:val="20"/>
                    </w:rPr>
                  </w:pPr>
                  <w:r>
                    <w:rPr>
                      <w:spacing w:val="7"/>
                      <w:sz w:val="20"/>
                      <w:szCs w:val="20"/>
                    </w:rPr>
                    <w:t>监测日期</w:t>
                  </w:r>
                </w:p>
              </w:tc>
              <w:tc>
                <w:tcPr>
                  <w:tcW w:w="931" w:type="dxa"/>
                  <w:vAlign w:val="top"/>
                </w:tcPr>
                <w:p w14:paraId="44DDA27C">
                  <w:pPr>
                    <w:pStyle w:val="6"/>
                    <w:spacing w:before="61" w:line="256" w:lineRule="auto"/>
                    <w:ind w:left="380" w:right="148" w:hanging="225"/>
                    <w:rPr>
                      <w:sz w:val="20"/>
                      <w:szCs w:val="20"/>
                    </w:rPr>
                  </w:pPr>
                  <w:r>
                    <w:rPr>
                      <w:spacing w:val="7"/>
                      <w:sz w:val="20"/>
                      <w:szCs w:val="20"/>
                    </w:rPr>
                    <w:t>采样时</w:t>
                  </w:r>
                  <w:r>
                    <w:rPr>
                      <w:sz w:val="20"/>
                      <w:szCs w:val="20"/>
                    </w:rPr>
                    <w:t xml:space="preserve"> 间</w:t>
                  </w:r>
                </w:p>
              </w:tc>
              <w:tc>
                <w:tcPr>
                  <w:tcW w:w="1550" w:type="dxa"/>
                  <w:vAlign w:val="top"/>
                </w:tcPr>
                <w:p w14:paraId="6281AE1E">
                  <w:pPr>
                    <w:pStyle w:val="6"/>
                    <w:spacing w:before="183" w:line="280" w:lineRule="exact"/>
                    <w:ind w:left="106"/>
                    <w:rPr>
                      <w:sz w:val="20"/>
                      <w:szCs w:val="20"/>
                    </w:rPr>
                  </w:pPr>
                  <w:r>
                    <w:rPr>
                      <w:rFonts w:ascii="Calibri" w:hAnsi="Calibri" w:eastAsia="Calibri" w:cs="Calibri"/>
                      <w:spacing w:val="-10"/>
                      <w:position w:val="2"/>
                      <w:sz w:val="20"/>
                      <w:szCs w:val="20"/>
                    </w:rPr>
                    <w:t>TSP</w:t>
                  </w:r>
                  <w:r>
                    <w:rPr>
                      <w:rFonts w:ascii="Calibri" w:hAnsi="Calibri" w:eastAsia="Calibri" w:cs="Calibri"/>
                      <w:spacing w:val="16"/>
                      <w:position w:val="2"/>
                      <w:sz w:val="20"/>
                      <w:szCs w:val="20"/>
                    </w:rPr>
                    <w:t xml:space="preserve">  </w:t>
                  </w:r>
                  <w:r>
                    <w:rPr>
                      <w:spacing w:val="-10"/>
                      <w:position w:val="2"/>
                      <w:sz w:val="20"/>
                      <w:szCs w:val="20"/>
                    </w:rPr>
                    <w:t>( μ</w:t>
                  </w:r>
                  <w:r>
                    <w:rPr>
                      <w:rFonts w:ascii="Calibri" w:hAnsi="Calibri" w:eastAsia="Calibri" w:cs="Calibri"/>
                      <w:spacing w:val="-10"/>
                      <w:position w:val="2"/>
                      <w:sz w:val="20"/>
                      <w:szCs w:val="20"/>
                    </w:rPr>
                    <w:t>g/</w:t>
                  </w:r>
                  <w:r>
                    <w:rPr>
                      <w:rFonts w:ascii="Calibri" w:hAnsi="Calibri" w:eastAsia="Calibri" w:cs="Calibri"/>
                      <w:spacing w:val="-27"/>
                      <w:position w:val="2"/>
                      <w:sz w:val="20"/>
                      <w:szCs w:val="20"/>
                    </w:rPr>
                    <w:t xml:space="preserve"> </w:t>
                  </w:r>
                  <w:r>
                    <w:rPr>
                      <w:rFonts w:ascii="Calibri" w:hAnsi="Calibri" w:eastAsia="Calibri" w:cs="Calibri"/>
                      <w:spacing w:val="-10"/>
                      <w:position w:val="2"/>
                      <w:sz w:val="20"/>
                      <w:szCs w:val="20"/>
                    </w:rPr>
                    <w:t>m</w:t>
                  </w:r>
                  <w:r>
                    <w:rPr>
                      <w:rFonts w:ascii="Calibri" w:hAnsi="Calibri" w:eastAsia="Calibri" w:cs="Calibri"/>
                      <w:spacing w:val="4"/>
                      <w:position w:val="8"/>
                      <w:sz w:val="13"/>
                      <w:szCs w:val="13"/>
                    </w:rPr>
                    <w:t>3</w:t>
                  </w:r>
                  <w:r>
                    <w:rPr>
                      <w:spacing w:val="4"/>
                      <w:position w:val="2"/>
                      <w:sz w:val="20"/>
                      <w:szCs w:val="20"/>
                    </w:rPr>
                    <w:t>）</w:t>
                  </w:r>
                </w:p>
              </w:tc>
              <w:tc>
                <w:tcPr>
                  <w:tcW w:w="3952" w:type="dxa"/>
                  <w:tcBorders>
                    <w:right w:val="nil"/>
                  </w:tcBorders>
                  <w:vAlign w:val="top"/>
                </w:tcPr>
                <w:p w14:paraId="4495539C">
                  <w:pPr>
                    <w:pStyle w:val="6"/>
                    <w:spacing w:before="217" w:line="228" w:lineRule="auto"/>
                    <w:ind w:left="1560"/>
                    <w:rPr>
                      <w:sz w:val="20"/>
                      <w:szCs w:val="20"/>
                    </w:rPr>
                  </w:pPr>
                  <w:r>
                    <w:rPr>
                      <w:spacing w:val="7"/>
                      <w:sz w:val="20"/>
                      <w:szCs w:val="20"/>
                    </w:rPr>
                    <w:t>执行标准</w:t>
                  </w:r>
                </w:p>
              </w:tc>
            </w:tr>
            <w:tr w14:paraId="630812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894" w:type="dxa"/>
                  <w:vMerge w:val="restart"/>
                  <w:tcBorders>
                    <w:left w:val="nil"/>
                    <w:bottom w:val="nil"/>
                  </w:tcBorders>
                  <w:vAlign w:val="top"/>
                </w:tcPr>
                <w:p w14:paraId="16137D95">
                  <w:pPr>
                    <w:spacing w:line="268" w:lineRule="auto"/>
                    <w:rPr>
                      <w:rFonts w:ascii="Arial"/>
                      <w:sz w:val="21"/>
                    </w:rPr>
                  </w:pPr>
                </w:p>
                <w:p w14:paraId="46DA880B">
                  <w:pPr>
                    <w:spacing w:line="269" w:lineRule="auto"/>
                    <w:rPr>
                      <w:rFonts w:ascii="Arial"/>
                      <w:sz w:val="21"/>
                    </w:rPr>
                  </w:pPr>
                </w:p>
                <w:p w14:paraId="2B0E1DFF">
                  <w:pPr>
                    <w:spacing w:line="269" w:lineRule="auto"/>
                    <w:rPr>
                      <w:rFonts w:ascii="Arial"/>
                      <w:sz w:val="21"/>
                    </w:rPr>
                  </w:pPr>
                </w:p>
                <w:p w14:paraId="55CE0216">
                  <w:pPr>
                    <w:pStyle w:val="6"/>
                    <w:spacing w:before="65" w:line="228" w:lineRule="auto"/>
                    <w:ind w:left="247"/>
                    <w:rPr>
                      <w:sz w:val="20"/>
                      <w:szCs w:val="20"/>
                    </w:rPr>
                  </w:pPr>
                  <w:r>
                    <w:rPr>
                      <w:spacing w:val="3"/>
                      <w:sz w:val="20"/>
                      <w:szCs w:val="20"/>
                    </w:rPr>
                    <w:t>厂址</w:t>
                  </w:r>
                </w:p>
              </w:tc>
              <w:tc>
                <w:tcPr>
                  <w:tcW w:w="1343" w:type="dxa"/>
                  <w:vAlign w:val="top"/>
                </w:tcPr>
                <w:p w14:paraId="1294F7FF">
                  <w:pPr>
                    <w:pStyle w:val="6"/>
                    <w:spacing w:before="65" w:line="254" w:lineRule="auto"/>
                    <w:ind w:left="311" w:right="194" w:hanging="109"/>
                    <w:rPr>
                      <w:sz w:val="20"/>
                      <w:szCs w:val="20"/>
                    </w:rPr>
                  </w:pPr>
                  <w:r>
                    <w:rPr>
                      <w:rFonts w:hint="eastAsia" w:ascii="Calibri" w:hAnsi="Calibri" w:cs="Calibri"/>
                      <w:spacing w:val="-1"/>
                      <w:sz w:val="20"/>
                      <w:szCs w:val="20"/>
                      <w:lang w:eastAsia="zh-CN"/>
                    </w:rPr>
                    <w:t>2025年1月</w:t>
                  </w:r>
                  <w:r>
                    <w:rPr>
                      <w:spacing w:val="-26"/>
                      <w:sz w:val="20"/>
                      <w:szCs w:val="20"/>
                    </w:rPr>
                    <w:t xml:space="preserve"> </w:t>
                  </w:r>
                  <w:r>
                    <w:rPr>
                      <w:rFonts w:ascii="Calibri" w:hAnsi="Calibri" w:eastAsia="Calibri" w:cs="Calibri"/>
                      <w:spacing w:val="-4"/>
                      <w:sz w:val="20"/>
                      <w:szCs w:val="20"/>
                    </w:rPr>
                    <w:t>15</w:t>
                  </w:r>
                  <w:r>
                    <w:rPr>
                      <w:rFonts w:ascii="Calibri" w:hAnsi="Calibri" w:eastAsia="Calibri" w:cs="Calibri"/>
                      <w:spacing w:val="3"/>
                      <w:sz w:val="20"/>
                      <w:szCs w:val="20"/>
                    </w:rPr>
                    <w:t xml:space="preserve">  </w:t>
                  </w:r>
                  <w:r>
                    <w:rPr>
                      <w:spacing w:val="-4"/>
                      <w:sz w:val="20"/>
                      <w:szCs w:val="20"/>
                    </w:rPr>
                    <w:t>日</w:t>
                  </w:r>
                </w:p>
              </w:tc>
              <w:tc>
                <w:tcPr>
                  <w:tcW w:w="931" w:type="dxa"/>
                  <w:vAlign w:val="top"/>
                </w:tcPr>
                <w:p w14:paraId="54F97701">
                  <w:pPr>
                    <w:pStyle w:val="6"/>
                    <w:spacing w:before="65" w:line="254" w:lineRule="auto"/>
                    <w:ind w:left="260" w:right="122" w:hanging="129"/>
                    <w:rPr>
                      <w:sz w:val="20"/>
                      <w:szCs w:val="20"/>
                    </w:rPr>
                  </w:pPr>
                  <w:r>
                    <w:rPr>
                      <w:rFonts w:ascii="Calibri" w:hAnsi="Calibri" w:eastAsia="Calibri" w:cs="Calibri"/>
                      <w:sz w:val="20"/>
                      <w:szCs w:val="20"/>
                    </w:rPr>
                    <w:t>24</w:t>
                  </w:r>
                  <w:r>
                    <w:rPr>
                      <w:rFonts w:ascii="Calibri" w:hAnsi="Calibri" w:eastAsia="Calibri" w:cs="Calibri"/>
                      <w:spacing w:val="23"/>
                      <w:w w:val="101"/>
                      <w:sz w:val="20"/>
                      <w:szCs w:val="20"/>
                    </w:rPr>
                    <w:t xml:space="preserve"> </w:t>
                  </w:r>
                  <w:r>
                    <w:rPr>
                      <w:sz w:val="20"/>
                      <w:szCs w:val="20"/>
                    </w:rPr>
                    <w:t xml:space="preserve">小时 </w:t>
                  </w:r>
                  <w:r>
                    <w:rPr>
                      <w:spacing w:val="4"/>
                      <w:sz w:val="20"/>
                      <w:szCs w:val="20"/>
                    </w:rPr>
                    <w:t>均值</w:t>
                  </w:r>
                </w:p>
              </w:tc>
              <w:tc>
                <w:tcPr>
                  <w:tcW w:w="1550" w:type="dxa"/>
                  <w:vAlign w:val="top"/>
                </w:tcPr>
                <w:p w14:paraId="39A37691">
                  <w:pPr>
                    <w:spacing w:before="262" w:line="186" w:lineRule="auto"/>
                    <w:ind w:left="672"/>
                    <w:rPr>
                      <w:rFonts w:ascii="Calibri" w:hAnsi="Calibri" w:eastAsia="Calibri" w:cs="Calibri"/>
                      <w:sz w:val="20"/>
                      <w:szCs w:val="20"/>
                    </w:rPr>
                  </w:pPr>
                  <w:r>
                    <w:rPr>
                      <w:rFonts w:ascii="Calibri" w:hAnsi="Calibri" w:eastAsia="Calibri" w:cs="Calibri"/>
                      <w:sz w:val="20"/>
                      <w:szCs w:val="20"/>
                    </w:rPr>
                    <w:t>98</w:t>
                  </w:r>
                </w:p>
              </w:tc>
              <w:tc>
                <w:tcPr>
                  <w:tcW w:w="3952" w:type="dxa"/>
                  <w:vMerge w:val="restart"/>
                  <w:tcBorders>
                    <w:bottom w:val="nil"/>
                    <w:right w:val="nil"/>
                  </w:tcBorders>
                  <w:vAlign w:val="top"/>
                </w:tcPr>
                <w:p w14:paraId="5458C00B">
                  <w:pPr>
                    <w:spacing w:line="262" w:lineRule="auto"/>
                    <w:rPr>
                      <w:rFonts w:ascii="Arial"/>
                      <w:sz w:val="21"/>
                    </w:rPr>
                  </w:pPr>
                </w:p>
                <w:p w14:paraId="4B7D1D10">
                  <w:pPr>
                    <w:spacing w:line="262" w:lineRule="auto"/>
                    <w:rPr>
                      <w:rFonts w:ascii="Arial"/>
                      <w:sz w:val="21"/>
                    </w:rPr>
                  </w:pPr>
                </w:p>
                <w:p w14:paraId="7EC9DAD0">
                  <w:pPr>
                    <w:spacing w:line="262" w:lineRule="auto"/>
                    <w:rPr>
                      <w:rFonts w:ascii="Arial"/>
                      <w:sz w:val="21"/>
                    </w:rPr>
                  </w:pPr>
                </w:p>
                <w:p w14:paraId="152BA964">
                  <w:pPr>
                    <w:spacing w:line="262" w:lineRule="auto"/>
                    <w:rPr>
                      <w:rFonts w:ascii="Arial"/>
                      <w:sz w:val="21"/>
                    </w:rPr>
                  </w:pPr>
                </w:p>
                <w:p w14:paraId="3456069D">
                  <w:pPr>
                    <w:spacing w:line="263" w:lineRule="auto"/>
                    <w:rPr>
                      <w:rFonts w:ascii="Arial"/>
                      <w:sz w:val="21"/>
                    </w:rPr>
                  </w:pPr>
                </w:p>
                <w:p w14:paraId="1DCB130F">
                  <w:pPr>
                    <w:spacing w:line="263" w:lineRule="auto"/>
                    <w:rPr>
                      <w:rFonts w:ascii="Arial"/>
                      <w:sz w:val="21"/>
                    </w:rPr>
                  </w:pPr>
                </w:p>
                <w:p w14:paraId="4D8450E2">
                  <w:pPr>
                    <w:pStyle w:val="6"/>
                    <w:spacing w:before="65" w:line="273" w:lineRule="auto"/>
                    <w:ind w:left="930" w:right="154" w:hanging="785"/>
                    <w:rPr>
                      <w:sz w:val="20"/>
                      <w:szCs w:val="20"/>
                    </w:rPr>
                  </w:pPr>
                  <w:r>
                    <w:rPr>
                      <w:spacing w:val="6"/>
                      <w:sz w:val="20"/>
                      <w:szCs w:val="20"/>
                    </w:rPr>
                    <w:t>《环境空气质量标准》（</w:t>
                  </w:r>
                  <w:r>
                    <w:rPr>
                      <w:rFonts w:ascii="Calibri" w:hAnsi="Calibri" w:eastAsia="Calibri" w:cs="Calibri"/>
                      <w:sz w:val="20"/>
                      <w:szCs w:val="20"/>
                    </w:rPr>
                    <w:t>GB</w:t>
                  </w:r>
                  <w:r>
                    <w:rPr>
                      <w:rFonts w:ascii="Calibri" w:hAnsi="Calibri" w:eastAsia="Calibri" w:cs="Calibri"/>
                      <w:spacing w:val="6"/>
                      <w:sz w:val="20"/>
                      <w:szCs w:val="20"/>
                    </w:rPr>
                    <w:t>3095-1996</w:t>
                  </w:r>
                  <w:r>
                    <w:rPr>
                      <w:spacing w:val="6"/>
                      <w:sz w:val="20"/>
                      <w:szCs w:val="20"/>
                    </w:rPr>
                    <w:t>）</w:t>
                  </w:r>
                  <w:r>
                    <w:rPr>
                      <w:spacing w:val="15"/>
                      <w:sz w:val="20"/>
                      <w:szCs w:val="20"/>
                    </w:rPr>
                    <w:t xml:space="preserve"> </w:t>
                  </w:r>
                  <w:r>
                    <w:rPr>
                      <w:spacing w:val="9"/>
                      <w:sz w:val="20"/>
                      <w:szCs w:val="20"/>
                    </w:rPr>
                    <w:t>及其修改单中二级标准</w:t>
                  </w:r>
                </w:p>
              </w:tc>
            </w:tr>
            <w:tr w14:paraId="691E981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894" w:type="dxa"/>
                  <w:vMerge w:val="continue"/>
                  <w:tcBorders>
                    <w:top w:val="nil"/>
                    <w:left w:val="nil"/>
                    <w:bottom w:val="nil"/>
                  </w:tcBorders>
                  <w:vAlign w:val="top"/>
                </w:tcPr>
                <w:p w14:paraId="7F9CACDD">
                  <w:pPr>
                    <w:rPr>
                      <w:rFonts w:ascii="Arial"/>
                      <w:sz w:val="21"/>
                    </w:rPr>
                  </w:pPr>
                </w:p>
              </w:tc>
              <w:tc>
                <w:tcPr>
                  <w:tcW w:w="1343" w:type="dxa"/>
                  <w:vAlign w:val="top"/>
                </w:tcPr>
                <w:p w14:paraId="461A4884">
                  <w:pPr>
                    <w:pStyle w:val="6"/>
                    <w:spacing w:before="67" w:line="253" w:lineRule="auto"/>
                    <w:ind w:left="311" w:right="194" w:hanging="109"/>
                    <w:rPr>
                      <w:sz w:val="20"/>
                      <w:szCs w:val="20"/>
                    </w:rPr>
                  </w:pPr>
                  <w:r>
                    <w:rPr>
                      <w:rFonts w:hint="eastAsia" w:ascii="Calibri" w:hAnsi="Calibri" w:cs="Calibri"/>
                      <w:spacing w:val="-1"/>
                      <w:sz w:val="20"/>
                      <w:szCs w:val="20"/>
                      <w:lang w:eastAsia="zh-CN"/>
                    </w:rPr>
                    <w:t>2025年1月</w:t>
                  </w:r>
                  <w:r>
                    <w:rPr>
                      <w:spacing w:val="-26"/>
                      <w:sz w:val="20"/>
                      <w:szCs w:val="20"/>
                    </w:rPr>
                    <w:t xml:space="preserve"> </w:t>
                  </w:r>
                  <w:r>
                    <w:rPr>
                      <w:rFonts w:ascii="Calibri" w:hAnsi="Calibri" w:eastAsia="Calibri" w:cs="Calibri"/>
                      <w:spacing w:val="-4"/>
                      <w:sz w:val="20"/>
                      <w:szCs w:val="20"/>
                    </w:rPr>
                    <w:t>16</w:t>
                  </w:r>
                  <w:r>
                    <w:rPr>
                      <w:rFonts w:ascii="Calibri" w:hAnsi="Calibri" w:eastAsia="Calibri" w:cs="Calibri"/>
                      <w:spacing w:val="3"/>
                      <w:sz w:val="20"/>
                      <w:szCs w:val="20"/>
                    </w:rPr>
                    <w:t xml:space="preserve">  </w:t>
                  </w:r>
                  <w:r>
                    <w:rPr>
                      <w:spacing w:val="-4"/>
                      <w:sz w:val="20"/>
                      <w:szCs w:val="20"/>
                    </w:rPr>
                    <w:t>日</w:t>
                  </w:r>
                </w:p>
              </w:tc>
              <w:tc>
                <w:tcPr>
                  <w:tcW w:w="931" w:type="dxa"/>
                  <w:vAlign w:val="top"/>
                </w:tcPr>
                <w:p w14:paraId="44FA5CD7">
                  <w:pPr>
                    <w:pStyle w:val="6"/>
                    <w:spacing w:before="67" w:line="253" w:lineRule="auto"/>
                    <w:ind w:left="260" w:right="122" w:hanging="129"/>
                    <w:rPr>
                      <w:sz w:val="20"/>
                      <w:szCs w:val="20"/>
                    </w:rPr>
                  </w:pPr>
                  <w:r>
                    <w:rPr>
                      <w:rFonts w:ascii="Calibri" w:hAnsi="Calibri" w:eastAsia="Calibri" w:cs="Calibri"/>
                      <w:sz w:val="20"/>
                      <w:szCs w:val="20"/>
                    </w:rPr>
                    <w:t>24</w:t>
                  </w:r>
                  <w:r>
                    <w:rPr>
                      <w:rFonts w:ascii="Calibri" w:hAnsi="Calibri" w:eastAsia="Calibri" w:cs="Calibri"/>
                      <w:spacing w:val="23"/>
                      <w:w w:val="101"/>
                      <w:sz w:val="20"/>
                      <w:szCs w:val="20"/>
                    </w:rPr>
                    <w:t xml:space="preserve"> </w:t>
                  </w:r>
                  <w:r>
                    <w:rPr>
                      <w:sz w:val="20"/>
                      <w:szCs w:val="20"/>
                    </w:rPr>
                    <w:t xml:space="preserve">小时 </w:t>
                  </w:r>
                  <w:r>
                    <w:rPr>
                      <w:spacing w:val="4"/>
                      <w:sz w:val="20"/>
                      <w:szCs w:val="20"/>
                    </w:rPr>
                    <w:t>均值</w:t>
                  </w:r>
                </w:p>
              </w:tc>
              <w:tc>
                <w:tcPr>
                  <w:tcW w:w="1550" w:type="dxa"/>
                  <w:vAlign w:val="top"/>
                </w:tcPr>
                <w:p w14:paraId="5A909972">
                  <w:pPr>
                    <w:spacing w:before="264" w:line="186" w:lineRule="auto"/>
                    <w:ind w:left="629"/>
                    <w:rPr>
                      <w:rFonts w:ascii="Calibri" w:hAnsi="Calibri" w:eastAsia="Calibri" w:cs="Calibri"/>
                      <w:sz w:val="20"/>
                      <w:szCs w:val="20"/>
                    </w:rPr>
                  </w:pPr>
                  <w:r>
                    <w:rPr>
                      <w:rFonts w:ascii="Calibri" w:hAnsi="Calibri" w:eastAsia="Calibri" w:cs="Calibri"/>
                      <w:spacing w:val="-2"/>
                      <w:sz w:val="20"/>
                      <w:szCs w:val="20"/>
                    </w:rPr>
                    <w:t>101</w:t>
                  </w:r>
                </w:p>
              </w:tc>
              <w:tc>
                <w:tcPr>
                  <w:tcW w:w="3952" w:type="dxa"/>
                  <w:vMerge w:val="continue"/>
                  <w:tcBorders>
                    <w:top w:val="nil"/>
                    <w:bottom w:val="nil"/>
                    <w:right w:val="nil"/>
                  </w:tcBorders>
                  <w:vAlign w:val="top"/>
                </w:tcPr>
                <w:p w14:paraId="791F8601">
                  <w:pPr>
                    <w:rPr>
                      <w:rFonts w:ascii="Arial"/>
                      <w:sz w:val="21"/>
                    </w:rPr>
                  </w:pPr>
                </w:p>
              </w:tc>
            </w:tr>
            <w:tr w14:paraId="4F0D4D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894" w:type="dxa"/>
                  <w:vMerge w:val="continue"/>
                  <w:tcBorders>
                    <w:top w:val="nil"/>
                    <w:left w:val="nil"/>
                  </w:tcBorders>
                  <w:vAlign w:val="top"/>
                </w:tcPr>
                <w:p w14:paraId="62E16862">
                  <w:pPr>
                    <w:rPr>
                      <w:rFonts w:ascii="Arial"/>
                      <w:sz w:val="21"/>
                    </w:rPr>
                  </w:pPr>
                </w:p>
              </w:tc>
              <w:tc>
                <w:tcPr>
                  <w:tcW w:w="1343" w:type="dxa"/>
                  <w:vAlign w:val="top"/>
                </w:tcPr>
                <w:p w14:paraId="6CB3A8DD">
                  <w:pPr>
                    <w:pStyle w:val="6"/>
                    <w:spacing w:before="71" w:line="252" w:lineRule="auto"/>
                    <w:ind w:left="311" w:right="194" w:hanging="109"/>
                    <w:rPr>
                      <w:sz w:val="20"/>
                      <w:szCs w:val="20"/>
                    </w:rPr>
                  </w:pPr>
                  <w:r>
                    <w:rPr>
                      <w:rFonts w:hint="eastAsia" w:ascii="Calibri" w:hAnsi="Calibri" w:cs="Calibri"/>
                      <w:spacing w:val="-1"/>
                      <w:sz w:val="20"/>
                      <w:szCs w:val="20"/>
                      <w:lang w:eastAsia="zh-CN"/>
                    </w:rPr>
                    <w:t>2025年1月</w:t>
                  </w:r>
                  <w:r>
                    <w:rPr>
                      <w:spacing w:val="-26"/>
                      <w:sz w:val="20"/>
                      <w:szCs w:val="20"/>
                    </w:rPr>
                    <w:t xml:space="preserve"> </w:t>
                  </w:r>
                  <w:r>
                    <w:rPr>
                      <w:rFonts w:ascii="Calibri" w:hAnsi="Calibri" w:eastAsia="Calibri" w:cs="Calibri"/>
                      <w:spacing w:val="-4"/>
                      <w:sz w:val="20"/>
                      <w:szCs w:val="20"/>
                    </w:rPr>
                    <w:t>17</w:t>
                  </w:r>
                  <w:r>
                    <w:rPr>
                      <w:rFonts w:ascii="Calibri" w:hAnsi="Calibri" w:eastAsia="Calibri" w:cs="Calibri"/>
                      <w:spacing w:val="3"/>
                      <w:sz w:val="20"/>
                      <w:szCs w:val="20"/>
                    </w:rPr>
                    <w:t xml:space="preserve">  </w:t>
                  </w:r>
                  <w:r>
                    <w:rPr>
                      <w:spacing w:val="-4"/>
                      <w:sz w:val="20"/>
                      <w:szCs w:val="20"/>
                    </w:rPr>
                    <w:t>日</w:t>
                  </w:r>
                </w:p>
              </w:tc>
              <w:tc>
                <w:tcPr>
                  <w:tcW w:w="931" w:type="dxa"/>
                  <w:vAlign w:val="top"/>
                </w:tcPr>
                <w:p w14:paraId="4C5CB0D9">
                  <w:pPr>
                    <w:pStyle w:val="6"/>
                    <w:spacing w:before="71" w:line="252" w:lineRule="auto"/>
                    <w:ind w:left="260" w:right="122" w:hanging="129"/>
                    <w:rPr>
                      <w:sz w:val="20"/>
                      <w:szCs w:val="20"/>
                    </w:rPr>
                  </w:pPr>
                  <w:r>
                    <w:rPr>
                      <w:rFonts w:ascii="Calibri" w:hAnsi="Calibri" w:eastAsia="Calibri" w:cs="Calibri"/>
                      <w:sz w:val="20"/>
                      <w:szCs w:val="20"/>
                    </w:rPr>
                    <w:t>24</w:t>
                  </w:r>
                  <w:r>
                    <w:rPr>
                      <w:rFonts w:ascii="Calibri" w:hAnsi="Calibri" w:eastAsia="Calibri" w:cs="Calibri"/>
                      <w:spacing w:val="23"/>
                      <w:w w:val="101"/>
                      <w:sz w:val="20"/>
                      <w:szCs w:val="20"/>
                    </w:rPr>
                    <w:t xml:space="preserve"> </w:t>
                  </w:r>
                  <w:r>
                    <w:rPr>
                      <w:sz w:val="20"/>
                      <w:szCs w:val="20"/>
                    </w:rPr>
                    <w:t xml:space="preserve">小时 </w:t>
                  </w:r>
                  <w:r>
                    <w:rPr>
                      <w:spacing w:val="4"/>
                      <w:sz w:val="20"/>
                      <w:szCs w:val="20"/>
                    </w:rPr>
                    <w:t>均值</w:t>
                  </w:r>
                </w:p>
              </w:tc>
              <w:tc>
                <w:tcPr>
                  <w:tcW w:w="1550" w:type="dxa"/>
                  <w:vAlign w:val="top"/>
                </w:tcPr>
                <w:p w14:paraId="24804C05">
                  <w:pPr>
                    <w:spacing w:before="267" w:line="186" w:lineRule="auto"/>
                    <w:ind w:left="672"/>
                    <w:rPr>
                      <w:rFonts w:ascii="Calibri" w:hAnsi="Calibri" w:eastAsia="Calibri" w:cs="Calibri"/>
                      <w:sz w:val="20"/>
                      <w:szCs w:val="20"/>
                    </w:rPr>
                  </w:pPr>
                  <w:r>
                    <w:rPr>
                      <w:rFonts w:ascii="Calibri" w:hAnsi="Calibri" w:eastAsia="Calibri" w:cs="Calibri"/>
                      <w:sz w:val="20"/>
                      <w:szCs w:val="20"/>
                    </w:rPr>
                    <w:t>86</w:t>
                  </w:r>
                </w:p>
              </w:tc>
              <w:tc>
                <w:tcPr>
                  <w:tcW w:w="3952" w:type="dxa"/>
                  <w:vMerge w:val="continue"/>
                  <w:tcBorders>
                    <w:top w:val="nil"/>
                    <w:bottom w:val="nil"/>
                    <w:right w:val="nil"/>
                  </w:tcBorders>
                  <w:vAlign w:val="top"/>
                </w:tcPr>
                <w:p w14:paraId="35544D55">
                  <w:pPr>
                    <w:rPr>
                      <w:rFonts w:ascii="Arial"/>
                      <w:sz w:val="21"/>
                    </w:rPr>
                  </w:pPr>
                </w:p>
              </w:tc>
            </w:tr>
            <w:tr w14:paraId="777AF3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894" w:type="dxa"/>
                  <w:vMerge w:val="restart"/>
                  <w:tcBorders>
                    <w:left w:val="nil"/>
                    <w:bottom w:val="nil"/>
                  </w:tcBorders>
                  <w:vAlign w:val="top"/>
                </w:tcPr>
                <w:p w14:paraId="084A6A62">
                  <w:pPr>
                    <w:spacing w:line="317" w:lineRule="auto"/>
                    <w:rPr>
                      <w:rFonts w:ascii="Arial"/>
                      <w:sz w:val="21"/>
                    </w:rPr>
                  </w:pPr>
                </w:p>
                <w:p w14:paraId="7F1F57DA">
                  <w:pPr>
                    <w:spacing w:line="318" w:lineRule="auto"/>
                    <w:rPr>
                      <w:rFonts w:ascii="Arial"/>
                      <w:sz w:val="21"/>
                    </w:rPr>
                  </w:pPr>
                </w:p>
                <w:p w14:paraId="02A9884C">
                  <w:pPr>
                    <w:pStyle w:val="6"/>
                    <w:spacing w:before="65" w:line="274" w:lineRule="auto"/>
                    <w:ind w:left="245" w:right="130" w:hanging="103"/>
                    <w:rPr>
                      <w:sz w:val="20"/>
                      <w:szCs w:val="20"/>
                    </w:rPr>
                  </w:pPr>
                  <w:r>
                    <w:rPr>
                      <w:spacing w:val="6"/>
                      <w:sz w:val="20"/>
                      <w:szCs w:val="20"/>
                    </w:rPr>
                    <w:t>厂址下</w:t>
                  </w:r>
                  <w:r>
                    <w:rPr>
                      <w:sz w:val="20"/>
                      <w:szCs w:val="20"/>
                    </w:rPr>
                    <w:t xml:space="preserve"> </w:t>
                  </w:r>
                  <w:r>
                    <w:rPr>
                      <w:spacing w:val="4"/>
                      <w:sz w:val="20"/>
                      <w:szCs w:val="20"/>
                    </w:rPr>
                    <w:t>风向</w:t>
                  </w:r>
                </w:p>
              </w:tc>
              <w:tc>
                <w:tcPr>
                  <w:tcW w:w="1343" w:type="dxa"/>
                  <w:vAlign w:val="top"/>
                </w:tcPr>
                <w:p w14:paraId="5F48D008">
                  <w:pPr>
                    <w:pStyle w:val="6"/>
                    <w:spacing w:before="72" w:line="251" w:lineRule="auto"/>
                    <w:ind w:left="311" w:right="194" w:hanging="109"/>
                    <w:rPr>
                      <w:sz w:val="20"/>
                      <w:szCs w:val="20"/>
                    </w:rPr>
                  </w:pPr>
                  <w:r>
                    <w:rPr>
                      <w:rFonts w:hint="eastAsia" w:ascii="Calibri" w:hAnsi="Calibri" w:cs="Calibri"/>
                      <w:spacing w:val="-1"/>
                      <w:sz w:val="20"/>
                      <w:szCs w:val="20"/>
                      <w:lang w:eastAsia="zh-CN"/>
                    </w:rPr>
                    <w:t>2025年1月</w:t>
                  </w:r>
                  <w:r>
                    <w:rPr>
                      <w:spacing w:val="-26"/>
                      <w:sz w:val="20"/>
                      <w:szCs w:val="20"/>
                    </w:rPr>
                    <w:t xml:space="preserve"> </w:t>
                  </w:r>
                  <w:r>
                    <w:rPr>
                      <w:rFonts w:ascii="Calibri" w:hAnsi="Calibri" w:eastAsia="Calibri" w:cs="Calibri"/>
                      <w:spacing w:val="-4"/>
                      <w:sz w:val="20"/>
                      <w:szCs w:val="20"/>
                    </w:rPr>
                    <w:t>15</w:t>
                  </w:r>
                  <w:r>
                    <w:rPr>
                      <w:rFonts w:ascii="Calibri" w:hAnsi="Calibri" w:eastAsia="Calibri" w:cs="Calibri"/>
                      <w:spacing w:val="3"/>
                      <w:sz w:val="20"/>
                      <w:szCs w:val="20"/>
                    </w:rPr>
                    <w:t xml:space="preserve">  </w:t>
                  </w:r>
                  <w:r>
                    <w:rPr>
                      <w:spacing w:val="-4"/>
                      <w:sz w:val="20"/>
                      <w:szCs w:val="20"/>
                    </w:rPr>
                    <w:t>日</w:t>
                  </w:r>
                </w:p>
              </w:tc>
              <w:tc>
                <w:tcPr>
                  <w:tcW w:w="931" w:type="dxa"/>
                  <w:vAlign w:val="top"/>
                </w:tcPr>
                <w:p w14:paraId="64C05E48">
                  <w:pPr>
                    <w:pStyle w:val="6"/>
                    <w:spacing w:before="72" w:line="251" w:lineRule="auto"/>
                    <w:ind w:left="260" w:right="122" w:hanging="129"/>
                    <w:rPr>
                      <w:sz w:val="20"/>
                      <w:szCs w:val="20"/>
                    </w:rPr>
                  </w:pPr>
                  <w:r>
                    <w:rPr>
                      <w:rFonts w:ascii="Calibri" w:hAnsi="Calibri" w:eastAsia="Calibri" w:cs="Calibri"/>
                      <w:sz w:val="20"/>
                      <w:szCs w:val="20"/>
                    </w:rPr>
                    <w:t>24</w:t>
                  </w:r>
                  <w:r>
                    <w:rPr>
                      <w:rFonts w:ascii="Calibri" w:hAnsi="Calibri" w:eastAsia="Calibri" w:cs="Calibri"/>
                      <w:spacing w:val="23"/>
                      <w:w w:val="101"/>
                      <w:sz w:val="20"/>
                      <w:szCs w:val="20"/>
                    </w:rPr>
                    <w:t xml:space="preserve"> </w:t>
                  </w:r>
                  <w:r>
                    <w:rPr>
                      <w:sz w:val="20"/>
                      <w:szCs w:val="20"/>
                    </w:rPr>
                    <w:t xml:space="preserve">小时 </w:t>
                  </w:r>
                  <w:r>
                    <w:rPr>
                      <w:spacing w:val="4"/>
                      <w:sz w:val="20"/>
                      <w:szCs w:val="20"/>
                    </w:rPr>
                    <w:t>均值</w:t>
                  </w:r>
                </w:p>
              </w:tc>
              <w:tc>
                <w:tcPr>
                  <w:tcW w:w="1550" w:type="dxa"/>
                  <w:vAlign w:val="top"/>
                </w:tcPr>
                <w:p w14:paraId="0CF8D40E">
                  <w:pPr>
                    <w:spacing w:before="269" w:line="186" w:lineRule="auto"/>
                    <w:ind w:left="629"/>
                    <w:rPr>
                      <w:rFonts w:ascii="Calibri" w:hAnsi="Calibri" w:eastAsia="Calibri" w:cs="Calibri"/>
                      <w:sz w:val="20"/>
                      <w:szCs w:val="20"/>
                    </w:rPr>
                  </w:pPr>
                  <w:r>
                    <w:rPr>
                      <w:rFonts w:ascii="Calibri" w:hAnsi="Calibri" w:eastAsia="Calibri" w:cs="Calibri"/>
                      <w:spacing w:val="-2"/>
                      <w:sz w:val="20"/>
                      <w:szCs w:val="20"/>
                    </w:rPr>
                    <w:t>100</w:t>
                  </w:r>
                </w:p>
              </w:tc>
              <w:tc>
                <w:tcPr>
                  <w:tcW w:w="3952" w:type="dxa"/>
                  <w:vMerge w:val="continue"/>
                  <w:tcBorders>
                    <w:top w:val="nil"/>
                    <w:bottom w:val="nil"/>
                    <w:right w:val="nil"/>
                  </w:tcBorders>
                  <w:vAlign w:val="top"/>
                </w:tcPr>
                <w:p w14:paraId="2BA6908E">
                  <w:pPr>
                    <w:rPr>
                      <w:rFonts w:ascii="Arial"/>
                      <w:sz w:val="21"/>
                    </w:rPr>
                  </w:pPr>
                </w:p>
              </w:tc>
            </w:tr>
            <w:tr w14:paraId="71252B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894" w:type="dxa"/>
                  <w:vMerge w:val="continue"/>
                  <w:tcBorders>
                    <w:top w:val="nil"/>
                    <w:left w:val="nil"/>
                    <w:bottom w:val="nil"/>
                  </w:tcBorders>
                  <w:vAlign w:val="top"/>
                </w:tcPr>
                <w:p w14:paraId="527FE2B7">
                  <w:pPr>
                    <w:rPr>
                      <w:rFonts w:ascii="Arial"/>
                      <w:sz w:val="21"/>
                    </w:rPr>
                  </w:pPr>
                </w:p>
              </w:tc>
              <w:tc>
                <w:tcPr>
                  <w:tcW w:w="1343" w:type="dxa"/>
                  <w:vAlign w:val="top"/>
                </w:tcPr>
                <w:p w14:paraId="5EBADDF8">
                  <w:pPr>
                    <w:pStyle w:val="6"/>
                    <w:spacing w:before="74" w:line="250" w:lineRule="auto"/>
                    <w:ind w:left="311" w:right="194" w:hanging="109"/>
                    <w:rPr>
                      <w:sz w:val="20"/>
                      <w:szCs w:val="20"/>
                    </w:rPr>
                  </w:pPr>
                  <w:r>
                    <w:rPr>
                      <w:rFonts w:hint="eastAsia" w:ascii="Calibri" w:hAnsi="Calibri" w:cs="Calibri"/>
                      <w:spacing w:val="-1"/>
                      <w:sz w:val="20"/>
                      <w:szCs w:val="20"/>
                      <w:lang w:eastAsia="zh-CN"/>
                    </w:rPr>
                    <w:t>2025年1月</w:t>
                  </w:r>
                  <w:r>
                    <w:rPr>
                      <w:spacing w:val="-26"/>
                      <w:sz w:val="20"/>
                      <w:szCs w:val="20"/>
                    </w:rPr>
                    <w:t xml:space="preserve"> </w:t>
                  </w:r>
                  <w:r>
                    <w:rPr>
                      <w:rFonts w:ascii="Calibri" w:hAnsi="Calibri" w:eastAsia="Calibri" w:cs="Calibri"/>
                      <w:spacing w:val="-4"/>
                      <w:sz w:val="20"/>
                      <w:szCs w:val="20"/>
                    </w:rPr>
                    <w:t>16</w:t>
                  </w:r>
                  <w:r>
                    <w:rPr>
                      <w:rFonts w:ascii="Calibri" w:hAnsi="Calibri" w:eastAsia="Calibri" w:cs="Calibri"/>
                      <w:spacing w:val="3"/>
                      <w:sz w:val="20"/>
                      <w:szCs w:val="20"/>
                    </w:rPr>
                    <w:t xml:space="preserve">  </w:t>
                  </w:r>
                  <w:r>
                    <w:rPr>
                      <w:spacing w:val="-4"/>
                      <w:sz w:val="20"/>
                      <w:szCs w:val="20"/>
                    </w:rPr>
                    <w:t>日</w:t>
                  </w:r>
                </w:p>
              </w:tc>
              <w:tc>
                <w:tcPr>
                  <w:tcW w:w="931" w:type="dxa"/>
                  <w:vAlign w:val="top"/>
                </w:tcPr>
                <w:p w14:paraId="0EBD2A98">
                  <w:pPr>
                    <w:pStyle w:val="6"/>
                    <w:spacing w:before="74" w:line="250" w:lineRule="auto"/>
                    <w:ind w:left="260" w:right="122" w:hanging="129"/>
                    <w:rPr>
                      <w:sz w:val="20"/>
                      <w:szCs w:val="20"/>
                    </w:rPr>
                  </w:pPr>
                  <w:r>
                    <w:rPr>
                      <w:rFonts w:ascii="Calibri" w:hAnsi="Calibri" w:eastAsia="Calibri" w:cs="Calibri"/>
                      <w:sz w:val="20"/>
                      <w:szCs w:val="20"/>
                    </w:rPr>
                    <w:t>24</w:t>
                  </w:r>
                  <w:r>
                    <w:rPr>
                      <w:rFonts w:ascii="Calibri" w:hAnsi="Calibri" w:eastAsia="Calibri" w:cs="Calibri"/>
                      <w:spacing w:val="23"/>
                      <w:w w:val="101"/>
                      <w:sz w:val="20"/>
                      <w:szCs w:val="20"/>
                    </w:rPr>
                    <w:t xml:space="preserve"> </w:t>
                  </w:r>
                  <w:r>
                    <w:rPr>
                      <w:sz w:val="20"/>
                      <w:szCs w:val="20"/>
                    </w:rPr>
                    <w:t xml:space="preserve">小时 </w:t>
                  </w:r>
                  <w:r>
                    <w:rPr>
                      <w:spacing w:val="4"/>
                      <w:sz w:val="20"/>
                      <w:szCs w:val="20"/>
                    </w:rPr>
                    <w:t>均值</w:t>
                  </w:r>
                </w:p>
              </w:tc>
              <w:tc>
                <w:tcPr>
                  <w:tcW w:w="1550" w:type="dxa"/>
                  <w:vAlign w:val="top"/>
                </w:tcPr>
                <w:p w14:paraId="73ED25F0">
                  <w:pPr>
                    <w:spacing w:before="271" w:line="186" w:lineRule="auto"/>
                    <w:ind w:left="629"/>
                    <w:rPr>
                      <w:rFonts w:ascii="Calibri" w:hAnsi="Calibri" w:eastAsia="Calibri" w:cs="Calibri"/>
                      <w:sz w:val="20"/>
                      <w:szCs w:val="20"/>
                    </w:rPr>
                  </w:pPr>
                  <w:r>
                    <w:rPr>
                      <w:rFonts w:ascii="Calibri" w:hAnsi="Calibri" w:eastAsia="Calibri" w:cs="Calibri"/>
                      <w:spacing w:val="-2"/>
                      <w:sz w:val="20"/>
                      <w:szCs w:val="20"/>
                    </w:rPr>
                    <w:t>102</w:t>
                  </w:r>
                </w:p>
              </w:tc>
              <w:tc>
                <w:tcPr>
                  <w:tcW w:w="3952" w:type="dxa"/>
                  <w:vMerge w:val="continue"/>
                  <w:tcBorders>
                    <w:top w:val="nil"/>
                    <w:bottom w:val="nil"/>
                    <w:right w:val="nil"/>
                  </w:tcBorders>
                  <w:vAlign w:val="top"/>
                </w:tcPr>
                <w:p w14:paraId="71CC4D01">
                  <w:pPr>
                    <w:rPr>
                      <w:rFonts w:ascii="Arial"/>
                      <w:sz w:val="21"/>
                    </w:rPr>
                  </w:pPr>
                </w:p>
              </w:tc>
            </w:tr>
            <w:tr w14:paraId="027D9A4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 w:hRule="atLeast"/>
              </w:trPr>
              <w:tc>
                <w:tcPr>
                  <w:tcW w:w="894" w:type="dxa"/>
                  <w:vMerge w:val="continue"/>
                  <w:tcBorders>
                    <w:top w:val="nil"/>
                    <w:left w:val="nil"/>
                    <w:bottom w:val="single" w:color="000000" w:sz="10" w:space="0"/>
                  </w:tcBorders>
                  <w:vAlign w:val="top"/>
                </w:tcPr>
                <w:p w14:paraId="2482C919">
                  <w:pPr>
                    <w:rPr>
                      <w:rFonts w:ascii="Arial"/>
                      <w:sz w:val="21"/>
                    </w:rPr>
                  </w:pPr>
                </w:p>
              </w:tc>
              <w:tc>
                <w:tcPr>
                  <w:tcW w:w="1343" w:type="dxa"/>
                  <w:tcBorders>
                    <w:bottom w:val="single" w:color="000000" w:sz="10" w:space="0"/>
                  </w:tcBorders>
                  <w:vAlign w:val="top"/>
                </w:tcPr>
                <w:p w14:paraId="5FBDD5D3">
                  <w:pPr>
                    <w:pStyle w:val="6"/>
                    <w:spacing w:before="78" w:line="261" w:lineRule="auto"/>
                    <w:ind w:left="311" w:right="194" w:hanging="109"/>
                    <w:rPr>
                      <w:sz w:val="20"/>
                      <w:szCs w:val="20"/>
                    </w:rPr>
                  </w:pPr>
                  <w:r>
                    <w:rPr>
                      <w:rFonts w:hint="eastAsia" w:ascii="Calibri" w:hAnsi="Calibri" w:cs="Calibri"/>
                      <w:spacing w:val="-1"/>
                      <w:sz w:val="20"/>
                      <w:szCs w:val="20"/>
                      <w:lang w:eastAsia="zh-CN"/>
                    </w:rPr>
                    <w:t>2025年1月</w:t>
                  </w:r>
                  <w:r>
                    <w:rPr>
                      <w:spacing w:val="-26"/>
                      <w:sz w:val="20"/>
                      <w:szCs w:val="20"/>
                    </w:rPr>
                    <w:t xml:space="preserve"> </w:t>
                  </w:r>
                  <w:r>
                    <w:rPr>
                      <w:rFonts w:ascii="Calibri" w:hAnsi="Calibri" w:eastAsia="Calibri" w:cs="Calibri"/>
                      <w:spacing w:val="-4"/>
                      <w:sz w:val="20"/>
                      <w:szCs w:val="20"/>
                    </w:rPr>
                    <w:t>17</w:t>
                  </w:r>
                  <w:r>
                    <w:rPr>
                      <w:rFonts w:ascii="Calibri" w:hAnsi="Calibri" w:eastAsia="Calibri" w:cs="Calibri"/>
                      <w:spacing w:val="3"/>
                      <w:sz w:val="20"/>
                      <w:szCs w:val="20"/>
                    </w:rPr>
                    <w:t xml:space="preserve">  </w:t>
                  </w:r>
                  <w:r>
                    <w:rPr>
                      <w:spacing w:val="-4"/>
                      <w:sz w:val="20"/>
                      <w:szCs w:val="20"/>
                    </w:rPr>
                    <w:t>日</w:t>
                  </w:r>
                </w:p>
              </w:tc>
              <w:tc>
                <w:tcPr>
                  <w:tcW w:w="931" w:type="dxa"/>
                  <w:vAlign w:val="top"/>
                </w:tcPr>
                <w:p w14:paraId="50B2B223">
                  <w:pPr>
                    <w:pStyle w:val="6"/>
                    <w:spacing w:before="78" w:line="261" w:lineRule="auto"/>
                    <w:ind w:left="260" w:right="122" w:hanging="129"/>
                    <w:rPr>
                      <w:sz w:val="20"/>
                      <w:szCs w:val="20"/>
                    </w:rPr>
                  </w:pPr>
                  <w:r>
                    <w:rPr>
                      <w:rFonts w:ascii="Calibri" w:hAnsi="Calibri" w:eastAsia="Calibri" w:cs="Calibri"/>
                      <w:sz w:val="20"/>
                      <w:szCs w:val="20"/>
                    </w:rPr>
                    <w:t>24</w:t>
                  </w:r>
                  <w:r>
                    <w:rPr>
                      <w:rFonts w:ascii="Calibri" w:hAnsi="Calibri" w:eastAsia="Calibri" w:cs="Calibri"/>
                      <w:spacing w:val="23"/>
                      <w:w w:val="101"/>
                      <w:sz w:val="20"/>
                      <w:szCs w:val="20"/>
                    </w:rPr>
                    <w:t xml:space="preserve"> </w:t>
                  </w:r>
                  <w:r>
                    <w:rPr>
                      <w:sz w:val="20"/>
                      <w:szCs w:val="20"/>
                    </w:rPr>
                    <w:t xml:space="preserve">小时 </w:t>
                  </w:r>
                  <w:r>
                    <w:rPr>
                      <w:spacing w:val="4"/>
                      <w:sz w:val="20"/>
                      <w:szCs w:val="20"/>
                    </w:rPr>
                    <w:t>均值</w:t>
                  </w:r>
                </w:p>
              </w:tc>
              <w:tc>
                <w:tcPr>
                  <w:tcW w:w="1550" w:type="dxa"/>
                  <w:vAlign w:val="top"/>
                </w:tcPr>
                <w:p w14:paraId="28C11A8F">
                  <w:pPr>
                    <w:spacing w:before="274" w:line="186" w:lineRule="auto"/>
                    <w:ind w:left="672"/>
                    <w:rPr>
                      <w:rFonts w:ascii="Calibri" w:hAnsi="Calibri" w:eastAsia="Calibri" w:cs="Calibri"/>
                      <w:sz w:val="20"/>
                      <w:szCs w:val="20"/>
                    </w:rPr>
                  </w:pPr>
                  <w:r>
                    <w:rPr>
                      <w:rFonts w:ascii="Calibri" w:hAnsi="Calibri" w:eastAsia="Calibri" w:cs="Calibri"/>
                      <w:sz w:val="20"/>
                      <w:szCs w:val="20"/>
                    </w:rPr>
                    <w:t>88</w:t>
                  </w:r>
                </w:p>
              </w:tc>
              <w:tc>
                <w:tcPr>
                  <w:tcW w:w="3952" w:type="dxa"/>
                  <w:vMerge w:val="continue"/>
                  <w:tcBorders>
                    <w:top w:val="nil"/>
                    <w:bottom w:val="single" w:color="000000" w:sz="10" w:space="0"/>
                    <w:right w:val="nil"/>
                  </w:tcBorders>
                  <w:vAlign w:val="top"/>
                </w:tcPr>
                <w:p w14:paraId="31C72B36">
                  <w:pPr>
                    <w:rPr>
                      <w:rFonts w:ascii="Arial"/>
                      <w:sz w:val="21"/>
                    </w:rPr>
                  </w:pPr>
                </w:p>
              </w:tc>
            </w:tr>
          </w:tbl>
          <w:p w14:paraId="073007C4">
            <w:pPr>
              <w:pStyle w:val="6"/>
              <w:spacing w:before="39" w:line="338" w:lineRule="auto"/>
              <w:ind w:left="125" w:firstLine="460"/>
              <w:jc w:val="both"/>
            </w:pPr>
            <w:r>
              <w:rPr>
                <w:spacing w:val="-4"/>
              </w:rPr>
              <w:t>项目区域环境空气中的非甲烷总烃小时浓度均满足《大气污染物综合排放详解》</w:t>
            </w:r>
            <w:r>
              <w:rPr>
                <w:spacing w:val="14"/>
              </w:rPr>
              <w:t xml:space="preserve"> </w:t>
            </w:r>
            <w:r>
              <w:rPr>
                <w:spacing w:val="1"/>
              </w:rPr>
              <w:t>中</w:t>
            </w:r>
            <w:r>
              <w:rPr>
                <w:spacing w:val="-45"/>
              </w:rPr>
              <w:t xml:space="preserve"> </w:t>
            </w:r>
            <w:r>
              <w:rPr>
                <w:rFonts w:ascii="Calibri" w:hAnsi="Calibri" w:eastAsia="Calibri" w:cs="Calibri"/>
                <w:spacing w:val="1"/>
              </w:rPr>
              <w:t>2.0</w:t>
            </w:r>
            <w:r>
              <w:rPr>
                <w:rFonts w:ascii="Calibri" w:hAnsi="Calibri" w:eastAsia="Calibri" w:cs="Calibri"/>
              </w:rPr>
              <w:t>mg</w:t>
            </w:r>
            <w:r>
              <w:rPr>
                <w:rFonts w:ascii="Calibri" w:hAnsi="Calibri" w:eastAsia="Calibri" w:cs="Calibri"/>
                <w:spacing w:val="1"/>
              </w:rPr>
              <w:t>/m</w:t>
            </w:r>
            <w:r>
              <w:rPr>
                <w:rFonts w:ascii="Calibri" w:hAnsi="Calibri" w:eastAsia="Calibri" w:cs="Calibri"/>
                <w:spacing w:val="1"/>
                <w:position w:val="8"/>
                <w:sz w:val="15"/>
                <w:szCs w:val="15"/>
              </w:rPr>
              <w:t>3</w:t>
            </w:r>
            <w:r>
              <w:rPr>
                <w:rFonts w:ascii="Calibri" w:hAnsi="Calibri" w:eastAsia="Calibri" w:cs="Calibri"/>
                <w:spacing w:val="20"/>
                <w:w w:val="101"/>
                <w:position w:val="8"/>
                <w:sz w:val="15"/>
                <w:szCs w:val="15"/>
              </w:rPr>
              <w:t xml:space="preserve"> </w:t>
            </w:r>
            <w:r>
              <w:rPr>
                <w:spacing w:val="1"/>
              </w:rPr>
              <w:t>标准值，</w:t>
            </w:r>
            <w:r>
              <w:rPr>
                <w:rFonts w:ascii="Calibri" w:hAnsi="Calibri" w:eastAsia="Calibri" w:cs="Calibri"/>
              </w:rPr>
              <w:t>TSP</w:t>
            </w:r>
            <w:r>
              <w:rPr>
                <w:rFonts w:ascii="Calibri" w:hAnsi="Calibri" w:eastAsia="Calibri" w:cs="Calibri"/>
                <w:spacing w:val="18"/>
                <w:w w:val="101"/>
              </w:rPr>
              <w:t xml:space="preserve"> </w:t>
            </w:r>
            <w:r>
              <w:rPr>
                <w:spacing w:val="1"/>
              </w:rPr>
              <w:t>满足《环境空气质量标</w:t>
            </w:r>
            <w:r>
              <w:t>准》（</w:t>
            </w:r>
            <w:r>
              <w:rPr>
                <w:rFonts w:ascii="Calibri" w:hAnsi="Calibri" w:eastAsia="Calibri" w:cs="Calibri"/>
              </w:rPr>
              <w:t>GB3095-1996</w:t>
            </w:r>
            <w:r>
              <w:t xml:space="preserve">）及其修改单  </w:t>
            </w:r>
            <w:r>
              <w:rPr>
                <w:spacing w:val="-1"/>
              </w:rPr>
              <w:t>中二级标准中</w:t>
            </w:r>
            <w:r>
              <w:rPr>
                <w:spacing w:val="-48"/>
              </w:rPr>
              <w:t xml:space="preserve"> </w:t>
            </w:r>
            <w:r>
              <w:rPr>
                <w:rFonts w:ascii="Calibri" w:hAnsi="Calibri" w:eastAsia="Calibri" w:cs="Calibri"/>
                <w:spacing w:val="-1"/>
              </w:rPr>
              <w:t>300</w:t>
            </w:r>
            <w:r>
              <w:rPr>
                <w:spacing w:val="-1"/>
              </w:rPr>
              <w:t>μ</w:t>
            </w:r>
            <w:r>
              <w:rPr>
                <w:rFonts w:ascii="Calibri" w:hAnsi="Calibri" w:eastAsia="Calibri" w:cs="Calibri"/>
                <w:spacing w:val="-1"/>
              </w:rPr>
              <w:t>g/m</w:t>
            </w:r>
            <w:r>
              <w:rPr>
                <w:rFonts w:ascii="Calibri" w:hAnsi="Calibri" w:eastAsia="Calibri" w:cs="Calibri"/>
                <w:spacing w:val="-1"/>
                <w:position w:val="8"/>
                <w:sz w:val="15"/>
                <w:szCs w:val="15"/>
              </w:rPr>
              <w:t>3</w:t>
            </w:r>
            <w:r>
              <w:rPr>
                <w:rFonts w:ascii="Calibri" w:hAnsi="Calibri" w:eastAsia="Calibri" w:cs="Calibri"/>
                <w:spacing w:val="15"/>
                <w:w w:val="101"/>
                <w:position w:val="8"/>
                <w:sz w:val="15"/>
                <w:szCs w:val="15"/>
              </w:rPr>
              <w:t xml:space="preserve"> </w:t>
            </w:r>
            <w:r>
              <w:rPr>
                <w:spacing w:val="-1"/>
              </w:rPr>
              <w:t>标准值</w:t>
            </w:r>
            <w:r>
              <w:rPr>
                <w:spacing w:val="-1"/>
                <w:sz w:val="20"/>
                <w:szCs w:val="20"/>
              </w:rPr>
              <w:t>，</w:t>
            </w:r>
            <w:r>
              <w:rPr>
                <w:spacing w:val="-1"/>
              </w:rPr>
              <w:t>区域环境</w:t>
            </w:r>
            <w:r>
              <w:rPr>
                <w:spacing w:val="-2"/>
              </w:rPr>
              <w:t>空气质量总体良好。</w:t>
            </w:r>
          </w:p>
          <w:p w14:paraId="61DD1B9A">
            <w:pPr>
              <w:pStyle w:val="6"/>
              <w:spacing w:before="79" w:line="347" w:lineRule="auto"/>
              <w:ind w:left="103" w:right="96" w:firstLine="482"/>
            </w:pPr>
            <w:r>
              <w:t>综上所述，本项目所在环境空气质量满足环境空气二类功能区要求，项目所在</w:t>
            </w:r>
            <w:r>
              <w:rPr>
                <w:spacing w:val="17"/>
              </w:rPr>
              <w:t xml:space="preserve"> </w:t>
            </w:r>
            <w:r>
              <w:rPr>
                <w:spacing w:val="-2"/>
              </w:rPr>
              <w:t>环境区域为达标区。</w:t>
            </w:r>
          </w:p>
          <w:p w14:paraId="7C2A0C56">
            <w:pPr>
              <w:pStyle w:val="6"/>
              <w:spacing w:before="110" w:line="219" w:lineRule="auto"/>
              <w:ind w:left="704"/>
            </w:pPr>
            <w:r>
              <w:rPr>
                <w:rFonts w:ascii="Calibri" w:hAnsi="Calibri" w:eastAsia="Calibri" w:cs="Calibri"/>
                <w:b/>
                <w:bCs/>
                <w:spacing w:val="-6"/>
              </w:rPr>
              <w:t>2</w:t>
            </w:r>
            <w:r>
              <w:rPr>
                <w:rFonts w:ascii="Calibri" w:hAnsi="Calibri" w:eastAsia="Calibri" w:cs="Calibri"/>
                <w:b/>
                <w:bCs/>
                <w:spacing w:val="-24"/>
              </w:rPr>
              <w:t xml:space="preserve"> </w:t>
            </w:r>
            <w:r>
              <w:rPr>
                <w:b/>
                <w:bCs/>
                <w:spacing w:val="-6"/>
              </w:rPr>
              <w:t>、水环境质量现状</w:t>
            </w:r>
          </w:p>
          <w:p w14:paraId="14CAA0A1">
            <w:pPr>
              <w:pStyle w:val="6"/>
              <w:spacing w:before="186" w:line="346" w:lineRule="auto"/>
              <w:ind w:left="103" w:right="35" w:firstLine="480"/>
            </w:pPr>
            <w:r>
              <w:rPr>
                <w:spacing w:val="1"/>
              </w:rPr>
              <w:t>林甸县共有城南、城北、中部三大排水涝区</w:t>
            </w:r>
            <w:r>
              <w:t xml:space="preserve">。林甸县中部涝区是我省西部地区 </w:t>
            </w:r>
            <w:r>
              <w:rPr>
                <w:spacing w:val="1"/>
              </w:rPr>
              <w:t>较大涝区之一。涝区位于林甸县中部，东面和</w:t>
            </w:r>
            <w:r>
              <w:t xml:space="preserve">北面为双阳河，西面为九道沟（乌裕 </w:t>
            </w:r>
            <w:r>
              <w:rPr>
                <w:spacing w:val="-2"/>
              </w:rPr>
              <w:t>尔河</w:t>
            </w:r>
            <w:r>
              <w:rPr>
                <w:spacing w:val="11"/>
              </w:rPr>
              <w:t>），</w:t>
            </w:r>
            <w:r>
              <w:rPr>
                <w:spacing w:val="-2"/>
              </w:rPr>
              <w:t>南为南部涝区，全区面积为</w:t>
            </w:r>
            <w:r>
              <w:rPr>
                <w:spacing w:val="-40"/>
              </w:rPr>
              <w:t xml:space="preserve"> </w:t>
            </w:r>
            <w:r>
              <w:rPr>
                <w:rFonts w:ascii="Calibri" w:hAnsi="Calibri" w:eastAsia="Calibri" w:cs="Calibri"/>
                <w:spacing w:val="-2"/>
              </w:rPr>
              <w:t>1280</w:t>
            </w:r>
            <w:r>
              <w:rPr>
                <w:rFonts w:ascii="Calibri" w:hAnsi="Calibri" w:eastAsia="Calibri" w:cs="Calibri"/>
                <w:spacing w:val="15"/>
                <w:w w:val="101"/>
              </w:rPr>
              <w:t xml:space="preserve"> </w:t>
            </w:r>
            <w:r>
              <w:rPr>
                <w:rFonts w:ascii="Calibri" w:hAnsi="Calibri" w:eastAsia="Calibri" w:cs="Calibri"/>
                <w:spacing w:val="-2"/>
              </w:rPr>
              <w:t>km2</w:t>
            </w:r>
            <w:r>
              <w:rPr>
                <w:rFonts w:ascii="Calibri" w:hAnsi="Calibri" w:eastAsia="Calibri" w:cs="Calibri"/>
                <w:spacing w:val="-21"/>
              </w:rPr>
              <w:t xml:space="preserve"> </w:t>
            </w:r>
            <w:r>
              <w:rPr>
                <w:spacing w:val="-2"/>
              </w:rPr>
              <w:t>。中部涝区中心为林甸县城所在地，</w:t>
            </w:r>
            <w:r>
              <w:t xml:space="preserve"> </w:t>
            </w:r>
            <w:r>
              <w:rPr>
                <w:spacing w:val="1"/>
              </w:rPr>
              <w:t>区内有林甸镇和宏伟乡的全部，红旗镇、三合</w:t>
            </w:r>
            <w:r>
              <w:t xml:space="preserve">乡、四合乡、东兴乡、四季青镇等乡 </w:t>
            </w:r>
            <w:r>
              <w:rPr>
                <w:spacing w:val="1"/>
              </w:rPr>
              <w:t>镇的部分村屯，此外，还有巨浪牧场、县良农场、新兴马场、军马场及育苇场等。</w:t>
            </w:r>
            <w:r>
              <w:rPr>
                <w:spacing w:val="17"/>
              </w:rPr>
              <w:t xml:space="preserve"> </w:t>
            </w:r>
            <w:r>
              <w:rPr>
                <w:spacing w:val="-3"/>
              </w:rPr>
              <w:t>林甸县地势低平，东北略高，地形缓缓向西南倾斜，自然坡降为</w:t>
            </w:r>
            <w:r>
              <w:rPr>
                <w:spacing w:val="-33"/>
              </w:rPr>
              <w:t xml:space="preserve"> </w:t>
            </w:r>
            <w:r>
              <w:rPr>
                <w:rFonts w:ascii="Calibri" w:hAnsi="Calibri" w:eastAsia="Calibri" w:cs="Calibri"/>
                <w:spacing w:val="-3"/>
              </w:rPr>
              <w:t>1/3000</w:t>
            </w:r>
            <w:r>
              <w:rPr>
                <w:rFonts w:ascii="Calibri" w:hAnsi="Calibri" w:eastAsia="Calibri" w:cs="Calibri"/>
                <w:spacing w:val="15"/>
                <w:w w:val="101"/>
              </w:rPr>
              <w:t xml:space="preserve"> </w:t>
            </w:r>
            <w:r>
              <w:rPr>
                <w:spacing w:val="-3"/>
              </w:rPr>
              <w:t>左右，海拔</w:t>
            </w:r>
            <w:r>
              <w:t xml:space="preserve"> </w:t>
            </w:r>
            <w:r>
              <w:rPr>
                <w:spacing w:val="-4"/>
              </w:rPr>
              <w:t>高程在</w:t>
            </w:r>
            <w:r>
              <w:rPr>
                <w:spacing w:val="-31"/>
              </w:rPr>
              <w:t xml:space="preserve"> </w:t>
            </w:r>
            <w:r>
              <w:rPr>
                <w:rFonts w:ascii="Calibri" w:hAnsi="Calibri" w:eastAsia="Calibri" w:cs="Calibri"/>
                <w:spacing w:val="-4"/>
              </w:rPr>
              <w:t>175m</w:t>
            </w:r>
            <w:r>
              <w:rPr>
                <w:spacing w:val="-4"/>
              </w:rPr>
              <w:t>～</w:t>
            </w:r>
            <w:r>
              <w:rPr>
                <w:rFonts w:ascii="Calibri" w:hAnsi="Calibri" w:eastAsia="Calibri" w:cs="Calibri"/>
                <w:spacing w:val="-4"/>
              </w:rPr>
              <w:t>154m</w:t>
            </w:r>
            <w:r>
              <w:rPr>
                <w:spacing w:val="-4"/>
              </w:rPr>
              <w:t>之间，呈缓状大平原，小地形较为复杂，平原分布有碟形洼地，</w:t>
            </w:r>
          </w:p>
        </w:tc>
      </w:tr>
    </w:tbl>
    <w:p w14:paraId="138448C3">
      <w:pPr>
        <w:pStyle w:val="2"/>
        <w:spacing w:line="80" w:lineRule="exact"/>
        <w:rPr>
          <w:sz w:val="6"/>
        </w:rPr>
      </w:pPr>
    </w:p>
    <w:p w14:paraId="0CC1D5BD">
      <w:pPr>
        <w:spacing w:line="80" w:lineRule="exact"/>
        <w:rPr>
          <w:sz w:val="6"/>
          <w:szCs w:val="6"/>
        </w:rPr>
        <w:sectPr>
          <w:footerReference r:id="rId56" w:type="default"/>
          <w:pgSz w:w="11906" w:h="16839"/>
          <w:pgMar w:top="1270" w:right="1266" w:bottom="1263" w:left="1265" w:header="0" w:footer="1097" w:gutter="0"/>
          <w:cols w:space="720" w:num="1"/>
        </w:sectPr>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79CA8D60">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997" w:hRule="atLeast"/>
        </w:trPr>
        <w:tc>
          <w:tcPr>
            <w:tcW w:w="471" w:type="dxa"/>
            <w:tcBorders>
              <w:right w:val="single" w:color="000000" w:sz="2" w:space="0"/>
            </w:tcBorders>
            <w:vAlign w:val="top"/>
          </w:tcPr>
          <w:p w14:paraId="4E61A0F4">
            <w:pPr>
              <w:rPr>
                <w:rFonts w:ascii="Arial"/>
                <w:sz w:val="21"/>
              </w:rPr>
            </w:pPr>
          </w:p>
        </w:tc>
        <w:tc>
          <w:tcPr>
            <w:tcW w:w="8877" w:type="dxa"/>
            <w:tcBorders>
              <w:left w:val="single" w:color="000000" w:sz="2" w:space="0"/>
            </w:tcBorders>
            <w:vAlign w:val="top"/>
          </w:tcPr>
          <w:p w14:paraId="18175364">
            <w:pPr>
              <w:pStyle w:val="6"/>
              <w:spacing w:before="120" w:line="346" w:lineRule="auto"/>
              <w:ind w:left="102" w:right="96" w:firstLine="24"/>
            </w:pPr>
            <w:r>
              <w:t>闭塞的锅底坑，境内无丘陵，南部草原受风沙影响形成起伏的条状沙丘。涝</w:t>
            </w:r>
            <w:r>
              <w:rPr>
                <w:spacing w:val="-1"/>
              </w:rPr>
              <w:t>区排水</w:t>
            </w:r>
            <w:r>
              <w:t xml:space="preserve"> 干渠均以水田和旱田为主。流域内植被保护良</w:t>
            </w:r>
            <w:r>
              <w:rPr>
                <w:spacing w:val="-1"/>
              </w:rPr>
              <w:t>好，水土流失不严重。</w:t>
            </w:r>
          </w:p>
          <w:p w14:paraId="428413DD">
            <w:pPr>
              <w:pStyle w:val="6"/>
              <w:spacing w:before="32" w:line="355" w:lineRule="auto"/>
              <w:ind w:left="104" w:right="35" w:firstLine="483"/>
              <w:jc w:val="both"/>
            </w:pPr>
            <w:r>
              <w:rPr>
                <w:spacing w:val="-3"/>
              </w:rPr>
              <w:t>涝区自六十年代兴建至今，已形成的骨干排水沟道</w:t>
            </w:r>
            <w:r>
              <w:rPr>
                <w:spacing w:val="-39"/>
              </w:rPr>
              <w:t xml:space="preserve"> </w:t>
            </w:r>
            <w:r>
              <w:rPr>
                <w:rFonts w:ascii="Calibri" w:hAnsi="Calibri" w:eastAsia="Calibri" w:cs="Calibri"/>
                <w:spacing w:val="-3"/>
              </w:rPr>
              <w:t>15</w:t>
            </w:r>
            <w:r>
              <w:rPr>
                <w:rFonts w:ascii="Calibri" w:hAnsi="Calibri" w:eastAsia="Calibri" w:cs="Calibri"/>
                <w:spacing w:val="15"/>
                <w:w w:val="101"/>
              </w:rPr>
              <w:t xml:space="preserve"> </w:t>
            </w:r>
            <w:r>
              <w:rPr>
                <w:spacing w:val="-3"/>
              </w:rPr>
              <w:t>条，其中排</w:t>
            </w:r>
            <w:r>
              <w:rPr>
                <w:spacing w:val="-4"/>
              </w:rPr>
              <w:t>水总干</w:t>
            </w:r>
            <w:r>
              <w:rPr>
                <w:spacing w:val="-40"/>
              </w:rPr>
              <w:t xml:space="preserve"> </w:t>
            </w:r>
            <w:r>
              <w:rPr>
                <w:rFonts w:ascii="Calibri" w:hAnsi="Calibri" w:eastAsia="Calibri" w:cs="Calibri"/>
                <w:spacing w:val="-4"/>
              </w:rPr>
              <w:t>1</w:t>
            </w:r>
            <w:r>
              <w:rPr>
                <w:rFonts w:ascii="Calibri" w:hAnsi="Calibri" w:eastAsia="Calibri" w:cs="Calibri"/>
                <w:spacing w:val="18"/>
              </w:rPr>
              <w:t xml:space="preserve"> </w:t>
            </w:r>
            <w:r>
              <w:rPr>
                <w:spacing w:val="-4"/>
              </w:rPr>
              <w:t>条，</w:t>
            </w:r>
            <w:r>
              <w:t xml:space="preserve"> </w:t>
            </w:r>
            <w:r>
              <w:rPr>
                <w:spacing w:val="-6"/>
              </w:rPr>
              <w:t>长</w:t>
            </w:r>
            <w:r>
              <w:rPr>
                <w:spacing w:val="-40"/>
              </w:rPr>
              <w:t xml:space="preserve"> </w:t>
            </w:r>
            <w:r>
              <w:rPr>
                <w:rFonts w:ascii="Calibri" w:hAnsi="Calibri" w:eastAsia="Calibri" w:cs="Calibri"/>
                <w:spacing w:val="-6"/>
              </w:rPr>
              <w:t>10.6km</w:t>
            </w:r>
            <w:r>
              <w:rPr>
                <w:spacing w:val="-6"/>
              </w:rPr>
              <w:t>；干沟</w:t>
            </w:r>
            <w:r>
              <w:rPr>
                <w:spacing w:val="-48"/>
              </w:rPr>
              <w:t xml:space="preserve"> </w:t>
            </w:r>
            <w:r>
              <w:rPr>
                <w:rFonts w:ascii="Calibri" w:hAnsi="Calibri" w:eastAsia="Calibri" w:cs="Calibri"/>
                <w:spacing w:val="-6"/>
              </w:rPr>
              <w:t>3</w:t>
            </w:r>
            <w:r>
              <w:rPr>
                <w:rFonts w:ascii="Calibri" w:hAnsi="Calibri" w:eastAsia="Calibri" w:cs="Calibri"/>
                <w:spacing w:val="18"/>
              </w:rPr>
              <w:t xml:space="preserve"> </w:t>
            </w:r>
            <w:r>
              <w:rPr>
                <w:spacing w:val="-6"/>
              </w:rPr>
              <w:t>条，长</w:t>
            </w:r>
            <w:r>
              <w:rPr>
                <w:spacing w:val="-48"/>
              </w:rPr>
              <w:t xml:space="preserve"> </w:t>
            </w:r>
            <w:r>
              <w:rPr>
                <w:rFonts w:ascii="Calibri" w:hAnsi="Calibri" w:eastAsia="Calibri" w:cs="Calibri"/>
                <w:spacing w:val="-6"/>
              </w:rPr>
              <w:t>79.44km</w:t>
            </w:r>
            <w:r>
              <w:rPr>
                <w:spacing w:val="-6"/>
              </w:rPr>
              <w:t>；支沟</w:t>
            </w:r>
            <w:r>
              <w:rPr>
                <w:spacing w:val="-40"/>
              </w:rPr>
              <w:t xml:space="preserve"> </w:t>
            </w:r>
            <w:r>
              <w:rPr>
                <w:rFonts w:ascii="Calibri" w:hAnsi="Calibri" w:eastAsia="Calibri" w:cs="Calibri"/>
                <w:spacing w:val="-6"/>
              </w:rPr>
              <w:t>11</w:t>
            </w:r>
            <w:r>
              <w:rPr>
                <w:rFonts w:ascii="Calibri" w:hAnsi="Calibri" w:eastAsia="Calibri" w:cs="Calibri"/>
                <w:spacing w:val="15"/>
                <w:w w:val="101"/>
              </w:rPr>
              <w:t xml:space="preserve"> </w:t>
            </w:r>
            <w:r>
              <w:rPr>
                <w:spacing w:val="-6"/>
              </w:rPr>
              <w:t>条，长</w:t>
            </w:r>
            <w:r>
              <w:rPr>
                <w:spacing w:val="-40"/>
              </w:rPr>
              <w:t xml:space="preserve"> </w:t>
            </w:r>
            <w:r>
              <w:rPr>
                <w:rFonts w:ascii="Calibri" w:hAnsi="Calibri" w:eastAsia="Calibri" w:cs="Calibri"/>
                <w:spacing w:val="-6"/>
              </w:rPr>
              <w:t>197.92km</w:t>
            </w:r>
            <w:r>
              <w:rPr>
                <w:rFonts w:ascii="Calibri" w:hAnsi="Calibri" w:eastAsia="Calibri" w:cs="Calibri"/>
                <w:spacing w:val="-21"/>
              </w:rPr>
              <w:t xml:space="preserve"> </w:t>
            </w:r>
            <w:r>
              <w:rPr>
                <w:spacing w:val="-6"/>
              </w:rPr>
              <w:t>。现有</w:t>
            </w:r>
            <w:r>
              <w:rPr>
                <w:spacing w:val="-7"/>
              </w:rPr>
              <w:t>建筑物</w:t>
            </w:r>
            <w:r>
              <w:rPr>
                <w:spacing w:val="-46"/>
              </w:rPr>
              <w:t xml:space="preserve"> </w:t>
            </w:r>
            <w:r>
              <w:rPr>
                <w:rFonts w:ascii="Calibri" w:hAnsi="Calibri" w:eastAsia="Calibri" w:cs="Calibri"/>
                <w:spacing w:val="-7"/>
              </w:rPr>
              <w:t>208</w:t>
            </w:r>
            <w:r>
              <w:rPr>
                <w:rFonts w:ascii="Calibri" w:hAnsi="Calibri" w:eastAsia="Calibri" w:cs="Calibri"/>
                <w:spacing w:val="16"/>
              </w:rPr>
              <w:t xml:space="preserve"> </w:t>
            </w:r>
            <w:r>
              <w:rPr>
                <w:spacing w:val="-7"/>
              </w:rPr>
              <w:t>座，</w:t>
            </w:r>
            <w:r>
              <w:t xml:space="preserve"> </w:t>
            </w:r>
            <w:r>
              <w:rPr>
                <w:spacing w:val="-3"/>
              </w:rPr>
              <w:t>其中支干以上排水沟交叉桥（涵）</w:t>
            </w:r>
            <w:r>
              <w:rPr>
                <w:rFonts w:ascii="Calibri" w:hAnsi="Calibri" w:eastAsia="Calibri" w:cs="Calibri"/>
                <w:spacing w:val="-3"/>
              </w:rPr>
              <w:t>208</w:t>
            </w:r>
            <w:r>
              <w:rPr>
                <w:rFonts w:ascii="Calibri" w:hAnsi="Calibri" w:eastAsia="Calibri" w:cs="Calibri"/>
                <w:spacing w:val="16"/>
              </w:rPr>
              <w:t xml:space="preserve"> </w:t>
            </w:r>
            <w:r>
              <w:rPr>
                <w:spacing w:val="-3"/>
              </w:rPr>
              <w:t>座，包括：公路桥</w:t>
            </w:r>
            <w:r>
              <w:rPr>
                <w:spacing w:val="-47"/>
              </w:rPr>
              <w:t xml:space="preserve"> </w:t>
            </w:r>
            <w:r>
              <w:rPr>
                <w:rFonts w:ascii="Calibri" w:hAnsi="Calibri" w:eastAsia="Calibri" w:cs="Calibri"/>
                <w:spacing w:val="-3"/>
              </w:rPr>
              <w:t>25</w:t>
            </w:r>
            <w:r>
              <w:rPr>
                <w:rFonts w:ascii="Calibri" w:hAnsi="Calibri" w:eastAsia="Calibri" w:cs="Calibri"/>
                <w:spacing w:val="18"/>
                <w:w w:val="101"/>
              </w:rPr>
              <w:t xml:space="preserve"> </w:t>
            </w:r>
            <w:r>
              <w:rPr>
                <w:spacing w:val="-3"/>
              </w:rPr>
              <w:t>座，农道桥</w:t>
            </w:r>
            <w:r>
              <w:rPr>
                <w:spacing w:val="-40"/>
              </w:rPr>
              <w:t xml:space="preserve"> </w:t>
            </w:r>
            <w:r>
              <w:rPr>
                <w:rFonts w:ascii="Calibri" w:hAnsi="Calibri" w:eastAsia="Calibri" w:cs="Calibri"/>
                <w:spacing w:val="-3"/>
              </w:rPr>
              <w:t>153</w:t>
            </w:r>
            <w:r>
              <w:rPr>
                <w:rFonts w:ascii="Calibri" w:hAnsi="Calibri" w:eastAsia="Calibri" w:cs="Calibri"/>
                <w:spacing w:val="16"/>
              </w:rPr>
              <w:t xml:space="preserve"> </w:t>
            </w:r>
            <w:r>
              <w:rPr>
                <w:spacing w:val="-4"/>
              </w:rPr>
              <w:t>座，公</w:t>
            </w:r>
            <w:r>
              <w:t xml:space="preserve"> </w:t>
            </w:r>
            <w:r>
              <w:rPr>
                <w:spacing w:val="-5"/>
              </w:rPr>
              <w:t>路涵</w:t>
            </w:r>
            <w:r>
              <w:rPr>
                <w:spacing w:val="-39"/>
              </w:rPr>
              <w:t xml:space="preserve"> </w:t>
            </w:r>
            <w:r>
              <w:rPr>
                <w:rFonts w:ascii="Calibri" w:hAnsi="Calibri" w:eastAsia="Calibri" w:cs="Calibri"/>
                <w:spacing w:val="-5"/>
              </w:rPr>
              <w:t>1</w:t>
            </w:r>
            <w:r>
              <w:rPr>
                <w:rFonts w:ascii="Calibri" w:hAnsi="Calibri" w:eastAsia="Calibri" w:cs="Calibri"/>
                <w:spacing w:val="18"/>
              </w:rPr>
              <w:t xml:space="preserve"> </w:t>
            </w:r>
            <w:r>
              <w:rPr>
                <w:spacing w:val="-5"/>
              </w:rPr>
              <w:t>座，简易涵</w:t>
            </w:r>
            <w:r>
              <w:rPr>
                <w:spacing w:val="-47"/>
              </w:rPr>
              <w:t xml:space="preserve"> </w:t>
            </w:r>
            <w:r>
              <w:rPr>
                <w:rFonts w:ascii="Calibri" w:hAnsi="Calibri" w:eastAsia="Calibri" w:cs="Calibri"/>
                <w:spacing w:val="-5"/>
              </w:rPr>
              <w:t>27</w:t>
            </w:r>
            <w:r>
              <w:rPr>
                <w:rFonts w:ascii="Calibri" w:hAnsi="Calibri" w:eastAsia="Calibri" w:cs="Calibri"/>
                <w:spacing w:val="16"/>
              </w:rPr>
              <w:t xml:space="preserve"> </w:t>
            </w:r>
            <w:r>
              <w:rPr>
                <w:spacing w:val="-5"/>
              </w:rPr>
              <w:t>座，交叉涵</w:t>
            </w:r>
            <w:r>
              <w:rPr>
                <w:spacing w:val="-47"/>
              </w:rPr>
              <w:t xml:space="preserve"> </w:t>
            </w:r>
            <w:r>
              <w:rPr>
                <w:rFonts w:ascii="Calibri" w:hAnsi="Calibri" w:eastAsia="Calibri" w:cs="Calibri"/>
                <w:spacing w:val="-5"/>
              </w:rPr>
              <w:t>2</w:t>
            </w:r>
            <w:r>
              <w:rPr>
                <w:rFonts w:ascii="Calibri" w:hAnsi="Calibri" w:eastAsia="Calibri" w:cs="Calibri"/>
                <w:spacing w:val="18"/>
                <w:w w:val="101"/>
              </w:rPr>
              <w:t xml:space="preserve"> </w:t>
            </w:r>
            <w:r>
              <w:rPr>
                <w:spacing w:val="-5"/>
              </w:rPr>
              <w:t>座。涝区内排水干沟、支沟基本与等高</w:t>
            </w:r>
            <w:r>
              <w:rPr>
                <w:spacing w:val="-6"/>
              </w:rPr>
              <w:t>线垂直方</w:t>
            </w:r>
            <w:r>
              <w:t xml:space="preserve"> </w:t>
            </w:r>
            <w:r>
              <w:rPr>
                <w:spacing w:val="-1"/>
              </w:rPr>
              <w:t>向布置，承泄区为末端九道沟芦苇地。</w:t>
            </w:r>
          </w:p>
          <w:p w14:paraId="0782BFA6">
            <w:pPr>
              <w:pStyle w:val="6"/>
              <w:spacing w:before="32" w:line="355" w:lineRule="auto"/>
              <w:ind w:left="102" w:right="96" w:firstLine="481"/>
            </w:pPr>
            <w:r>
              <w:rPr>
                <w:spacing w:val="1"/>
              </w:rPr>
              <w:t>本项目位于红旗镇，周边有三排一支干渠和</w:t>
            </w:r>
            <w:r>
              <w:t xml:space="preserve">二排干渠，中部涝区三排干是人工 </w:t>
            </w:r>
            <w:r>
              <w:rPr>
                <w:spacing w:val="1"/>
              </w:rPr>
              <w:t>开挖的渠道，承接林甸县中部涝区坡水和农田排</w:t>
            </w:r>
            <w:r>
              <w:t xml:space="preserve">水，属于松嫩平原盐碱地带，地势 </w:t>
            </w:r>
            <w:r>
              <w:rPr>
                <w:spacing w:val="1"/>
              </w:rPr>
              <w:t>低洼，排干沿线分布有村屯和大量耕地。二排干</w:t>
            </w:r>
            <w:r>
              <w:t xml:space="preserve">为人工开挖沟道，承接林甸县北部 </w:t>
            </w:r>
            <w:r>
              <w:rPr>
                <w:spacing w:val="1"/>
              </w:rPr>
              <w:t>涝区坡水和农田排水，属于松嫩平原盐碱地带，</w:t>
            </w:r>
            <w:r>
              <w:t xml:space="preserve">地势低洼，排水承泄区为双阳河， </w:t>
            </w:r>
            <w:r>
              <w:rPr>
                <w:spacing w:val="-1"/>
              </w:rPr>
              <w:t>排干沿线分布有村屯和大量耕地。</w:t>
            </w:r>
          </w:p>
          <w:p w14:paraId="20BABCB7">
            <w:pPr>
              <w:pStyle w:val="6"/>
              <w:spacing w:before="34" w:line="348" w:lineRule="auto"/>
              <w:ind w:left="102" w:right="96" w:firstLine="480"/>
            </w:pPr>
            <w:r>
              <w:rPr>
                <w:spacing w:val="1"/>
              </w:rPr>
              <w:t>三排一支干渠和二排干渠起防洪排涝的作用，</w:t>
            </w:r>
            <w:r>
              <w:t xml:space="preserve">汇水流入总干渠。无水体功能区 </w:t>
            </w:r>
            <w:r>
              <w:rPr>
                <w:spacing w:val="-5"/>
              </w:rPr>
              <w:t>划。</w:t>
            </w:r>
          </w:p>
          <w:p w14:paraId="4F5384C2">
            <w:pPr>
              <w:pStyle w:val="6"/>
              <w:spacing w:before="32" w:line="219" w:lineRule="auto"/>
              <w:ind w:left="584"/>
            </w:pPr>
            <w:r>
              <w:rPr>
                <w:rFonts w:ascii="Calibri" w:hAnsi="Calibri" w:eastAsia="Calibri" w:cs="Calibri"/>
                <w:b/>
                <w:bCs/>
                <w:spacing w:val="-7"/>
              </w:rPr>
              <w:t>3</w:t>
            </w:r>
            <w:r>
              <w:rPr>
                <w:rFonts w:ascii="Calibri" w:hAnsi="Calibri" w:eastAsia="Calibri" w:cs="Calibri"/>
                <w:b/>
                <w:bCs/>
                <w:spacing w:val="-26"/>
              </w:rPr>
              <w:t xml:space="preserve"> </w:t>
            </w:r>
            <w:r>
              <w:rPr>
                <w:b/>
                <w:bCs/>
                <w:spacing w:val="-7"/>
              </w:rPr>
              <w:t>、声环境状况</w:t>
            </w:r>
          </w:p>
          <w:p w14:paraId="34AE8B06">
            <w:pPr>
              <w:pStyle w:val="6"/>
              <w:spacing w:before="185" w:line="351" w:lineRule="auto"/>
              <w:ind w:left="108" w:right="96" w:firstLine="475"/>
              <w:jc w:val="both"/>
            </w:pPr>
            <w:r>
              <w:rPr>
                <w:spacing w:val="-1"/>
              </w:rPr>
              <w:t>根据《声环境功能区划分技术规范》（</w:t>
            </w:r>
            <w:r>
              <w:rPr>
                <w:rFonts w:ascii="Calibri" w:hAnsi="Calibri" w:eastAsia="Calibri" w:cs="Calibri"/>
                <w:spacing w:val="-1"/>
              </w:rPr>
              <w:t>GB15190-2014</w:t>
            </w:r>
            <w:r>
              <w:rPr>
                <w:spacing w:val="4"/>
              </w:rPr>
              <w:t>），</w:t>
            </w:r>
            <w:r>
              <w:rPr>
                <w:spacing w:val="-1"/>
              </w:rPr>
              <w:t>本项目所</w:t>
            </w:r>
            <w:r>
              <w:rPr>
                <w:spacing w:val="-2"/>
              </w:rPr>
              <w:t>在地为</w:t>
            </w:r>
            <w:r>
              <w:rPr>
                <w:spacing w:val="-46"/>
              </w:rPr>
              <w:t xml:space="preserve"> </w:t>
            </w:r>
            <w:r>
              <w:rPr>
                <w:rFonts w:ascii="Calibri" w:hAnsi="Calibri" w:eastAsia="Calibri" w:cs="Calibri"/>
                <w:spacing w:val="-2"/>
              </w:rPr>
              <w:t>2</w:t>
            </w:r>
            <w:r>
              <w:rPr>
                <w:rFonts w:ascii="Calibri" w:hAnsi="Calibri" w:eastAsia="Calibri" w:cs="Calibri"/>
                <w:spacing w:val="16"/>
                <w:w w:val="101"/>
              </w:rPr>
              <w:t xml:space="preserve"> </w:t>
            </w:r>
            <w:r>
              <w:rPr>
                <w:spacing w:val="-2"/>
              </w:rPr>
              <w:t>类</w:t>
            </w:r>
            <w:r>
              <w:t xml:space="preserve"> </w:t>
            </w:r>
            <w:r>
              <w:rPr>
                <w:spacing w:val="-1"/>
              </w:rPr>
              <w:t>声功能区，环境噪声执行《声环境质量标准</w:t>
            </w:r>
            <w:r>
              <w:rPr>
                <w:spacing w:val="-2"/>
              </w:rPr>
              <w:t>》（</w:t>
            </w:r>
            <w:r>
              <w:rPr>
                <w:rFonts w:ascii="Calibri" w:hAnsi="Calibri" w:eastAsia="Calibri" w:cs="Calibri"/>
                <w:spacing w:val="-2"/>
              </w:rPr>
              <w:t>GB3096-2008</w:t>
            </w:r>
            <w:r>
              <w:rPr>
                <w:spacing w:val="-2"/>
              </w:rPr>
              <w:t>）中的“</w:t>
            </w:r>
            <w:r>
              <w:rPr>
                <w:rFonts w:ascii="Calibri" w:hAnsi="Calibri" w:eastAsia="Calibri" w:cs="Calibri"/>
                <w:spacing w:val="-2"/>
              </w:rPr>
              <w:t>2</w:t>
            </w:r>
            <w:r>
              <w:rPr>
                <w:rFonts w:ascii="Calibri" w:hAnsi="Calibri" w:eastAsia="Calibri" w:cs="Calibri"/>
                <w:spacing w:val="16"/>
                <w:w w:val="101"/>
              </w:rPr>
              <w:t xml:space="preserve"> </w:t>
            </w:r>
            <w:r>
              <w:rPr>
                <w:spacing w:val="-2"/>
              </w:rPr>
              <w:t>类声环境功</w:t>
            </w:r>
            <w:r>
              <w:t xml:space="preserve"> </w:t>
            </w:r>
            <w:r>
              <w:rPr>
                <w:spacing w:val="-8"/>
              </w:rPr>
              <w:t>能区</w:t>
            </w:r>
            <w:r>
              <w:rPr>
                <w:spacing w:val="-88"/>
              </w:rPr>
              <w:t xml:space="preserve"> </w:t>
            </w:r>
            <w:r>
              <w:rPr>
                <w:spacing w:val="-8"/>
              </w:rPr>
              <w:t>”标准。</w:t>
            </w:r>
          </w:p>
          <w:p w14:paraId="605B10F9">
            <w:pPr>
              <w:pStyle w:val="6"/>
              <w:spacing w:before="34" w:line="351" w:lineRule="auto"/>
              <w:ind w:left="112" w:right="96" w:firstLine="473"/>
              <w:jc w:val="both"/>
            </w:pPr>
            <w:r>
              <w:t>为进行项目运营后噪声环境影响预测，本项目</w:t>
            </w:r>
            <w:r>
              <w:rPr>
                <w:spacing w:val="-1"/>
              </w:rPr>
              <w:t>委托黑龙江永青环保科技有限公</w:t>
            </w:r>
            <w:r>
              <w:t xml:space="preserve"> </w:t>
            </w:r>
            <w:r>
              <w:rPr>
                <w:spacing w:val="-7"/>
              </w:rPr>
              <w:t>司于</w:t>
            </w:r>
            <w:r>
              <w:rPr>
                <w:spacing w:val="-34"/>
              </w:rPr>
              <w:t xml:space="preserve"> </w:t>
            </w:r>
            <w:r>
              <w:rPr>
                <w:rFonts w:ascii="Calibri" w:hAnsi="Calibri" w:eastAsia="Calibri" w:cs="Calibri"/>
                <w:spacing w:val="-7"/>
              </w:rPr>
              <w:t>2024</w:t>
            </w:r>
            <w:r>
              <w:rPr>
                <w:rFonts w:ascii="Calibri" w:hAnsi="Calibri" w:eastAsia="Calibri" w:cs="Calibri"/>
                <w:spacing w:val="15"/>
              </w:rPr>
              <w:t xml:space="preserve"> </w:t>
            </w:r>
            <w:r>
              <w:rPr>
                <w:spacing w:val="-7"/>
              </w:rPr>
              <w:t>年</w:t>
            </w:r>
            <w:r>
              <w:rPr>
                <w:spacing w:val="-49"/>
              </w:rPr>
              <w:t xml:space="preserve"> </w:t>
            </w:r>
            <w:r>
              <w:rPr>
                <w:rFonts w:ascii="Calibri" w:hAnsi="Calibri" w:eastAsia="Calibri" w:cs="Calibri"/>
                <w:spacing w:val="-7"/>
              </w:rPr>
              <w:t>7</w:t>
            </w:r>
            <w:r>
              <w:rPr>
                <w:rFonts w:ascii="Calibri" w:hAnsi="Calibri" w:eastAsia="Calibri" w:cs="Calibri"/>
                <w:spacing w:val="20"/>
              </w:rPr>
              <w:t xml:space="preserve"> </w:t>
            </w:r>
            <w:r>
              <w:rPr>
                <w:spacing w:val="-7"/>
              </w:rPr>
              <w:t>月</w:t>
            </w:r>
            <w:r>
              <w:rPr>
                <w:spacing w:val="-47"/>
              </w:rPr>
              <w:t xml:space="preserve"> </w:t>
            </w:r>
            <w:r>
              <w:rPr>
                <w:rFonts w:ascii="Calibri" w:hAnsi="Calibri" w:eastAsia="Calibri" w:cs="Calibri"/>
                <w:spacing w:val="-7"/>
              </w:rPr>
              <w:t xml:space="preserve">22  </w:t>
            </w:r>
            <w:r>
              <w:rPr>
                <w:spacing w:val="-7"/>
              </w:rPr>
              <w:t>日</w:t>
            </w:r>
            <w:r>
              <w:rPr>
                <w:rFonts w:ascii="Calibri" w:hAnsi="Calibri" w:eastAsia="Calibri" w:cs="Calibri"/>
                <w:spacing w:val="-7"/>
              </w:rPr>
              <w:t xml:space="preserve">-23  </w:t>
            </w:r>
            <w:r>
              <w:rPr>
                <w:spacing w:val="-7"/>
              </w:rPr>
              <w:t>日对项目四周厂界进行噪声现状监测，监测频率为昼、夜</w:t>
            </w:r>
            <w:r>
              <w:t xml:space="preserve"> </w:t>
            </w:r>
            <w:r>
              <w:rPr>
                <w:spacing w:val="-4"/>
              </w:rPr>
              <w:t>间各</w:t>
            </w:r>
            <w:r>
              <w:rPr>
                <w:spacing w:val="-28"/>
              </w:rPr>
              <w:t xml:space="preserve"> </w:t>
            </w:r>
            <w:r>
              <w:rPr>
                <w:rFonts w:ascii="Calibri" w:hAnsi="Calibri" w:eastAsia="Calibri" w:cs="Calibri"/>
                <w:spacing w:val="-4"/>
              </w:rPr>
              <w:t>1</w:t>
            </w:r>
            <w:r>
              <w:rPr>
                <w:rFonts w:ascii="Calibri" w:hAnsi="Calibri" w:eastAsia="Calibri" w:cs="Calibri"/>
                <w:spacing w:val="22"/>
                <w:w w:val="101"/>
              </w:rPr>
              <w:t xml:space="preserve"> </w:t>
            </w:r>
            <w:r>
              <w:rPr>
                <w:spacing w:val="-4"/>
              </w:rPr>
              <w:t>次，共两天。监测结果见下表。</w:t>
            </w:r>
          </w:p>
          <w:p w14:paraId="4F29806D">
            <w:pPr>
              <w:pStyle w:val="6"/>
              <w:spacing w:before="114" w:line="220" w:lineRule="auto"/>
              <w:ind w:left="1542"/>
            </w:pPr>
            <w:r>
              <w:rPr>
                <w:b/>
                <w:bCs/>
                <w:spacing w:val="-2"/>
              </w:rPr>
              <w:t>表</w:t>
            </w:r>
            <w:r>
              <w:rPr>
                <w:spacing w:val="-36"/>
              </w:rPr>
              <w:t xml:space="preserve"> </w:t>
            </w:r>
            <w:r>
              <w:rPr>
                <w:b/>
                <w:bCs/>
                <w:spacing w:val="-2"/>
              </w:rPr>
              <w:t>3-3</w:t>
            </w:r>
            <w:r>
              <w:rPr>
                <w:spacing w:val="-2"/>
              </w:rPr>
              <w:t xml:space="preserve">    </w:t>
            </w:r>
            <w:r>
              <w:rPr>
                <w:b/>
                <w:bCs/>
                <w:spacing w:val="-2"/>
              </w:rPr>
              <w:t>厂界噪声监测结果</w:t>
            </w:r>
            <w:r>
              <w:rPr>
                <w:spacing w:val="-2"/>
              </w:rPr>
              <w:t xml:space="preserve">      </w:t>
            </w:r>
            <w:r>
              <w:rPr>
                <w:b/>
                <w:bCs/>
                <w:spacing w:val="-2"/>
              </w:rPr>
              <w:t>单位：dB(A)</w:t>
            </w:r>
          </w:p>
          <w:p w14:paraId="1D5242BF">
            <w:pPr>
              <w:spacing w:line="20" w:lineRule="exact"/>
            </w:pPr>
          </w:p>
          <w:tbl>
            <w:tblPr>
              <w:tblStyle w:val="5"/>
              <w:tblW w:w="7962" w:type="dxa"/>
              <w:tblInd w:w="4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44"/>
              <w:gridCol w:w="1350"/>
              <w:gridCol w:w="1185"/>
              <w:gridCol w:w="1245"/>
              <w:gridCol w:w="1335"/>
              <w:gridCol w:w="1103"/>
            </w:tblGrid>
            <w:tr w14:paraId="441D1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1744" w:type="dxa"/>
                  <w:tcBorders>
                    <w:left w:val="nil"/>
                  </w:tcBorders>
                  <w:vAlign w:val="top"/>
                </w:tcPr>
                <w:p w14:paraId="23D7F318">
                  <w:pPr>
                    <w:pStyle w:val="6"/>
                    <w:spacing w:before="118" w:line="229" w:lineRule="auto"/>
                    <w:ind w:left="460"/>
                    <w:rPr>
                      <w:sz w:val="20"/>
                      <w:szCs w:val="20"/>
                    </w:rPr>
                  </w:pPr>
                  <w:r>
                    <w:rPr>
                      <w:spacing w:val="7"/>
                      <w:sz w:val="20"/>
                      <w:szCs w:val="20"/>
                    </w:rPr>
                    <w:t>监测点位</w:t>
                  </w:r>
                </w:p>
              </w:tc>
              <w:tc>
                <w:tcPr>
                  <w:tcW w:w="1350" w:type="dxa"/>
                  <w:vAlign w:val="top"/>
                </w:tcPr>
                <w:p w14:paraId="550F0A4E">
                  <w:pPr>
                    <w:pStyle w:val="6"/>
                    <w:spacing w:before="118" w:line="228" w:lineRule="auto"/>
                    <w:ind w:left="262"/>
                    <w:rPr>
                      <w:sz w:val="20"/>
                      <w:szCs w:val="20"/>
                    </w:rPr>
                  </w:pPr>
                  <w:r>
                    <w:rPr>
                      <w:spacing w:val="7"/>
                      <w:sz w:val="20"/>
                      <w:szCs w:val="20"/>
                    </w:rPr>
                    <w:t>监测日期</w:t>
                  </w:r>
                </w:p>
              </w:tc>
              <w:tc>
                <w:tcPr>
                  <w:tcW w:w="1185" w:type="dxa"/>
                  <w:vAlign w:val="top"/>
                </w:tcPr>
                <w:p w14:paraId="29CF477F">
                  <w:pPr>
                    <w:pStyle w:val="6"/>
                    <w:spacing w:before="118" w:line="229" w:lineRule="auto"/>
                    <w:ind w:left="177"/>
                    <w:rPr>
                      <w:sz w:val="20"/>
                      <w:szCs w:val="20"/>
                    </w:rPr>
                  </w:pPr>
                  <w:r>
                    <w:rPr>
                      <w:spacing w:val="7"/>
                      <w:sz w:val="20"/>
                      <w:szCs w:val="20"/>
                    </w:rPr>
                    <w:t>监测时间</w:t>
                  </w:r>
                </w:p>
              </w:tc>
              <w:tc>
                <w:tcPr>
                  <w:tcW w:w="1245" w:type="dxa"/>
                  <w:vAlign w:val="top"/>
                </w:tcPr>
                <w:p w14:paraId="681D11B1">
                  <w:pPr>
                    <w:pStyle w:val="6"/>
                    <w:spacing w:before="118" w:line="230" w:lineRule="auto"/>
                    <w:ind w:left="416"/>
                    <w:rPr>
                      <w:sz w:val="20"/>
                      <w:szCs w:val="20"/>
                    </w:rPr>
                  </w:pPr>
                  <w:r>
                    <w:rPr>
                      <w:spacing w:val="5"/>
                      <w:sz w:val="20"/>
                      <w:szCs w:val="20"/>
                    </w:rPr>
                    <w:t>昼间</w:t>
                  </w:r>
                </w:p>
              </w:tc>
              <w:tc>
                <w:tcPr>
                  <w:tcW w:w="1335" w:type="dxa"/>
                  <w:vAlign w:val="top"/>
                </w:tcPr>
                <w:p w14:paraId="40793AB2">
                  <w:pPr>
                    <w:pStyle w:val="6"/>
                    <w:spacing w:before="118" w:line="229" w:lineRule="auto"/>
                    <w:ind w:left="252"/>
                    <w:rPr>
                      <w:sz w:val="20"/>
                      <w:szCs w:val="20"/>
                    </w:rPr>
                  </w:pPr>
                  <w:r>
                    <w:rPr>
                      <w:spacing w:val="7"/>
                      <w:sz w:val="20"/>
                      <w:szCs w:val="20"/>
                    </w:rPr>
                    <w:t>监测时间</w:t>
                  </w:r>
                </w:p>
              </w:tc>
              <w:tc>
                <w:tcPr>
                  <w:tcW w:w="1103" w:type="dxa"/>
                  <w:tcBorders>
                    <w:right w:val="nil"/>
                  </w:tcBorders>
                  <w:vAlign w:val="top"/>
                </w:tcPr>
                <w:p w14:paraId="2FDB1E49">
                  <w:pPr>
                    <w:pStyle w:val="6"/>
                    <w:spacing w:before="118" w:line="227" w:lineRule="auto"/>
                    <w:ind w:left="350"/>
                    <w:rPr>
                      <w:sz w:val="20"/>
                      <w:szCs w:val="20"/>
                    </w:rPr>
                  </w:pPr>
                  <w:r>
                    <w:rPr>
                      <w:spacing w:val="3"/>
                      <w:sz w:val="20"/>
                      <w:szCs w:val="20"/>
                    </w:rPr>
                    <w:t>夜间</w:t>
                  </w:r>
                </w:p>
              </w:tc>
            </w:tr>
            <w:tr w14:paraId="3D3C18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44" w:type="dxa"/>
                  <w:tcBorders>
                    <w:left w:val="nil"/>
                  </w:tcBorders>
                  <w:vAlign w:val="top"/>
                </w:tcPr>
                <w:p w14:paraId="4DC5FBE7">
                  <w:pPr>
                    <w:pStyle w:val="6"/>
                    <w:spacing w:before="114" w:line="227" w:lineRule="auto"/>
                    <w:ind w:left="330"/>
                    <w:rPr>
                      <w:rFonts w:ascii="Calibri" w:hAnsi="Calibri" w:eastAsia="Calibri" w:cs="Calibri"/>
                      <w:sz w:val="20"/>
                      <w:szCs w:val="20"/>
                    </w:rPr>
                  </w:pPr>
                  <w:r>
                    <w:rPr>
                      <w:spacing w:val="3"/>
                      <w:sz w:val="20"/>
                      <w:szCs w:val="20"/>
                    </w:rPr>
                    <w:t>厂界东侧</w:t>
                  </w:r>
                  <w:r>
                    <w:rPr>
                      <w:spacing w:val="-28"/>
                      <w:sz w:val="20"/>
                      <w:szCs w:val="20"/>
                    </w:rPr>
                    <w:t xml:space="preserve"> </w:t>
                  </w:r>
                  <w:r>
                    <w:rPr>
                      <w:rFonts w:ascii="Calibri" w:hAnsi="Calibri" w:eastAsia="Calibri" w:cs="Calibri"/>
                      <w:spacing w:val="3"/>
                      <w:sz w:val="20"/>
                      <w:szCs w:val="20"/>
                    </w:rPr>
                    <w:t>1#</w:t>
                  </w:r>
                </w:p>
              </w:tc>
              <w:tc>
                <w:tcPr>
                  <w:tcW w:w="1350" w:type="dxa"/>
                  <w:vMerge w:val="restart"/>
                  <w:tcBorders>
                    <w:bottom w:val="nil"/>
                  </w:tcBorders>
                  <w:vAlign w:val="top"/>
                </w:tcPr>
                <w:p w14:paraId="1460AE48">
                  <w:pPr>
                    <w:spacing w:line="351" w:lineRule="auto"/>
                    <w:rPr>
                      <w:rFonts w:ascii="Arial"/>
                      <w:sz w:val="21"/>
                    </w:rPr>
                  </w:pPr>
                </w:p>
                <w:p w14:paraId="2FF26F0F">
                  <w:pPr>
                    <w:spacing w:line="352" w:lineRule="auto"/>
                    <w:rPr>
                      <w:rFonts w:ascii="Arial"/>
                      <w:sz w:val="21"/>
                    </w:rPr>
                  </w:pPr>
                </w:p>
                <w:p w14:paraId="47B5B88E">
                  <w:pPr>
                    <w:spacing w:before="61" w:line="186" w:lineRule="auto"/>
                    <w:ind w:left="258"/>
                    <w:rPr>
                      <w:rFonts w:ascii="Calibri" w:hAnsi="Calibri" w:eastAsia="Calibri" w:cs="Calibri"/>
                      <w:sz w:val="20"/>
                      <w:szCs w:val="20"/>
                    </w:rPr>
                  </w:pPr>
                  <w:r>
                    <w:rPr>
                      <w:rFonts w:ascii="Calibri" w:hAnsi="Calibri" w:eastAsia="Calibri" w:cs="Calibri"/>
                      <w:spacing w:val="3"/>
                      <w:sz w:val="20"/>
                      <w:szCs w:val="20"/>
                    </w:rPr>
                    <w:t>2024.7.22</w:t>
                  </w:r>
                </w:p>
              </w:tc>
              <w:tc>
                <w:tcPr>
                  <w:tcW w:w="1185" w:type="dxa"/>
                  <w:vAlign w:val="top"/>
                </w:tcPr>
                <w:p w14:paraId="1D89CBA1">
                  <w:pPr>
                    <w:spacing w:before="158" w:line="186" w:lineRule="auto"/>
                    <w:ind w:left="411"/>
                    <w:rPr>
                      <w:rFonts w:ascii="Calibri" w:hAnsi="Calibri" w:eastAsia="Calibri" w:cs="Calibri"/>
                      <w:sz w:val="20"/>
                      <w:szCs w:val="20"/>
                    </w:rPr>
                  </w:pPr>
                  <w:r>
                    <w:rPr>
                      <w:rFonts w:ascii="Calibri" w:hAnsi="Calibri" w:eastAsia="Calibri" w:cs="Calibri"/>
                      <w:spacing w:val="1"/>
                      <w:sz w:val="20"/>
                      <w:szCs w:val="20"/>
                    </w:rPr>
                    <w:t>9:14</w:t>
                  </w:r>
                </w:p>
              </w:tc>
              <w:tc>
                <w:tcPr>
                  <w:tcW w:w="1245" w:type="dxa"/>
                  <w:vAlign w:val="top"/>
                </w:tcPr>
                <w:p w14:paraId="47EC8C40">
                  <w:pPr>
                    <w:spacing w:before="160" w:line="184" w:lineRule="auto"/>
                    <w:ind w:left="524"/>
                    <w:rPr>
                      <w:rFonts w:ascii="Calibri" w:hAnsi="Calibri" w:eastAsia="Calibri" w:cs="Calibri"/>
                      <w:sz w:val="20"/>
                      <w:szCs w:val="20"/>
                    </w:rPr>
                  </w:pPr>
                  <w:r>
                    <w:rPr>
                      <w:rFonts w:ascii="Calibri" w:hAnsi="Calibri" w:eastAsia="Calibri" w:cs="Calibri"/>
                      <w:spacing w:val="-1"/>
                      <w:sz w:val="20"/>
                      <w:szCs w:val="20"/>
                    </w:rPr>
                    <w:t>57</w:t>
                  </w:r>
                </w:p>
              </w:tc>
              <w:tc>
                <w:tcPr>
                  <w:tcW w:w="1335" w:type="dxa"/>
                  <w:vAlign w:val="top"/>
                </w:tcPr>
                <w:p w14:paraId="5020234A">
                  <w:pPr>
                    <w:spacing w:before="158" w:line="186" w:lineRule="auto"/>
                    <w:ind w:left="435"/>
                    <w:rPr>
                      <w:rFonts w:ascii="Calibri" w:hAnsi="Calibri" w:eastAsia="Calibri" w:cs="Calibri"/>
                      <w:sz w:val="20"/>
                      <w:szCs w:val="20"/>
                    </w:rPr>
                  </w:pPr>
                  <w:r>
                    <w:rPr>
                      <w:rFonts w:ascii="Calibri" w:hAnsi="Calibri" w:eastAsia="Calibri" w:cs="Calibri"/>
                      <w:spacing w:val="1"/>
                      <w:sz w:val="20"/>
                      <w:szCs w:val="20"/>
                    </w:rPr>
                    <w:t>22:14</w:t>
                  </w:r>
                </w:p>
              </w:tc>
              <w:tc>
                <w:tcPr>
                  <w:tcW w:w="1103" w:type="dxa"/>
                  <w:tcBorders>
                    <w:right w:val="nil"/>
                  </w:tcBorders>
                  <w:vAlign w:val="top"/>
                </w:tcPr>
                <w:p w14:paraId="2B94ADE4">
                  <w:pPr>
                    <w:spacing w:before="158" w:line="186" w:lineRule="auto"/>
                    <w:ind w:left="447"/>
                    <w:rPr>
                      <w:rFonts w:ascii="Calibri" w:hAnsi="Calibri" w:eastAsia="Calibri" w:cs="Calibri"/>
                      <w:sz w:val="20"/>
                      <w:szCs w:val="20"/>
                    </w:rPr>
                  </w:pPr>
                  <w:r>
                    <w:rPr>
                      <w:rFonts w:ascii="Calibri" w:hAnsi="Calibri" w:eastAsia="Calibri" w:cs="Calibri"/>
                      <w:spacing w:val="1"/>
                      <w:sz w:val="20"/>
                      <w:szCs w:val="20"/>
                    </w:rPr>
                    <w:t>43</w:t>
                  </w:r>
                </w:p>
              </w:tc>
            </w:tr>
            <w:tr w14:paraId="1CC591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44" w:type="dxa"/>
                  <w:tcBorders>
                    <w:left w:val="nil"/>
                  </w:tcBorders>
                  <w:vAlign w:val="top"/>
                </w:tcPr>
                <w:p w14:paraId="2871C4E7">
                  <w:pPr>
                    <w:pStyle w:val="6"/>
                    <w:spacing w:before="113" w:line="227" w:lineRule="auto"/>
                    <w:ind w:left="330"/>
                    <w:rPr>
                      <w:rFonts w:ascii="Calibri" w:hAnsi="Calibri" w:eastAsia="Calibri" w:cs="Calibri"/>
                      <w:sz w:val="20"/>
                      <w:szCs w:val="20"/>
                    </w:rPr>
                  </w:pPr>
                  <w:r>
                    <w:rPr>
                      <w:spacing w:val="4"/>
                      <w:sz w:val="20"/>
                      <w:szCs w:val="20"/>
                    </w:rPr>
                    <w:t>厂界南侧</w:t>
                  </w:r>
                  <w:r>
                    <w:rPr>
                      <w:spacing w:val="-34"/>
                      <w:sz w:val="20"/>
                      <w:szCs w:val="20"/>
                    </w:rPr>
                    <w:t xml:space="preserve"> </w:t>
                  </w:r>
                  <w:r>
                    <w:rPr>
                      <w:rFonts w:ascii="Calibri" w:hAnsi="Calibri" w:eastAsia="Calibri" w:cs="Calibri"/>
                      <w:spacing w:val="4"/>
                      <w:sz w:val="20"/>
                      <w:szCs w:val="20"/>
                    </w:rPr>
                    <w:t>2#</w:t>
                  </w:r>
                </w:p>
              </w:tc>
              <w:tc>
                <w:tcPr>
                  <w:tcW w:w="1350" w:type="dxa"/>
                  <w:vMerge w:val="continue"/>
                  <w:tcBorders>
                    <w:top w:val="nil"/>
                    <w:bottom w:val="nil"/>
                  </w:tcBorders>
                  <w:vAlign w:val="top"/>
                </w:tcPr>
                <w:p w14:paraId="50A322E0">
                  <w:pPr>
                    <w:rPr>
                      <w:rFonts w:ascii="Arial"/>
                      <w:sz w:val="21"/>
                    </w:rPr>
                  </w:pPr>
                </w:p>
              </w:tc>
              <w:tc>
                <w:tcPr>
                  <w:tcW w:w="1185" w:type="dxa"/>
                  <w:vAlign w:val="top"/>
                </w:tcPr>
                <w:p w14:paraId="1446230A">
                  <w:pPr>
                    <w:spacing w:before="159" w:line="186" w:lineRule="auto"/>
                    <w:ind w:left="411"/>
                    <w:rPr>
                      <w:rFonts w:ascii="Calibri" w:hAnsi="Calibri" w:eastAsia="Calibri" w:cs="Calibri"/>
                      <w:sz w:val="20"/>
                      <w:szCs w:val="20"/>
                    </w:rPr>
                  </w:pPr>
                  <w:r>
                    <w:rPr>
                      <w:rFonts w:ascii="Calibri" w:hAnsi="Calibri" w:eastAsia="Calibri" w:cs="Calibri"/>
                      <w:spacing w:val="1"/>
                      <w:sz w:val="20"/>
                      <w:szCs w:val="20"/>
                    </w:rPr>
                    <w:t>9:26</w:t>
                  </w:r>
                </w:p>
              </w:tc>
              <w:tc>
                <w:tcPr>
                  <w:tcW w:w="1245" w:type="dxa"/>
                  <w:vAlign w:val="top"/>
                </w:tcPr>
                <w:p w14:paraId="39506B5F">
                  <w:pPr>
                    <w:spacing w:before="160" w:line="185" w:lineRule="auto"/>
                    <w:ind w:left="524"/>
                    <w:rPr>
                      <w:rFonts w:ascii="Calibri" w:hAnsi="Calibri" w:eastAsia="Calibri" w:cs="Calibri"/>
                      <w:sz w:val="20"/>
                      <w:szCs w:val="20"/>
                    </w:rPr>
                  </w:pPr>
                  <w:r>
                    <w:rPr>
                      <w:rFonts w:ascii="Calibri" w:hAnsi="Calibri" w:eastAsia="Calibri" w:cs="Calibri"/>
                      <w:spacing w:val="-1"/>
                      <w:sz w:val="20"/>
                      <w:szCs w:val="20"/>
                    </w:rPr>
                    <w:t>54</w:t>
                  </w:r>
                </w:p>
              </w:tc>
              <w:tc>
                <w:tcPr>
                  <w:tcW w:w="1335" w:type="dxa"/>
                  <w:vAlign w:val="top"/>
                </w:tcPr>
                <w:p w14:paraId="12BFD5C1">
                  <w:pPr>
                    <w:spacing w:before="159" w:line="186" w:lineRule="auto"/>
                    <w:ind w:left="435"/>
                    <w:rPr>
                      <w:rFonts w:ascii="Calibri" w:hAnsi="Calibri" w:eastAsia="Calibri" w:cs="Calibri"/>
                      <w:sz w:val="20"/>
                      <w:szCs w:val="20"/>
                    </w:rPr>
                  </w:pPr>
                  <w:r>
                    <w:rPr>
                      <w:rFonts w:ascii="Calibri" w:hAnsi="Calibri" w:eastAsia="Calibri" w:cs="Calibri"/>
                      <w:spacing w:val="1"/>
                      <w:sz w:val="20"/>
                      <w:szCs w:val="20"/>
                    </w:rPr>
                    <w:t>22:26</w:t>
                  </w:r>
                </w:p>
              </w:tc>
              <w:tc>
                <w:tcPr>
                  <w:tcW w:w="1103" w:type="dxa"/>
                  <w:tcBorders>
                    <w:right w:val="nil"/>
                  </w:tcBorders>
                  <w:vAlign w:val="top"/>
                </w:tcPr>
                <w:p w14:paraId="5476352B">
                  <w:pPr>
                    <w:spacing w:before="159" w:line="186" w:lineRule="auto"/>
                    <w:ind w:left="447"/>
                    <w:rPr>
                      <w:rFonts w:ascii="Calibri" w:hAnsi="Calibri" w:eastAsia="Calibri" w:cs="Calibri"/>
                      <w:sz w:val="20"/>
                      <w:szCs w:val="20"/>
                    </w:rPr>
                  </w:pPr>
                  <w:r>
                    <w:rPr>
                      <w:rFonts w:ascii="Calibri" w:hAnsi="Calibri" w:eastAsia="Calibri" w:cs="Calibri"/>
                      <w:spacing w:val="1"/>
                      <w:sz w:val="20"/>
                      <w:szCs w:val="20"/>
                    </w:rPr>
                    <w:t>46</w:t>
                  </w:r>
                </w:p>
              </w:tc>
            </w:tr>
            <w:tr w14:paraId="57BEA1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44" w:type="dxa"/>
                  <w:tcBorders>
                    <w:left w:val="nil"/>
                  </w:tcBorders>
                  <w:vAlign w:val="top"/>
                </w:tcPr>
                <w:p w14:paraId="2BEC7007">
                  <w:pPr>
                    <w:pStyle w:val="6"/>
                    <w:spacing w:before="114" w:line="227" w:lineRule="auto"/>
                    <w:ind w:left="330"/>
                    <w:rPr>
                      <w:rFonts w:ascii="Calibri" w:hAnsi="Calibri" w:eastAsia="Calibri" w:cs="Calibri"/>
                      <w:sz w:val="20"/>
                      <w:szCs w:val="20"/>
                    </w:rPr>
                  </w:pPr>
                  <w:r>
                    <w:rPr>
                      <w:spacing w:val="4"/>
                      <w:sz w:val="20"/>
                      <w:szCs w:val="20"/>
                    </w:rPr>
                    <w:t>厂界西侧</w:t>
                  </w:r>
                  <w:r>
                    <w:rPr>
                      <w:spacing w:val="-35"/>
                      <w:sz w:val="20"/>
                      <w:szCs w:val="20"/>
                    </w:rPr>
                    <w:t xml:space="preserve"> </w:t>
                  </w:r>
                  <w:r>
                    <w:rPr>
                      <w:rFonts w:ascii="Calibri" w:hAnsi="Calibri" w:eastAsia="Calibri" w:cs="Calibri"/>
                      <w:spacing w:val="4"/>
                      <w:sz w:val="20"/>
                      <w:szCs w:val="20"/>
                    </w:rPr>
                    <w:t>3#</w:t>
                  </w:r>
                </w:p>
              </w:tc>
              <w:tc>
                <w:tcPr>
                  <w:tcW w:w="1350" w:type="dxa"/>
                  <w:vMerge w:val="continue"/>
                  <w:tcBorders>
                    <w:top w:val="nil"/>
                    <w:bottom w:val="nil"/>
                  </w:tcBorders>
                  <w:vAlign w:val="top"/>
                </w:tcPr>
                <w:p w14:paraId="040E8C64">
                  <w:pPr>
                    <w:rPr>
                      <w:rFonts w:ascii="Arial"/>
                      <w:sz w:val="21"/>
                    </w:rPr>
                  </w:pPr>
                </w:p>
              </w:tc>
              <w:tc>
                <w:tcPr>
                  <w:tcW w:w="1185" w:type="dxa"/>
                  <w:vAlign w:val="top"/>
                </w:tcPr>
                <w:p w14:paraId="4D7BF845">
                  <w:pPr>
                    <w:spacing w:before="157" w:line="186" w:lineRule="auto"/>
                    <w:ind w:left="411"/>
                    <w:rPr>
                      <w:rFonts w:ascii="Calibri" w:hAnsi="Calibri" w:eastAsia="Calibri" w:cs="Calibri"/>
                      <w:sz w:val="20"/>
                      <w:szCs w:val="20"/>
                    </w:rPr>
                  </w:pPr>
                  <w:r>
                    <w:rPr>
                      <w:rFonts w:ascii="Calibri" w:hAnsi="Calibri" w:eastAsia="Calibri" w:cs="Calibri"/>
                      <w:spacing w:val="1"/>
                      <w:sz w:val="20"/>
                      <w:szCs w:val="20"/>
                    </w:rPr>
                    <w:t>9:38</w:t>
                  </w:r>
                </w:p>
              </w:tc>
              <w:tc>
                <w:tcPr>
                  <w:tcW w:w="1245" w:type="dxa"/>
                  <w:vAlign w:val="top"/>
                </w:tcPr>
                <w:p w14:paraId="0B8902F5">
                  <w:pPr>
                    <w:spacing w:before="159" w:line="184" w:lineRule="auto"/>
                    <w:ind w:left="524"/>
                    <w:rPr>
                      <w:rFonts w:ascii="Calibri" w:hAnsi="Calibri" w:eastAsia="Calibri" w:cs="Calibri"/>
                      <w:sz w:val="20"/>
                      <w:szCs w:val="20"/>
                    </w:rPr>
                  </w:pPr>
                  <w:r>
                    <w:rPr>
                      <w:rFonts w:ascii="Calibri" w:hAnsi="Calibri" w:eastAsia="Calibri" w:cs="Calibri"/>
                      <w:spacing w:val="-1"/>
                      <w:sz w:val="20"/>
                      <w:szCs w:val="20"/>
                    </w:rPr>
                    <w:t>57</w:t>
                  </w:r>
                </w:p>
              </w:tc>
              <w:tc>
                <w:tcPr>
                  <w:tcW w:w="1335" w:type="dxa"/>
                  <w:vAlign w:val="top"/>
                </w:tcPr>
                <w:p w14:paraId="1CA409F5">
                  <w:pPr>
                    <w:spacing w:before="157" w:line="186" w:lineRule="auto"/>
                    <w:ind w:left="435"/>
                    <w:rPr>
                      <w:rFonts w:ascii="Calibri" w:hAnsi="Calibri" w:eastAsia="Calibri" w:cs="Calibri"/>
                      <w:sz w:val="20"/>
                      <w:szCs w:val="20"/>
                    </w:rPr>
                  </w:pPr>
                  <w:r>
                    <w:rPr>
                      <w:rFonts w:ascii="Calibri" w:hAnsi="Calibri" w:eastAsia="Calibri" w:cs="Calibri"/>
                      <w:spacing w:val="1"/>
                      <w:sz w:val="20"/>
                      <w:szCs w:val="20"/>
                    </w:rPr>
                    <w:t>22:35</w:t>
                  </w:r>
                </w:p>
              </w:tc>
              <w:tc>
                <w:tcPr>
                  <w:tcW w:w="1103" w:type="dxa"/>
                  <w:tcBorders>
                    <w:right w:val="nil"/>
                  </w:tcBorders>
                  <w:vAlign w:val="top"/>
                </w:tcPr>
                <w:p w14:paraId="43685CB3">
                  <w:pPr>
                    <w:spacing w:before="158" w:line="185" w:lineRule="auto"/>
                    <w:ind w:left="447"/>
                    <w:rPr>
                      <w:rFonts w:ascii="Calibri" w:hAnsi="Calibri" w:eastAsia="Calibri" w:cs="Calibri"/>
                      <w:sz w:val="20"/>
                      <w:szCs w:val="20"/>
                    </w:rPr>
                  </w:pPr>
                  <w:r>
                    <w:rPr>
                      <w:rFonts w:ascii="Calibri" w:hAnsi="Calibri" w:eastAsia="Calibri" w:cs="Calibri"/>
                      <w:spacing w:val="1"/>
                      <w:sz w:val="20"/>
                      <w:szCs w:val="20"/>
                    </w:rPr>
                    <w:t>44</w:t>
                  </w:r>
                </w:p>
              </w:tc>
            </w:tr>
            <w:tr w14:paraId="5502A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44" w:type="dxa"/>
                  <w:tcBorders>
                    <w:left w:val="nil"/>
                  </w:tcBorders>
                  <w:vAlign w:val="top"/>
                </w:tcPr>
                <w:p w14:paraId="2F178002">
                  <w:pPr>
                    <w:pStyle w:val="6"/>
                    <w:spacing w:before="115" w:line="227" w:lineRule="auto"/>
                    <w:ind w:left="330"/>
                    <w:rPr>
                      <w:rFonts w:ascii="Calibri" w:hAnsi="Calibri" w:eastAsia="Calibri" w:cs="Calibri"/>
                      <w:sz w:val="20"/>
                      <w:szCs w:val="20"/>
                    </w:rPr>
                  </w:pPr>
                  <w:r>
                    <w:rPr>
                      <w:spacing w:val="5"/>
                      <w:sz w:val="20"/>
                      <w:szCs w:val="20"/>
                    </w:rPr>
                    <w:t>厂界北侧</w:t>
                  </w:r>
                  <w:r>
                    <w:rPr>
                      <w:spacing w:val="-41"/>
                      <w:sz w:val="20"/>
                      <w:szCs w:val="20"/>
                    </w:rPr>
                    <w:t xml:space="preserve"> </w:t>
                  </w:r>
                  <w:r>
                    <w:rPr>
                      <w:rFonts w:ascii="Calibri" w:hAnsi="Calibri" w:eastAsia="Calibri" w:cs="Calibri"/>
                      <w:spacing w:val="5"/>
                      <w:sz w:val="20"/>
                      <w:szCs w:val="20"/>
                    </w:rPr>
                    <w:t>4#</w:t>
                  </w:r>
                </w:p>
              </w:tc>
              <w:tc>
                <w:tcPr>
                  <w:tcW w:w="1350" w:type="dxa"/>
                  <w:vMerge w:val="continue"/>
                  <w:tcBorders>
                    <w:top w:val="nil"/>
                  </w:tcBorders>
                  <w:vAlign w:val="top"/>
                </w:tcPr>
                <w:p w14:paraId="0A16A35A">
                  <w:pPr>
                    <w:rPr>
                      <w:rFonts w:ascii="Arial"/>
                      <w:sz w:val="21"/>
                    </w:rPr>
                  </w:pPr>
                </w:p>
              </w:tc>
              <w:tc>
                <w:tcPr>
                  <w:tcW w:w="1185" w:type="dxa"/>
                  <w:vAlign w:val="top"/>
                </w:tcPr>
                <w:p w14:paraId="5AA4129C">
                  <w:pPr>
                    <w:spacing w:before="158" w:line="186" w:lineRule="auto"/>
                    <w:ind w:left="411"/>
                    <w:rPr>
                      <w:rFonts w:ascii="Calibri" w:hAnsi="Calibri" w:eastAsia="Calibri" w:cs="Calibri"/>
                      <w:sz w:val="20"/>
                      <w:szCs w:val="20"/>
                    </w:rPr>
                  </w:pPr>
                  <w:r>
                    <w:rPr>
                      <w:rFonts w:ascii="Calibri" w:hAnsi="Calibri" w:eastAsia="Calibri" w:cs="Calibri"/>
                      <w:spacing w:val="1"/>
                      <w:sz w:val="20"/>
                      <w:szCs w:val="20"/>
                    </w:rPr>
                    <w:t>9:49</w:t>
                  </w:r>
                </w:p>
              </w:tc>
              <w:tc>
                <w:tcPr>
                  <w:tcW w:w="1245" w:type="dxa"/>
                  <w:vAlign w:val="top"/>
                </w:tcPr>
                <w:p w14:paraId="5BF32A72">
                  <w:pPr>
                    <w:spacing w:before="158" w:line="186" w:lineRule="auto"/>
                    <w:ind w:left="524"/>
                    <w:rPr>
                      <w:rFonts w:ascii="Calibri" w:hAnsi="Calibri" w:eastAsia="Calibri" w:cs="Calibri"/>
                      <w:sz w:val="20"/>
                      <w:szCs w:val="20"/>
                    </w:rPr>
                  </w:pPr>
                  <w:r>
                    <w:rPr>
                      <w:rFonts w:ascii="Calibri" w:hAnsi="Calibri" w:eastAsia="Calibri" w:cs="Calibri"/>
                      <w:spacing w:val="-1"/>
                      <w:sz w:val="20"/>
                      <w:szCs w:val="20"/>
                    </w:rPr>
                    <w:t>53</w:t>
                  </w:r>
                </w:p>
              </w:tc>
              <w:tc>
                <w:tcPr>
                  <w:tcW w:w="1335" w:type="dxa"/>
                  <w:vAlign w:val="top"/>
                </w:tcPr>
                <w:p w14:paraId="202A0299">
                  <w:pPr>
                    <w:spacing w:before="158" w:line="186" w:lineRule="auto"/>
                    <w:ind w:left="435"/>
                    <w:rPr>
                      <w:rFonts w:ascii="Calibri" w:hAnsi="Calibri" w:eastAsia="Calibri" w:cs="Calibri"/>
                      <w:sz w:val="20"/>
                      <w:szCs w:val="20"/>
                    </w:rPr>
                  </w:pPr>
                  <w:r>
                    <w:rPr>
                      <w:rFonts w:ascii="Calibri" w:hAnsi="Calibri" w:eastAsia="Calibri" w:cs="Calibri"/>
                      <w:spacing w:val="1"/>
                      <w:sz w:val="20"/>
                      <w:szCs w:val="20"/>
                    </w:rPr>
                    <w:t>22:49</w:t>
                  </w:r>
                </w:p>
              </w:tc>
              <w:tc>
                <w:tcPr>
                  <w:tcW w:w="1103" w:type="dxa"/>
                  <w:tcBorders>
                    <w:right w:val="nil"/>
                  </w:tcBorders>
                  <w:vAlign w:val="top"/>
                </w:tcPr>
                <w:p w14:paraId="2887BAB5">
                  <w:pPr>
                    <w:spacing w:before="159" w:line="185" w:lineRule="auto"/>
                    <w:ind w:left="447"/>
                    <w:rPr>
                      <w:rFonts w:ascii="Calibri" w:hAnsi="Calibri" w:eastAsia="Calibri" w:cs="Calibri"/>
                      <w:sz w:val="20"/>
                      <w:szCs w:val="20"/>
                    </w:rPr>
                  </w:pPr>
                  <w:r>
                    <w:rPr>
                      <w:rFonts w:ascii="Calibri" w:hAnsi="Calibri" w:eastAsia="Calibri" w:cs="Calibri"/>
                      <w:spacing w:val="1"/>
                      <w:sz w:val="20"/>
                      <w:szCs w:val="20"/>
                    </w:rPr>
                    <w:t>44</w:t>
                  </w:r>
                </w:p>
              </w:tc>
            </w:tr>
            <w:tr w14:paraId="3646A61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44" w:type="dxa"/>
                  <w:tcBorders>
                    <w:left w:val="nil"/>
                  </w:tcBorders>
                  <w:vAlign w:val="top"/>
                </w:tcPr>
                <w:p w14:paraId="5C828981">
                  <w:pPr>
                    <w:pStyle w:val="6"/>
                    <w:spacing w:before="114" w:line="227" w:lineRule="auto"/>
                    <w:ind w:left="330"/>
                    <w:rPr>
                      <w:rFonts w:ascii="Calibri" w:hAnsi="Calibri" w:eastAsia="Calibri" w:cs="Calibri"/>
                      <w:sz w:val="20"/>
                      <w:szCs w:val="20"/>
                    </w:rPr>
                  </w:pPr>
                  <w:r>
                    <w:rPr>
                      <w:spacing w:val="3"/>
                      <w:sz w:val="20"/>
                      <w:szCs w:val="20"/>
                    </w:rPr>
                    <w:t>厂界东侧</w:t>
                  </w:r>
                  <w:r>
                    <w:rPr>
                      <w:spacing w:val="-28"/>
                      <w:sz w:val="20"/>
                      <w:szCs w:val="20"/>
                    </w:rPr>
                    <w:t xml:space="preserve"> </w:t>
                  </w:r>
                  <w:r>
                    <w:rPr>
                      <w:rFonts w:ascii="Calibri" w:hAnsi="Calibri" w:eastAsia="Calibri" w:cs="Calibri"/>
                      <w:spacing w:val="3"/>
                      <w:sz w:val="20"/>
                      <w:szCs w:val="20"/>
                    </w:rPr>
                    <w:t>1#</w:t>
                  </w:r>
                </w:p>
              </w:tc>
              <w:tc>
                <w:tcPr>
                  <w:tcW w:w="1350" w:type="dxa"/>
                  <w:vMerge w:val="restart"/>
                  <w:tcBorders>
                    <w:bottom w:val="nil"/>
                  </w:tcBorders>
                  <w:vAlign w:val="top"/>
                </w:tcPr>
                <w:p w14:paraId="0CC1DDD6">
                  <w:pPr>
                    <w:spacing w:line="351" w:lineRule="auto"/>
                    <w:rPr>
                      <w:rFonts w:ascii="Arial"/>
                      <w:sz w:val="21"/>
                    </w:rPr>
                  </w:pPr>
                </w:p>
                <w:p w14:paraId="420325BC">
                  <w:pPr>
                    <w:spacing w:line="351" w:lineRule="auto"/>
                    <w:rPr>
                      <w:rFonts w:ascii="Arial"/>
                      <w:sz w:val="21"/>
                    </w:rPr>
                  </w:pPr>
                </w:p>
                <w:p w14:paraId="724F7675">
                  <w:pPr>
                    <w:spacing w:before="61" w:line="186" w:lineRule="auto"/>
                    <w:ind w:left="258"/>
                    <w:rPr>
                      <w:rFonts w:ascii="Calibri" w:hAnsi="Calibri" w:eastAsia="Calibri" w:cs="Calibri"/>
                      <w:sz w:val="20"/>
                      <w:szCs w:val="20"/>
                    </w:rPr>
                  </w:pPr>
                  <w:r>
                    <w:rPr>
                      <w:rFonts w:ascii="Calibri" w:hAnsi="Calibri" w:eastAsia="Calibri" w:cs="Calibri"/>
                      <w:spacing w:val="3"/>
                      <w:sz w:val="20"/>
                      <w:szCs w:val="20"/>
                    </w:rPr>
                    <w:t>2024.7.23</w:t>
                  </w:r>
                </w:p>
              </w:tc>
              <w:tc>
                <w:tcPr>
                  <w:tcW w:w="1185" w:type="dxa"/>
                  <w:vAlign w:val="top"/>
                </w:tcPr>
                <w:p w14:paraId="4CE1C00F">
                  <w:pPr>
                    <w:spacing w:before="159" w:line="186" w:lineRule="auto"/>
                    <w:ind w:left="366"/>
                    <w:rPr>
                      <w:rFonts w:ascii="Calibri" w:hAnsi="Calibri" w:eastAsia="Calibri" w:cs="Calibri"/>
                      <w:sz w:val="20"/>
                      <w:szCs w:val="20"/>
                    </w:rPr>
                  </w:pPr>
                  <w:r>
                    <w:rPr>
                      <w:rFonts w:ascii="Calibri" w:hAnsi="Calibri" w:eastAsia="Calibri" w:cs="Calibri"/>
                      <w:sz w:val="20"/>
                      <w:szCs w:val="20"/>
                    </w:rPr>
                    <w:t>10:21</w:t>
                  </w:r>
                </w:p>
              </w:tc>
              <w:tc>
                <w:tcPr>
                  <w:tcW w:w="1245" w:type="dxa"/>
                  <w:vAlign w:val="top"/>
                </w:tcPr>
                <w:p w14:paraId="7A9D688B">
                  <w:pPr>
                    <w:spacing w:before="160" w:line="185" w:lineRule="auto"/>
                    <w:ind w:left="524"/>
                    <w:rPr>
                      <w:rFonts w:ascii="Calibri" w:hAnsi="Calibri" w:eastAsia="Calibri" w:cs="Calibri"/>
                      <w:sz w:val="20"/>
                      <w:szCs w:val="20"/>
                    </w:rPr>
                  </w:pPr>
                  <w:r>
                    <w:rPr>
                      <w:rFonts w:ascii="Calibri" w:hAnsi="Calibri" w:eastAsia="Calibri" w:cs="Calibri"/>
                      <w:spacing w:val="-1"/>
                      <w:sz w:val="20"/>
                      <w:szCs w:val="20"/>
                    </w:rPr>
                    <w:t>54</w:t>
                  </w:r>
                </w:p>
              </w:tc>
              <w:tc>
                <w:tcPr>
                  <w:tcW w:w="1335" w:type="dxa"/>
                  <w:vAlign w:val="top"/>
                </w:tcPr>
                <w:p w14:paraId="2015C3D5">
                  <w:pPr>
                    <w:spacing w:before="159" w:line="186" w:lineRule="auto"/>
                    <w:ind w:left="435"/>
                    <w:rPr>
                      <w:rFonts w:ascii="Calibri" w:hAnsi="Calibri" w:eastAsia="Calibri" w:cs="Calibri"/>
                      <w:sz w:val="20"/>
                      <w:szCs w:val="20"/>
                    </w:rPr>
                  </w:pPr>
                  <w:r>
                    <w:rPr>
                      <w:rFonts w:ascii="Calibri" w:hAnsi="Calibri" w:eastAsia="Calibri" w:cs="Calibri"/>
                      <w:spacing w:val="1"/>
                      <w:sz w:val="20"/>
                      <w:szCs w:val="20"/>
                    </w:rPr>
                    <w:t>22:04</w:t>
                  </w:r>
                </w:p>
              </w:tc>
              <w:tc>
                <w:tcPr>
                  <w:tcW w:w="1103" w:type="dxa"/>
                  <w:tcBorders>
                    <w:right w:val="nil"/>
                  </w:tcBorders>
                  <w:vAlign w:val="top"/>
                </w:tcPr>
                <w:p w14:paraId="1172EAC6">
                  <w:pPr>
                    <w:spacing w:before="159" w:line="186" w:lineRule="auto"/>
                    <w:ind w:left="447"/>
                    <w:rPr>
                      <w:rFonts w:ascii="Calibri" w:hAnsi="Calibri" w:eastAsia="Calibri" w:cs="Calibri"/>
                      <w:sz w:val="20"/>
                      <w:szCs w:val="20"/>
                    </w:rPr>
                  </w:pPr>
                  <w:r>
                    <w:rPr>
                      <w:rFonts w:ascii="Calibri" w:hAnsi="Calibri" w:eastAsia="Calibri" w:cs="Calibri"/>
                      <w:spacing w:val="1"/>
                      <w:sz w:val="20"/>
                      <w:szCs w:val="20"/>
                    </w:rPr>
                    <w:t>43</w:t>
                  </w:r>
                </w:p>
              </w:tc>
            </w:tr>
            <w:tr w14:paraId="11218E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44" w:type="dxa"/>
                  <w:tcBorders>
                    <w:left w:val="nil"/>
                  </w:tcBorders>
                  <w:vAlign w:val="top"/>
                </w:tcPr>
                <w:p w14:paraId="08402F8F">
                  <w:pPr>
                    <w:pStyle w:val="6"/>
                    <w:spacing w:before="115" w:line="227" w:lineRule="auto"/>
                    <w:ind w:left="330"/>
                    <w:rPr>
                      <w:rFonts w:ascii="Calibri" w:hAnsi="Calibri" w:eastAsia="Calibri" w:cs="Calibri"/>
                      <w:sz w:val="20"/>
                      <w:szCs w:val="20"/>
                    </w:rPr>
                  </w:pPr>
                  <w:r>
                    <w:rPr>
                      <w:spacing w:val="4"/>
                      <w:sz w:val="20"/>
                      <w:szCs w:val="20"/>
                    </w:rPr>
                    <w:t>厂界南侧</w:t>
                  </w:r>
                  <w:r>
                    <w:rPr>
                      <w:spacing w:val="-34"/>
                      <w:sz w:val="20"/>
                      <w:szCs w:val="20"/>
                    </w:rPr>
                    <w:t xml:space="preserve"> </w:t>
                  </w:r>
                  <w:r>
                    <w:rPr>
                      <w:rFonts w:ascii="Calibri" w:hAnsi="Calibri" w:eastAsia="Calibri" w:cs="Calibri"/>
                      <w:spacing w:val="4"/>
                      <w:sz w:val="20"/>
                      <w:szCs w:val="20"/>
                    </w:rPr>
                    <w:t>2#</w:t>
                  </w:r>
                </w:p>
              </w:tc>
              <w:tc>
                <w:tcPr>
                  <w:tcW w:w="1350" w:type="dxa"/>
                  <w:vMerge w:val="continue"/>
                  <w:tcBorders>
                    <w:top w:val="nil"/>
                    <w:bottom w:val="nil"/>
                  </w:tcBorders>
                  <w:vAlign w:val="top"/>
                </w:tcPr>
                <w:p w14:paraId="3E80D541">
                  <w:pPr>
                    <w:rPr>
                      <w:rFonts w:ascii="Arial"/>
                      <w:sz w:val="21"/>
                    </w:rPr>
                  </w:pPr>
                </w:p>
              </w:tc>
              <w:tc>
                <w:tcPr>
                  <w:tcW w:w="1185" w:type="dxa"/>
                  <w:vAlign w:val="top"/>
                </w:tcPr>
                <w:p w14:paraId="0FC88AD6">
                  <w:pPr>
                    <w:spacing w:before="158" w:line="186" w:lineRule="auto"/>
                    <w:ind w:left="366"/>
                    <w:rPr>
                      <w:rFonts w:ascii="Calibri" w:hAnsi="Calibri" w:eastAsia="Calibri" w:cs="Calibri"/>
                      <w:sz w:val="20"/>
                      <w:szCs w:val="20"/>
                    </w:rPr>
                  </w:pPr>
                  <w:r>
                    <w:rPr>
                      <w:rFonts w:ascii="Calibri" w:hAnsi="Calibri" w:eastAsia="Calibri" w:cs="Calibri"/>
                      <w:sz w:val="20"/>
                      <w:szCs w:val="20"/>
                    </w:rPr>
                    <w:t>10:32</w:t>
                  </w:r>
                </w:p>
              </w:tc>
              <w:tc>
                <w:tcPr>
                  <w:tcW w:w="1245" w:type="dxa"/>
                  <w:vAlign w:val="top"/>
                </w:tcPr>
                <w:p w14:paraId="60C4DE71">
                  <w:pPr>
                    <w:spacing w:before="158" w:line="186" w:lineRule="auto"/>
                    <w:ind w:left="524"/>
                    <w:rPr>
                      <w:rFonts w:ascii="Calibri" w:hAnsi="Calibri" w:eastAsia="Calibri" w:cs="Calibri"/>
                      <w:sz w:val="20"/>
                      <w:szCs w:val="20"/>
                    </w:rPr>
                  </w:pPr>
                  <w:r>
                    <w:rPr>
                      <w:rFonts w:ascii="Calibri" w:hAnsi="Calibri" w:eastAsia="Calibri" w:cs="Calibri"/>
                      <w:spacing w:val="-1"/>
                      <w:sz w:val="20"/>
                      <w:szCs w:val="20"/>
                    </w:rPr>
                    <w:t>53</w:t>
                  </w:r>
                </w:p>
              </w:tc>
              <w:tc>
                <w:tcPr>
                  <w:tcW w:w="1335" w:type="dxa"/>
                  <w:vAlign w:val="top"/>
                </w:tcPr>
                <w:p w14:paraId="7B27D1FE">
                  <w:pPr>
                    <w:spacing w:before="158" w:line="186" w:lineRule="auto"/>
                    <w:ind w:left="435"/>
                    <w:rPr>
                      <w:rFonts w:ascii="Calibri" w:hAnsi="Calibri" w:eastAsia="Calibri" w:cs="Calibri"/>
                      <w:sz w:val="20"/>
                      <w:szCs w:val="20"/>
                    </w:rPr>
                  </w:pPr>
                  <w:r>
                    <w:rPr>
                      <w:rFonts w:ascii="Calibri" w:hAnsi="Calibri" w:eastAsia="Calibri" w:cs="Calibri"/>
                      <w:spacing w:val="1"/>
                      <w:sz w:val="20"/>
                      <w:szCs w:val="20"/>
                    </w:rPr>
                    <w:t>22:16</w:t>
                  </w:r>
                </w:p>
              </w:tc>
              <w:tc>
                <w:tcPr>
                  <w:tcW w:w="1103" w:type="dxa"/>
                  <w:tcBorders>
                    <w:right w:val="nil"/>
                  </w:tcBorders>
                  <w:vAlign w:val="top"/>
                </w:tcPr>
                <w:p w14:paraId="74CEB0E8">
                  <w:pPr>
                    <w:spacing w:before="158" w:line="186" w:lineRule="auto"/>
                    <w:ind w:left="447"/>
                    <w:rPr>
                      <w:rFonts w:ascii="Calibri" w:hAnsi="Calibri" w:eastAsia="Calibri" w:cs="Calibri"/>
                      <w:sz w:val="20"/>
                      <w:szCs w:val="20"/>
                    </w:rPr>
                  </w:pPr>
                  <w:r>
                    <w:rPr>
                      <w:rFonts w:ascii="Calibri" w:hAnsi="Calibri" w:eastAsia="Calibri" w:cs="Calibri"/>
                      <w:spacing w:val="1"/>
                      <w:sz w:val="20"/>
                      <w:szCs w:val="20"/>
                    </w:rPr>
                    <w:t>46</w:t>
                  </w:r>
                </w:p>
              </w:tc>
            </w:tr>
            <w:tr w14:paraId="3E8E09B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1744" w:type="dxa"/>
                  <w:tcBorders>
                    <w:left w:val="nil"/>
                  </w:tcBorders>
                  <w:vAlign w:val="top"/>
                </w:tcPr>
                <w:p w14:paraId="1982A1CC">
                  <w:pPr>
                    <w:pStyle w:val="6"/>
                    <w:spacing w:before="114" w:line="227" w:lineRule="auto"/>
                    <w:ind w:left="330"/>
                    <w:rPr>
                      <w:rFonts w:ascii="Calibri" w:hAnsi="Calibri" w:eastAsia="Calibri" w:cs="Calibri"/>
                      <w:sz w:val="20"/>
                      <w:szCs w:val="20"/>
                    </w:rPr>
                  </w:pPr>
                  <w:r>
                    <w:rPr>
                      <w:spacing w:val="4"/>
                      <w:sz w:val="20"/>
                      <w:szCs w:val="20"/>
                    </w:rPr>
                    <w:t>厂界西侧</w:t>
                  </w:r>
                  <w:r>
                    <w:rPr>
                      <w:spacing w:val="-35"/>
                      <w:sz w:val="20"/>
                      <w:szCs w:val="20"/>
                    </w:rPr>
                    <w:t xml:space="preserve"> </w:t>
                  </w:r>
                  <w:r>
                    <w:rPr>
                      <w:rFonts w:ascii="Calibri" w:hAnsi="Calibri" w:eastAsia="Calibri" w:cs="Calibri"/>
                      <w:spacing w:val="4"/>
                      <w:sz w:val="20"/>
                      <w:szCs w:val="20"/>
                    </w:rPr>
                    <w:t>3#</w:t>
                  </w:r>
                </w:p>
              </w:tc>
              <w:tc>
                <w:tcPr>
                  <w:tcW w:w="1350" w:type="dxa"/>
                  <w:vMerge w:val="continue"/>
                  <w:tcBorders>
                    <w:top w:val="nil"/>
                    <w:bottom w:val="nil"/>
                  </w:tcBorders>
                  <w:vAlign w:val="top"/>
                </w:tcPr>
                <w:p w14:paraId="094CBEFC">
                  <w:pPr>
                    <w:rPr>
                      <w:rFonts w:ascii="Arial"/>
                      <w:sz w:val="21"/>
                    </w:rPr>
                  </w:pPr>
                </w:p>
              </w:tc>
              <w:tc>
                <w:tcPr>
                  <w:tcW w:w="1185" w:type="dxa"/>
                  <w:vAlign w:val="top"/>
                </w:tcPr>
                <w:p w14:paraId="40915EC3">
                  <w:pPr>
                    <w:spacing w:before="159" w:line="186" w:lineRule="auto"/>
                    <w:ind w:left="366"/>
                    <w:rPr>
                      <w:rFonts w:ascii="Calibri" w:hAnsi="Calibri" w:eastAsia="Calibri" w:cs="Calibri"/>
                      <w:sz w:val="20"/>
                      <w:szCs w:val="20"/>
                    </w:rPr>
                  </w:pPr>
                  <w:r>
                    <w:rPr>
                      <w:rFonts w:ascii="Calibri" w:hAnsi="Calibri" w:eastAsia="Calibri" w:cs="Calibri"/>
                      <w:sz w:val="20"/>
                      <w:szCs w:val="20"/>
                    </w:rPr>
                    <w:t>10:43</w:t>
                  </w:r>
                </w:p>
              </w:tc>
              <w:tc>
                <w:tcPr>
                  <w:tcW w:w="1245" w:type="dxa"/>
                  <w:vAlign w:val="top"/>
                </w:tcPr>
                <w:p w14:paraId="02B843D3">
                  <w:pPr>
                    <w:spacing w:before="159" w:line="186" w:lineRule="auto"/>
                    <w:ind w:left="524"/>
                    <w:rPr>
                      <w:rFonts w:ascii="Calibri" w:hAnsi="Calibri" w:eastAsia="Calibri" w:cs="Calibri"/>
                      <w:sz w:val="20"/>
                      <w:szCs w:val="20"/>
                    </w:rPr>
                  </w:pPr>
                  <w:r>
                    <w:rPr>
                      <w:rFonts w:ascii="Calibri" w:hAnsi="Calibri" w:eastAsia="Calibri" w:cs="Calibri"/>
                      <w:spacing w:val="-1"/>
                      <w:sz w:val="20"/>
                      <w:szCs w:val="20"/>
                    </w:rPr>
                    <w:t>56</w:t>
                  </w:r>
                </w:p>
              </w:tc>
              <w:tc>
                <w:tcPr>
                  <w:tcW w:w="1335" w:type="dxa"/>
                  <w:vAlign w:val="top"/>
                </w:tcPr>
                <w:p w14:paraId="208D35C4">
                  <w:pPr>
                    <w:spacing w:before="159" w:line="186" w:lineRule="auto"/>
                    <w:ind w:left="435"/>
                    <w:rPr>
                      <w:rFonts w:ascii="Calibri" w:hAnsi="Calibri" w:eastAsia="Calibri" w:cs="Calibri"/>
                      <w:sz w:val="20"/>
                      <w:szCs w:val="20"/>
                    </w:rPr>
                  </w:pPr>
                  <w:r>
                    <w:rPr>
                      <w:rFonts w:ascii="Calibri" w:hAnsi="Calibri" w:eastAsia="Calibri" w:cs="Calibri"/>
                      <w:spacing w:val="1"/>
                      <w:sz w:val="20"/>
                      <w:szCs w:val="20"/>
                    </w:rPr>
                    <w:t>22:31</w:t>
                  </w:r>
                </w:p>
              </w:tc>
              <w:tc>
                <w:tcPr>
                  <w:tcW w:w="1103" w:type="dxa"/>
                  <w:tcBorders>
                    <w:right w:val="nil"/>
                  </w:tcBorders>
                  <w:vAlign w:val="top"/>
                </w:tcPr>
                <w:p w14:paraId="5B45422A">
                  <w:pPr>
                    <w:spacing w:before="160" w:line="185" w:lineRule="auto"/>
                    <w:ind w:left="447"/>
                    <w:rPr>
                      <w:rFonts w:ascii="Calibri" w:hAnsi="Calibri" w:eastAsia="Calibri" w:cs="Calibri"/>
                      <w:sz w:val="20"/>
                      <w:szCs w:val="20"/>
                    </w:rPr>
                  </w:pPr>
                  <w:r>
                    <w:rPr>
                      <w:rFonts w:ascii="Calibri" w:hAnsi="Calibri" w:eastAsia="Calibri" w:cs="Calibri"/>
                      <w:spacing w:val="1"/>
                      <w:sz w:val="20"/>
                      <w:szCs w:val="20"/>
                    </w:rPr>
                    <w:t>45</w:t>
                  </w:r>
                </w:p>
              </w:tc>
            </w:tr>
            <w:tr w14:paraId="2E06B4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trPr>
              <w:tc>
                <w:tcPr>
                  <w:tcW w:w="1744" w:type="dxa"/>
                  <w:tcBorders>
                    <w:left w:val="nil"/>
                    <w:bottom w:val="nil"/>
                  </w:tcBorders>
                  <w:vAlign w:val="top"/>
                </w:tcPr>
                <w:p w14:paraId="70BCB199">
                  <w:pPr>
                    <w:pStyle w:val="6"/>
                    <w:spacing w:before="115" w:line="227" w:lineRule="auto"/>
                    <w:ind w:left="330"/>
                    <w:rPr>
                      <w:rFonts w:ascii="Calibri" w:hAnsi="Calibri" w:eastAsia="Calibri" w:cs="Calibri"/>
                      <w:sz w:val="20"/>
                      <w:szCs w:val="20"/>
                    </w:rPr>
                  </w:pPr>
                  <w:r>
                    <w:rPr>
                      <w:spacing w:val="5"/>
                      <w:sz w:val="20"/>
                      <w:szCs w:val="20"/>
                    </w:rPr>
                    <w:t>厂界北侧</w:t>
                  </w:r>
                  <w:r>
                    <w:rPr>
                      <w:spacing w:val="-41"/>
                      <w:sz w:val="20"/>
                      <w:szCs w:val="20"/>
                    </w:rPr>
                    <w:t xml:space="preserve"> </w:t>
                  </w:r>
                  <w:r>
                    <w:rPr>
                      <w:rFonts w:ascii="Calibri" w:hAnsi="Calibri" w:eastAsia="Calibri" w:cs="Calibri"/>
                      <w:spacing w:val="5"/>
                      <w:sz w:val="20"/>
                      <w:szCs w:val="20"/>
                    </w:rPr>
                    <w:t>4#</w:t>
                  </w:r>
                </w:p>
              </w:tc>
              <w:tc>
                <w:tcPr>
                  <w:tcW w:w="1350" w:type="dxa"/>
                  <w:vMerge w:val="continue"/>
                  <w:tcBorders>
                    <w:top w:val="nil"/>
                    <w:bottom w:val="nil"/>
                  </w:tcBorders>
                  <w:vAlign w:val="top"/>
                </w:tcPr>
                <w:p w14:paraId="4FB422AC">
                  <w:pPr>
                    <w:rPr>
                      <w:rFonts w:ascii="Arial"/>
                      <w:sz w:val="21"/>
                    </w:rPr>
                  </w:pPr>
                </w:p>
              </w:tc>
              <w:tc>
                <w:tcPr>
                  <w:tcW w:w="1185" w:type="dxa"/>
                  <w:tcBorders>
                    <w:bottom w:val="nil"/>
                  </w:tcBorders>
                  <w:vAlign w:val="top"/>
                </w:tcPr>
                <w:p w14:paraId="05549B1D">
                  <w:pPr>
                    <w:spacing w:before="158" w:line="186" w:lineRule="auto"/>
                    <w:ind w:left="366"/>
                    <w:rPr>
                      <w:rFonts w:ascii="Calibri" w:hAnsi="Calibri" w:eastAsia="Calibri" w:cs="Calibri"/>
                      <w:sz w:val="20"/>
                      <w:szCs w:val="20"/>
                    </w:rPr>
                  </w:pPr>
                  <w:r>
                    <w:rPr>
                      <w:rFonts w:ascii="Calibri" w:hAnsi="Calibri" w:eastAsia="Calibri" w:cs="Calibri"/>
                      <w:sz w:val="20"/>
                      <w:szCs w:val="20"/>
                    </w:rPr>
                    <w:t>10:55</w:t>
                  </w:r>
                </w:p>
              </w:tc>
              <w:tc>
                <w:tcPr>
                  <w:tcW w:w="1245" w:type="dxa"/>
                  <w:tcBorders>
                    <w:bottom w:val="nil"/>
                  </w:tcBorders>
                  <w:vAlign w:val="top"/>
                </w:tcPr>
                <w:p w14:paraId="69482AE3">
                  <w:pPr>
                    <w:spacing w:before="158" w:line="186" w:lineRule="auto"/>
                    <w:ind w:left="524"/>
                    <w:rPr>
                      <w:rFonts w:ascii="Calibri" w:hAnsi="Calibri" w:eastAsia="Calibri" w:cs="Calibri"/>
                      <w:sz w:val="20"/>
                      <w:szCs w:val="20"/>
                    </w:rPr>
                  </w:pPr>
                  <w:r>
                    <w:rPr>
                      <w:rFonts w:ascii="Calibri" w:hAnsi="Calibri" w:eastAsia="Calibri" w:cs="Calibri"/>
                      <w:spacing w:val="-1"/>
                      <w:sz w:val="20"/>
                      <w:szCs w:val="20"/>
                    </w:rPr>
                    <w:t>58</w:t>
                  </w:r>
                </w:p>
              </w:tc>
              <w:tc>
                <w:tcPr>
                  <w:tcW w:w="1335" w:type="dxa"/>
                  <w:tcBorders>
                    <w:bottom w:val="nil"/>
                  </w:tcBorders>
                  <w:vAlign w:val="top"/>
                </w:tcPr>
                <w:p w14:paraId="69B4EB42">
                  <w:pPr>
                    <w:spacing w:before="158" w:line="186" w:lineRule="auto"/>
                    <w:ind w:left="435"/>
                    <w:rPr>
                      <w:rFonts w:ascii="Calibri" w:hAnsi="Calibri" w:eastAsia="Calibri" w:cs="Calibri"/>
                      <w:sz w:val="20"/>
                      <w:szCs w:val="20"/>
                    </w:rPr>
                  </w:pPr>
                  <w:r>
                    <w:rPr>
                      <w:rFonts w:ascii="Calibri" w:hAnsi="Calibri" w:eastAsia="Calibri" w:cs="Calibri"/>
                      <w:spacing w:val="1"/>
                      <w:sz w:val="20"/>
                      <w:szCs w:val="20"/>
                    </w:rPr>
                    <w:t>22:44</w:t>
                  </w:r>
                </w:p>
              </w:tc>
              <w:tc>
                <w:tcPr>
                  <w:tcW w:w="1103" w:type="dxa"/>
                  <w:tcBorders>
                    <w:bottom w:val="nil"/>
                    <w:right w:val="nil"/>
                  </w:tcBorders>
                  <w:vAlign w:val="top"/>
                </w:tcPr>
                <w:p w14:paraId="1050396B">
                  <w:pPr>
                    <w:spacing w:before="159" w:line="185" w:lineRule="auto"/>
                    <w:ind w:left="447"/>
                    <w:rPr>
                      <w:rFonts w:ascii="Calibri" w:hAnsi="Calibri" w:eastAsia="Calibri" w:cs="Calibri"/>
                      <w:sz w:val="20"/>
                      <w:szCs w:val="20"/>
                    </w:rPr>
                  </w:pPr>
                  <w:r>
                    <w:rPr>
                      <w:rFonts w:ascii="Calibri" w:hAnsi="Calibri" w:eastAsia="Calibri" w:cs="Calibri"/>
                      <w:spacing w:val="1"/>
                      <w:sz w:val="20"/>
                      <w:szCs w:val="20"/>
                    </w:rPr>
                    <w:t>45</w:t>
                  </w:r>
                </w:p>
              </w:tc>
            </w:tr>
          </w:tbl>
          <w:p w14:paraId="61C9BECA">
            <w:pPr>
              <w:spacing w:line="14" w:lineRule="auto"/>
              <w:rPr>
                <w:rFonts w:ascii="Arial"/>
                <w:sz w:val="2"/>
              </w:rPr>
            </w:pPr>
          </w:p>
        </w:tc>
      </w:tr>
    </w:tbl>
    <w:p w14:paraId="4F335B96">
      <w:pPr>
        <w:pStyle w:val="2"/>
      </w:pPr>
    </w:p>
    <w:p w14:paraId="7146440D">
      <w:pPr>
        <w:sectPr>
          <w:footerReference r:id="rId57" w:type="default"/>
          <w:pgSz w:w="11906" w:h="16839"/>
          <w:pgMar w:top="1270" w:right="1266" w:bottom="1263" w:left="1265" w:header="0" w:footer="1097" w:gutter="0"/>
          <w:cols w:space="720" w:num="1"/>
        </w:sectPr>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287FCEE7">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102" w:hRule="atLeast"/>
        </w:trPr>
        <w:tc>
          <w:tcPr>
            <w:tcW w:w="471" w:type="dxa"/>
            <w:tcBorders>
              <w:right w:val="single" w:color="000000" w:sz="2" w:space="0"/>
            </w:tcBorders>
            <w:vAlign w:val="top"/>
          </w:tcPr>
          <w:p w14:paraId="32247F3D">
            <w:pPr>
              <w:rPr>
                <w:rFonts w:ascii="Arial"/>
                <w:sz w:val="21"/>
              </w:rPr>
            </w:pPr>
          </w:p>
        </w:tc>
        <w:tc>
          <w:tcPr>
            <w:tcW w:w="8877" w:type="dxa"/>
            <w:tcBorders>
              <w:left w:val="single" w:color="000000" w:sz="2" w:space="0"/>
            </w:tcBorders>
            <w:vAlign w:val="top"/>
          </w:tcPr>
          <w:p w14:paraId="1367EC00">
            <w:pPr>
              <w:spacing w:line="52" w:lineRule="auto"/>
              <w:rPr>
                <w:rFonts w:ascii="Arial"/>
                <w:sz w:val="2"/>
              </w:rPr>
            </w:pPr>
          </w:p>
          <w:tbl>
            <w:tblPr>
              <w:tblStyle w:val="5"/>
              <w:tblW w:w="7962" w:type="dxa"/>
              <w:tblInd w:w="4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094"/>
              <w:gridCol w:w="2430"/>
              <w:gridCol w:w="2438"/>
            </w:tblGrid>
            <w:tr w14:paraId="3B8870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4" w:hRule="atLeast"/>
              </w:trPr>
              <w:tc>
                <w:tcPr>
                  <w:tcW w:w="3094" w:type="dxa"/>
                  <w:tcBorders>
                    <w:top w:val="nil"/>
                    <w:left w:val="nil"/>
                  </w:tcBorders>
                  <w:vAlign w:val="top"/>
                </w:tcPr>
                <w:p w14:paraId="72EE21C8">
                  <w:pPr>
                    <w:pStyle w:val="6"/>
                    <w:spacing w:before="86" w:line="270" w:lineRule="auto"/>
                    <w:ind w:left="117" w:right="143" w:firstLine="76"/>
                    <w:jc w:val="both"/>
                    <w:rPr>
                      <w:sz w:val="20"/>
                      <w:szCs w:val="20"/>
                    </w:rPr>
                  </w:pPr>
                  <w:r>
                    <w:rPr>
                      <w:spacing w:val="8"/>
                      <w:sz w:val="20"/>
                      <w:szCs w:val="20"/>
                    </w:rPr>
                    <w:t>《工业企业厂界环境噪声排放</w:t>
                  </w:r>
                  <w:r>
                    <w:rPr>
                      <w:spacing w:val="10"/>
                      <w:sz w:val="20"/>
                      <w:szCs w:val="20"/>
                    </w:rPr>
                    <w:t xml:space="preserve"> </w:t>
                  </w:r>
                  <w:r>
                    <w:rPr>
                      <w:spacing w:val="4"/>
                      <w:sz w:val="20"/>
                      <w:szCs w:val="20"/>
                    </w:rPr>
                    <w:t>标准》（</w:t>
                  </w:r>
                  <w:r>
                    <w:rPr>
                      <w:rFonts w:ascii="Calibri" w:hAnsi="Calibri" w:eastAsia="Calibri" w:cs="Calibri"/>
                      <w:sz w:val="20"/>
                      <w:szCs w:val="20"/>
                    </w:rPr>
                    <w:t>GB</w:t>
                  </w:r>
                  <w:r>
                    <w:rPr>
                      <w:rFonts w:ascii="Calibri" w:hAnsi="Calibri" w:eastAsia="Calibri" w:cs="Calibri"/>
                      <w:spacing w:val="4"/>
                      <w:sz w:val="20"/>
                      <w:szCs w:val="20"/>
                    </w:rPr>
                    <w:t>12348-2008</w:t>
                  </w:r>
                  <w:r>
                    <w:rPr>
                      <w:spacing w:val="4"/>
                      <w:sz w:val="20"/>
                      <w:szCs w:val="20"/>
                    </w:rPr>
                    <w:t>）表</w:t>
                  </w:r>
                  <w:r>
                    <w:rPr>
                      <w:spacing w:val="-14"/>
                      <w:sz w:val="20"/>
                      <w:szCs w:val="20"/>
                    </w:rPr>
                    <w:t xml:space="preserve"> </w:t>
                  </w:r>
                  <w:r>
                    <w:rPr>
                      <w:rFonts w:ascii="Calibri" w:hAnsi="Calibri" w:eastAsia="Calibri" w:cs="Calibri"/>
                      <w:spacing w:val="4"/>
                      <w:sz w:val="20"/>
                      <w:szCs w:val="20"/>
                    </w:rPr>
                    <w:t>1</w:t>
                  </w:r>
                  <w:r>
                    <w:rPr>
                      <w:rFonts w:ascii="Calibri" w:hAnsi="Calibri" w:eastAsia="Calibri" w:cs="Calibri"/>
                      <w:spacing w:val="14"/>
                      <w:w w:val="102"/>
                      <w:sz w:val="20"/>
                      <w:szCs w:val="20"/>
                    </w:rPr>
                    <w:t xml:space="preserve"> </w:t>
                  </w:r>
                  <w:r>
                    <w:rPr>
                      <w:rFonts w:ascii="Calibri" w:hAnsi="Calibri" w:eastAsia="Calibri" w:cs="Calibri"/>
                      <w:spacing w:val="4"/>
                      <w:sz w:val="20"/>
                      <w:szCs w:val="20"/>
                    </w:rPr>
                    <w:t>2</w:t>
                  </w:r>
                  <w:r>
                    <w:rPr>
                      <w:rFonts w:ascii="Calibri" w:hAnsi="Calibri" w:eastAsia="Calibri" w:cs="Calibri"/>
                      <w:sz w:val="20"/>
                      <w:szCs w:val="20"/>
                    </w:rPr>
                    <w:t xml:space="preserve"> </w:t>
                  </w:r>
                  <w:r>
                    <w:rPr>
                      <w:spacing w:val="14"/>
                      <w:sz w:val="20"/>
                      <w:szCs w:val="20"/>
                    </w:rPr>
                    <w:t>类工业企业环境噪声排放限值</w:t>
                  </w:r>
                </w:p>
              </w:tc>
              <w:tc>
                <w:tcPr>
                  <w:tcW w:w="2430" w:type="dxa"/>
                  <w:tcBorders>
                    <w:top w:val="nil"/>
                  </w:tcBorders>
                  <w:vAlign w:val="top"/>
                </w:tcPr>
                <w:p w14:paraId="63039896">
                  <w:pPr>
                    <w:spacing w:line="388" w:lineRule="auto"/>
                    <w:rPr>
                      <w:rFonts w:ascii="Arial"/>
                      <w:sz w:val="21"/>
                    </w:rPr>
                  </w:pPr>
                </w:p>
                <w:p w14:paraId="7A010254">
                  <w:pPr>
                    <w:spacing w:before="61" w:line="186" w:lineRule="auto"/>
                    <w:ind w:left="1115"/>
                    <w:rPr>
                      <w:rFonts w:ascii="Calibri" w:hAnsi="Calibri" w:eastAsia="Calibri" w:cs="Calibri"/>
                      <w:sz w:val="20"/>
                      <w:szCs w:val="20"/>
                    </w:rPr>
                  </w:pPr>
                  <w:r>
                    <w:rPr>
                      <w:rFonts w:ascii="Calibri" w:hAnsi="Calibri" w:eastAsia="Calibri" w:cs="Calibri"/>
                      <w:spacing w:val="-2"/>
                      <w:sz w:val="20"/>
                      <w:szCs w:val="20"/>
                    </w:rPr>
                    <w:t>60</w:t>
                  </w:r>
                </w:p>
              </w:tc>
              <w:tc>
                <w:tcPr>
                  <w:tcW w:w="2438" w:type="dxa"/>
                  <w:tcBorders>
                    <w:top w:val="nil"/>
                    <w:right w:val="nil"/>
                  </w:tcBorders>
                  <w:vAlign w:val="top"/>
                </w:tcPr>
                <w:p w14:paraId="68A9A609">
                  <w:pPr>
                    <w:spacing w:line="388" w:lineRule="auto"/>
                    <w:rPr>
                      <w:rFonts w:ascii="Arial"/>
                      <w:sz w:val="21"/>
                    </w:rPr>
                  </w:pPr>
                </w:p>
                <w:p w14:paraId="56B9367A">
                  <w:pPr>
                    <w:spacing w:before="61" w:line="186" w:lineRule="auto"/>
                    <w:ind w:left="1120"/>
                    <w:rPr>
                      <w:rFonts w:ascii="Calibri" w:hAnsi="Calibri" w:eastAsia="Calibri" w:cs="Calibri"/>
                      <w:sz w:val="20"/>
                      <w:szCs w:val="20"/>
                    </w:rPr>
                  </w:pPr>
                  <w:r>
                    <w:rPr>
                      <w:rFonts w:ascii="Calibri" w:hAnsi="Calibri" w:eastAsia="Calibri" w:cs="Calibri"/>
                      <w:spacing w:val="-1"/>
                      <w:sz w:val="20"/>
                      <w:szCs w:val="20"/>
                    </w:rPr>
                    <w:t>50</w:t>
                  </w:r>
                </w:p>
              </w:tc>
            </w:tr>
          </w:tbl>
          <w:p w14:paraId="0EB353D4">
            <w:pPr>
              <w:pStyle w:val="6"/>
              <w:spacing w:before="34" w:line="347" w:lineRule="auto"/>
              <w:ind w:left="114" w:right="111" w:firstLine="471"/>
            </w:pPr>
            <w:r>
              <w:rPr>
                <w:spacing w:val="30"/>
              </w:rPr>
              <w:t>厂界噪声监测点噪声监测值满足《</w:t>
            </w:r>
            <w:r>
              <w:rPr>
                <w:spacing w:val="-48"/>
              </w:rPr>
              <w:t xml:space="preserve"> </w:t>
            </w:r>
            <w:r>
              <w:rPr>
                <w:spacing w:val="30"/>
              </w:rPr>
              <w:t>工业企业厂界</w:t>
            </w:r>
            <w:r>
              <w:rPr>
                <w:spacing w:val="29"/>
              </w:rPr>
              <w:t>环境噪声排放标准》</w:t>
            </w:r>
            <w:r>
              <w:t xml:space="preserve"> </w:t>
            </w:r>
            <w:r>
              <w:rPr>
                <w:spacing w:val="-2"/>
              </w:rPr>
              <w:t>（</w:t>
            </w:r>
            <w:r>
              <w:rPr>
                <w:rFonts w:ascii="Calibri" w:hAnsi="Calibri" w:eastAsia="Calibri" w:cs="Calibri"/>
                <w:spacing w:val="-2"/>
              </w:rPr>
              <w:t>GB12348-2008</w:t>
            </w:r>
            <w:r>
              <w:rPr>
                <w:spacing w:val="-2"/>
              </w:rPr>
              <w:t>）中</w:t>
            </w:r>
            <w:r>
              <w:rPr>
                <w:spacing w:val="-47"/>
              </w:rPr>
              <w:t xml:space="preserve"> </w:t>
            </w:r>
            <w:r>
              <w:rPr>
                <w:rFonts w:ascii="Calibri" w:hAnsi="Calibri" w:eastAsia="Calibri" w:cs="Calibri"/>
                <w:spacing w:val="-2"/>
              </w:rPr>
              <w:t>2</w:t>
            </w:r>
            <w:r>
              <w:rPr>
                <w:rFonts w:ascii="Calibri" w:hAnsi="Calibri" w:eastAsia="Calibri" w:cs="Calibri"/>
                <w:spacing w:val="17"/>
              </w:rPr>
              <w:t xml:space="preserve"> </w:t>
            </w:r>
            <w:r>
              <w:rPr>
                <w:spacing w:val="-2"/>
              </w:rPr>
              <w:t>类标准限</w:t>
            </w:r>
            <w:r>
              <w:rPr>
                <w:spacing w:val="-3"/>
              </w:rPr>
              <w:t>值。</w:t>
            </w:r>
          </w:p>
          <w:p w14:paraId="33C4395D">
            <w:pPr>
              <w:pStyle w:val="6"/>
              <w:spacing w:before="123" w:line="219" w:lineRule="auto"/>
              <w:ind w:left="582"/>
              <w:outlineLvl w:val="1"/>
            </w:pPr>
            <w:r>
              <w:rPr>
                <w:b/>
                <w:bCs/>
                <w:spacing w:val="-4"/>
              </w:rPr>
              <w:t>4、地下水</w:t>
            </w:r>
          </w:p>
          <w:p w14:paraId="0498A96A">
            <w:pPr>
              <w:pStyle w:val="6"/>
              <w:spacing w:before="114" w:line="354" w:lineRule="auto"/>
              <w:ind w:left="104" w:right="96" w:firstLine="479"/>
              <w:jc w:val="both"/>
            </w:pPr>
            <w:r>
              <w:rPr>
                <w:spacing w:val="2"/>
              </w:rPr>
              <w:t>根据《建设项目环境影响报告表编制技术指南（</w:t>
            </w:r>
            <w:r>
              <w:rPr>
                <w:spacing w:val="1"/>
              </w:rPr>
              <w:t>污染影响类</w:t>
            </w:r>
            <w:r>
              <w:rPr>
                <w:spacing w:val="-17"/>
              </w:rPr>
              <w:t>）（</w:t>
            </w:r>
            <w:r>
              <w:rPr>
                <w:spacing w:val="1"/>
              </w:rPr>
              <w:t>试行）》，地 下水、土壤环境原则上不开展环境质量现状</w:t>
            </w:r>
            <w:r>
              <w:t xml:space="preserve">调查，建设项目存在土壤、地下水环境 </w:t>
            </w:r>
            <w:r>
              <w:rPr>
                <w:spacing w:val="1"/>
              </w:rPr>
              <w:t>污染途径的，应结合污染源、保护目标分布</w:t>
            </w:r>
            <w:r>
              <w:t xml:space="preserve">情况开展现状调查以留作背景值。故本 </w:t>
            </w:r>
            <w:r>
              <w:rPr>
                <w:spacing w:val="1"/>
              </w:rPr>
              <w:t>次评价结合厂区周边现有水井位置开展地下</w:t>
            </w:r>
            <w:r>
              <w:t xml:space="preserve">水现状监测，委托黑龙江永青环保科技 </w:t>
            </w:r>
            <w:r>
              <w:rPr>
                <w:spacing w:val="-5"/>
              </w:rPr>
              <w:t>有限公司于</w:t>
            </w:r>
            <w:r>
              <w:rPr>
                <w:spacing w:val="-47"/>
              </w:rPr>
              <w:t xml:space="preserve"> </w:t>
            </w:r>
            <w:r>
              <w:rPr>
                <w:rFonts w:ascii="Calibri" w:hAnsi="Calibri" w:eastAsia="Calibri" w:cs="Calibri"/>
                <w:spacing w:val="-5"/>
              </w:rPr>
              <w:t>2024</w:t>
            </w:r>
            <w:r>
              <w:rPr>
                <w:rFonts w:ascii="Calibri" w:hAnsi="Calibri" w:eastAsia="Calibri" w:cs="Calibri"/>
                <w:spacing w:val="15"/>
              </w:rPr>
              <w:t xml:space="preserve"> </w:t>
            </w:r>
            <w:r>
              <w:rPr>
                <w:spacing w:val="-5"/>
              </w:rPr>
              <w:t>年</w:t>
            </w:r>
            <w:r>
              <w:rPr>
                <w:spacing w:val="-49"/>
              </w:rPr>
              <w:t xml:space="preserve"> </w:t>
            </w:r>
            <w:r>
              <w:rPr>
                <w:rFonts w:ascii="Calibri" w:hAnsi="Calibri" w:eastAsia="Calibri" w:cs="Calibri"/>
                <w:spacing w:val="-5"/>
              </w:rPr>
              <w:t>7</w:t>
            </w:r>
            <w:r>
              <w:rPr>
                <w:rFonts w:ascii="Calibri" w:hAnsi="Calibri" w:eastAsia="Calibri" w:cs="Calibri"/>
                <w:spacing w:val="20"/>
              </w:rPr>
              <w:t xml:space="preserve"> </w:t>
            </w:r>
            <w:r>
              <w:rPr>
                <w:spacing w:val="-5"/>
              </w:rPr>
              <w:t>月</w:t>
            </w:r>
            <w:r>
              <w:rPr>
                <w:spacing w:val="-47"/>
              </w:rPr>
              <w:t xml:space="preserve"> </w:t>
            </w:r>
            <w:r>
              <w:rPr>
                <w:rFonts w:ascii="Calibri" w:hAnsi="Calibri" w:eastAsia="Calibri" w:cs="Calibri"/>
                <w:spacing w:val="-5"/>
              </w:rPr>
              <w:t xml:space="preserve">22  </w:t>
            </w:r>
            <w:r>
              <w:rPr>
                <w:spacing w:val="-5"/>
              </w:rPr>
              <w:t>日开展</w:t>
            </w:r>
            <w:r>
              <w:rPr>
                <w:spacing w:val="-39"/>
              </w:rPr>
              <w:t xml:space="preserve"> </w:t>
            </w:r>
            <w:r>
              <w:rPr>
                <w:rFonts w:ascii="Calibri" w:hAnsi="Calibri" w:eastAsia="Calibri" w:cs="Calibri"/>
                <w:spacing w:val="-5"/>
              </w:rPr>
              <w:t>1</w:t>
            </w:r>
            <w:r>
              <w:rPr>
                <w:rFonts w:ascii="Calibri" w:hAnsi="Calibri" w:eastAsia="Calibri" w:cs="Calibri"/>
                <w:spacing w:val="22"/>
                <w:w w:val="101"/>
              </w:rPr>
              <w:t xml:space="preserve"> </w:t>
            </w:r>
            <w:r>
              <w:rPr>
                <w:spacing w:val="-5"/>
              </w:rPr>
              <w:t>次地下</w:t>
            </w:r>
            <w:r>
              <w:rPr>
                <w:spacing w:val="-6"/>
              </w:rPr>
              <w:t>水背景值监测。</w:t>
            </w:r>
          </w:p>
          <w:p w14:paraId="3A3528B3">
            <w:pPr>
              <w:pStyle w:val="6"/>
              <w:spacing w:before="112" w:line="219" w:lineRule="auto"/>
              <w:ind w:left="2022"/>
            </w:pPr>
            <w:r>
              <w:rPr>
                <w:b/>
                <w:bCs/>
                <w:spacing w:val="-3"/>
              </w:rPr>
              <w:t>表</w:t>
            </w:r>
            <w:r>
              <w:rPr>
                <w:spacing w:val="-35"/>
              </w:rPr>
              <w:t xml:space="preserve"> </w:t>
            </w:r>
            <w:r>
              <w:rPr>
                <w:b/>
                <w:bCs/>
                <w:spacing w:val="-3"/>
              </w:rPr>
              <w:t>3-4</w:t>
            </w:r>
            <w:r>
              <w:rPr>
                <w:spacing w:val="-3"/>
              </w:rPr>
              <w:t xml:space="preserve">     </w:t>
            </w:r>
            <w:r>
              <w:rPr>
                <w:b/>
                <w:bCs/>
                <w:spacing w:val="-3"/>
              </w:rPr>
              <w:t>地下水监测点信息</w:t>
            </w:r>
          </w:p>
          <w:p w14:paraId="25A31C6C">
            <w:pPr>
              <w:spacing w:line="68" w:lineRule="exact"/>
            </w:pPr>
          </w:p>
          <w:tbl>
            <w:tblPr>
              <w:tblStyle w:val="5"/>
              <w:tblW w:w="8238" w:type="dxa"/>
              <w:tblInd w:w="31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0"/>
              <w:gridCol w:w="3870"/>
              <w:gridCol w:w="1987"/>
              <w:gridCol w:w="1481"/>
            </w:tblGrid>
            <w:tr w14:paraId="63268E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6" w:hRule="atLeast"/>
              </w:trPr>
              <w:tc>
                <w:tcPr>
                  <w:tcW w:w="900" w:type="dxa"/>
                  <w:tcBorders>
                    <w:top w:val="single" w:color="000000" w:sz="10" w:space="0"/>
                    <w:left w:val="nil"/>
                  </w:tcBorders>
                  <w:vAlign w:val="top"/>
                </w:tcPr>
                <w:p w14:paraId="760F0C14">
                  <w:pPr>
                    <w:pStyle w:val="6"/>
                    <w:spacing w:before="81" w:line="216" w:lineRule="auto"/>
                    <w:ind w:left="249"/>
                    <w:rPr>
                      <w:sz w:val="20"/>
                      <w:szCs w:val="20"/>
                    </w:rPr>
                  </w:pPr>
                  <w:r>
                    <w:rPr>
                      <w:b/>
                      <w:bCs/>
                      <w:spacing w:val="3"/>
                      <w:sz w:val="20"/>
                      <w:szCs w:val="20"/>
                    </w:rPr>
                    <w:t>编号</w:t>
                  </w:r>
                </w:p>
              </w:tc>
              <w:tc>
                <w:tcPr>
                  <w:tcW w:w="3870" w:type="dxa"/>
                  <w:tcBorders>
                    <w:top w:val="single" w:color="000000" w:sz="10" w:space="0"/>
                  </w:tcBorders>
                  <w:vAlign w:val="top"/>
                </w:tcPr>
                <w:p w14:paraId="3453D795">
                  <w:pPr>
                    <w:pStyle w:val="6"/>
                    <w:spacing w:before="81" w:line="216" w:lineRule="auto"/>
                    <w:ind w:left="1514"/>
                    <w:rPr>
                      <w:sz w:val="20"/>
                      <w:szCs w:val="20"/>
                    </w:rPr>
                  </w:pPr>
                  <w:r>
                    <w:rPr>
                      <w:b/>
                      <w:bCs/>
                      <w:spacing w:val="6"/>
                      <w:sz w:val="20"/>
                      <w:szCs w:val="20"/>
                    </w:rPr>
                    <w:t>布点位置</w:t>
                  </w:r>
                </w:p>
              </w:tc>
              <w:tc>
                <w:tcPr>
                  <w:tcW w:w="1987" w:type="dxa"/>
                  <w:tcBorders>
                    <w:top w:val="single" w:color="000000" w:sz="10" w:space="0"/>
                  </w:tcBorders>
                  <w:vAlign w:val="top"/>
                </w:tcPr>
                <w:p w14:paraId="10F61B1E">
                  <w:pPr>
                    <w:pStyle w:val="6"/>
                    <w:spacing w:before="81" w:line="216" w:lineRule="auto"/>
                    <w:ind w:left="573"/>
                    <w:rPr>
                      <w:sz w:val="20"/>
                      <w:szCs w:val="20"/>
                    </w:rPr>
                  </w:pPr>
                  <w:r>
                    <w:rPr>
                      <w:b/>
                      <w:bCs/>
                      <w:spacing w:val="6"/>
                      <w:sz w:val="20"/>
                      <w:szCs w:val="20"/>
                    </w:rPr>
                    <w:t>监测指标</w:t>
                  </w:r>
                </w:p>
              </w:tc>
              <w:tc>
                <w:tcPr>
                  <w:tcW w:w="1481" w:type="dxa"/>
                  <w:tcBorders>
                    <w:top w:val="single" w:color="000000" w:sz="10" w:space="0"/>
                    <w:right w:val="nil"/>
                  </w:tcBorders>
                  <w:vAlign w:val="top"/>
                </w:tcPr>
                <w:p w14:paraId="74A0FA4A">
                  <w:pPr>
                    <w:pStyle w:val="6"/>
                    <w:spacing w:before="81" w:line="216" w:lineRule="auto"/>
                    <w:ind w:left="319"/>
                    <w:rPr>
                      <w:sz w:val="20"/>
                      <w:szCs w:val="20"/>
                    </w:rPr>
                  </w:pPr>
                  <w:r>
                    <w:rPr>
                      <w:b/>
                      <w:bCs/>
                      <w:spacing w:val="6"/>
                      <w:sz w:val="20"/>
                      <w:szCs w:val="20"/>
                    </w:rPr>
                    <w:t>监测种类</w:t>
                  </w:r>
                </w:p>
              </w:tc>
            </w:tr>
            <w:tr w14:paraId="795611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7" w:hRule="atLeast"/>
              </w:trPr>
              <w:tc>
                <w:tcPr>
                  <w:tcW w:w="900" w:type="dxa"/>
                  <w:tcBorders>
                    <w:left w:val="nil"/>
                    <w:bottom w:val="single" w:color="000000" w:sz="10" w:space="0"/>
                  </w:tcBorders>
                  <w:vAlign w:val="top"/>
                </w:tcPr>
                <w:p w14:paraId="74F79843">
                  <w:pPr>
                    <w:spacing w:before="285" w:line="185" w:lineRule="auto"/>
                    <w:ind w:left="360"/>
                    <w:rPr>
                      <w:rFonts w:ascii="Calibri" w:hAnsi="Calibri" w:eastAsia="Calibri" w:cs="Calibri"/>
                      <w:sz w:val="20"/>
                      <w:szCs w:val="20"/>
                    </w:rPr>
                  </w:pPr>
                  <w:r>
                    <w:rPr>
                      <w:rFonts w:ascii="Calibri" w:hAnsi="Calibri" w:eastAsia="Calibri" w:cs="Calibri"/>
                      <w:spacing w:val="-5"/>
                      <w:sz w:val="20"/>
                      <w:szCs w:val="20"/>
                    </w:rPr>
                    <w:t>1#</w:t>
                  </w:r>
                </w:p>
              </w:tc>
              <w:tc>
                <w:tcPr>
                  <w:tcW w:w="3870" w:type="dxa"/>
                  <w:tcBorders>
                    <w:bottom w:val="single" w:color="000000" w:sz="10" w:space="0"/>
                  </w:tcBorders>
                  <w:vAlign w:val="top"/>
                </w:tcPr>
                <w:p w14:paraId="19F8FF19">
                  <w:pPr>
                    <w:pStyle w:val="6"/>
                    <w:spacing w:before="80" w:line="257" w:lineRule="auto"/>
                    <w:ind w:left="510" w:right="368" w:hanging="133"/>
                    <w:rPr>
                      <w:sz w:val="20"/>
                      <w:szCs w:val="20"/>
                    </w:rPr>
                  </w:pPr>
                  <w:r>
                    <w:rPr>
                      <w:spacing w:val="2"/>
                      <w:sz w:val="20"/>
                      <w:szCs w:val="20"/>
                    </w:rPr>
                    <w:t>厂区东侧地下水监测井</w:t>
                  </w:r>
                  <w:r>
                    <w:rPr>
                      <w:spacing w:val="-17"/>
                      <w:sz w:val="20"/>
                      <w:szCs w:val="20"/>
                    </w:rPr>
                    <w:t xml:space="preserve"> </w:t>
                  </w:r>
                  <w:r>
                    <w:rPr>
                      <w:rFonts w:ascii="Calibri" w:hAnsi="Calibri" w:eastAsia="Calibri" w:cs="Calibri"/>
                      <w:spacing w:val="2"/>
                      <w:sz w:val="20"/>
                      <w:szCs w:val="20"/>
                    </w:rPr>
                    <w:t>E124°</w:t>
                  </w:r>
                  <w:r>
                    <w:rPr>
                      <w:rFonts w:ascii="Calibri" w:hAnsi="Calibri" w:eastAsia="Calibri" w:cs="Calibri"/>
                      <w:spacing w:val="-28"/>
                      <w:sz w:val="20"/>
                      <w:szCs w:val="20"/>
                    </w:rPr>
                    <w:t xml:space="preserve"> </w:t>
                  </w:r>
                  <w:r>
                    <w:rPr>
                      <w:rFonts w:ascii="Calibri" w:hAnsi="Calibri" w:eastAsia="Calibri" w:cs="Calibri"/>
                      <w:spacing w:val="2"/>
                      <w:sz w:val="20"/>
                      <w:szCs w:val="20"/>
                    </w:rPr>
                    <w:t xml:space="preserve">.49 </w:t>
                  </w:r>
                  <w:r>
                    <w:rPr>
                      <w:spacing w:val="2"/>
                      <w:sz w:val="20"/>
                      <w:szCs w:val="20"/>
                    </w:rPr>
                    <w:t>′</w:t>
                  </w:r>
                  <w:r>
                    <w:rPr>
                      <w:sz w:val="20"/>
                      <w:szCs w:val="20"/>
                    </w:rPr>
                    <w:t xml:space="preserve"> </w:t>
                  </w:r>
                  <w:r>
                    <w:rPr>
                      <w:rFonts w:ascii="Calibri" w:hAnsi="Calibri" w:eastAsia="Calibri" w:cs="Calibri"/>
                      <w:spacing w:val="-2"/>
                      <w:sz w:val="20"/>
                      <w:szCs w:val="20"/>
                    </w:rPr>
                    <w:t xml:space="preserve">51.902 </w:t>
                  </w:r>
                  <w:r>
                    <w:rPr>
                      <w:spacing w:val="-2"/>
                      <w:sz w:val="20"/>
                      <w:szCs w:val="20"/>
                    </w:rPr>
                    <w:t>″</w:t>
                  </w:r>
                  <w:r>
                    <w:rPr>
                      <w:spacing w:val="-72"/>
                      <w:sz w:val="20"/>
                      <w:szCs w:val="20"/>
                    </w:rPr>
                    <w:t xml:space="preserve"> </w:t>
                  </w:r>
                  <w:r>
                    <w:rPr>
                      <w:spacing w:val="-2"/>
                      <w:sz w:val="20"/>
                      <w:szCs w:val="20"/>
                    </w:rPr>
                    <w:t>，</w:t>
                  </w:r>
                  <w:r>
                    <w:rPr>
                      <w:rFonts w:ascii="Calibri" w:hAnsi="Calibri" w:eastAsia="Calibri" w:cs="Calibri"/>
                      <w:spacing w:val="-2"/>
                      <w:sz w:val="20"/>
                      <w:szCs w:val="20"/>
                    </w:rPr>
                    <w:t xml:space="preserve">N47°09 </w:t>
                  </w:r>
                  <w:r>
                    <w:rPr>
                      <w:spacing w:val="-2"/>
                      <w:sz w:val="20"/>
                      <w:szCs w:val="20"/>
                    </w:rPr>
                    <w:t>′</w:t>
                  </w:r>
                  <w:r>
                    <w:rPr>
                      <w:rFonts w:ascii="Calibri" w:hAnsi="Calibri" w:eastAsia="Calibri" w:cs="Calibri"/>
                      <w:spacing w:val="-2"/>
                      <w:sz w:val="20"/>
                      <w:szCs w:val="20"/>
                    </w:rPr>
                    <w:t xml:space="preserve">29.998 </w:t>
                  </w:r>
                  <w:r>
                    <w:rPr>
                      <w:spacing w:val="-2"/>
                      <w:sz w:val="20"/>
                      <w:szCs w:val="20"/>
                    </w:rPr>
                    <w:t>″）</w:t>
                  </w:r>
                </w:p>
              </w:tc>
              <w:tc>
                <w:tcPr>
                  <w:tcW w:w="1987" w:type="dxa"/>
                  <w:tcBorders>
                    <w:bottom w:val="single" w:color="000000" w:sz="10" w:space="0"/>
                  </w:tcBorders>
                  <w:vAlign w:val="top"/>
                </w:tcPr>
                <w:p w14:paraId="49977AED">
                  <w:pPr>
                    <w:pStyle w:val="6"/>
                    <w:spacing w:before="80" w:line="257" w:lineRule="auto"/>
                    <w:ind w:left="368" w:right="199" w:hanging="163"/>
                    <w:rPr>
                      <w:sz w:val="20"/>
                      <w:szCs w:val="20"/>
                    </w:rPr>
                  </w:pPr>
                  <w:r>
                    <w:rPr>
                      <w:spacing w:val="8"/>
                      <w:sz w:val="20"/>
                      <w:szCs w:val="20"/>
                    </w:rPr>
                    <w:t>地下水化学指标</w:t>
                  </w:r>
                  <w:r>
                    <w:rPr>
                      <w:rFonts w:ascii="Calibri" w:hAnsi="Calibri" w:eastAsia="Calibri" w:cs="Calibri"/>
                      <w:spacing w:val="8"/>
                      <w:sz w:val="20"/>
                      <w:szCs w:val="20"/>
                    </w:rPr>
                    <w:t>+</w:t>
                  </w:r>
                  <w:r>
                    <w:rPr>
                      <w:rFonts w:ascii="Calibri" w:hAnsi="Calibri" w:eastAsia="Calibri" w:cs="Calibri"/>
                      <w:spacing w:val="2"/>
                      <w:sz w:val="20"/>
                      <w:szCs w:val="20"/>
                    </w:rPr>
                    <w:t xml:space="preserve"> </w:t>
                  </w:r>
                  <w:r>
                    <w:rPr>
                      <w:spacing w:val="7"/>
                      <w:sz w:val="20"/>
                      <w:szCs w:val="20"/>
                    </w:rPr>
                    <w:t>常规监测指标</w:t>
                  </w:r>
                </w:p>
              </w:tc>
              <w:tc>
                <w:tcPr>
                  <w:tcW w:w="1481" w:type="dxa"/>
                  <w:tcBorders>
                    <w:bottom w:val="single" w:color="000000" w:sz="10" w:space="0"/>
                    <w:right w:val="nil"/>
                  </w:tcBorders>
                  <w:vAlign w:val="top"/>
                </w:tcPr>
                <w:p w14:paraId="1AE906B0">
                  <w:pPr>
                    <w:pStyle w:val="6"/>
                    <w:spacing w:before="240" w:line="228" w:lineRule="auto"/>
                    <w:ind w:left="321"/>
                    <w:rPr>
                      <w:sz w:val="20"/>
                      <w:szCs w:val="20"/>
                    </w:rPr>
                  </w:pPr>
                  <w:r>
                    <w:rPr>
                      <w:spacing w:val="7"/>
                      <w:sz w:val="20"/>
                      <w:szCs w:val="20"/>
                    </w:rPr>
                    <w:t>监测水质</w:t>
                  </w:r>
                </w:p>
              </w:tc>
            </w:tr>
          </w:tbl>
          <w:p w14:paraId="3AC2C2EE">
            <w:pPr>
              <w:pStyle w:val="6"/>
              <w:spacing w:before="115" w:line="220" w:lineRule="auto"/>
              <w:ind w:left="594"/>
            </w:pPr>
            <w:r>
              <w:rPr>
                <w:spacing w:val="-3"/>
              </w:rPr>
              <w:t>（</w:t>
            </w:r>
            <w:r>
              <w:rPr>
                <w:rFonts w:ascii="Calibri" w:hAnsi="Calibri" w:eastAsia="Calibri" w:cs="Calibri"/>
                <w:spacing w:val="-3"/>
              </w:rPr>
              <w:t>2</w:t>
            </w:r>
            <w:r>
              <w:rPr>
                <w:spacing w:val="-3"/>
              </w:rPr>
              <w:t>）监测因子</w:t>
            </w:r>
          </w:p>
          <w:p w14:paraId="67D45090">
            <w:pPr>
              <w:pStyle w:val="6"/>
              <w:spacing w:before="183" w:line="219" w:lineRule="auto"/>
              <w:ind w:left="584"/>
            </w:pPr>
            <w:r>
              <w:rPr>
                <w:spacing w:val="-1"/>
              </w:rPr>
              <w:t>监测指标包括地下水化学指标，常规监测指标。</w:t>
            </w:r>
          </w:p>
          <w:p w14:paraId="24D8F896">
            <w:pPr>
              <w:pStyle w:val="6"/>
              <w:spacing w:before="183" w:line="341" w:lineRule="auto"/>
              <w:ind w:left="103" w:right="99" w:firstLine="480"/>
            </w:pPr>
            <w:r>
              <w:rPr>
                <w:spacing w:val="-1"/>
              </w:rPr>
              <w:t>地下水化学指标：</w:t>
            </w:r>
            <w:r>
              <w:rPr>
                <w:rFonts w:ascii="Calibri" w:hAnsi="Calibri" w:eastAsia="Calibri" w:cs="Calibri"/>
                <w:spacing w:val="-1"/>
              </w:rPr>
              <w:t>Na+</w:t>
            </w:r>
            <w:r>
              <w:rPr>
                <w:rFonts w:ascii="Calibri" w:hAnsi="Calibri" w:eastAsia="Calibri" w:cs="Calibri"/>
                <w:spacing w:val="-23"/>
              </w:rPr>
              <w:t xml:space="preserve"> </w:t>
            </w:r>
            <w:r>
              <w:rPr>
                <w:spacing w:val="-1"/>
              </w:rPr>
              <w:t>、</w:t>
            </w:r>
            <w:r>
              <w:rPr>
                <w:rFonts w:ascii="Calibri" w:hAnsi="Calibri" w:eastAsia="Calibri" w:cs="Calibri"/>
                <w:spacing w:val="-1"/>
              </w:rPr>
              <w:t>K+</w:t>
            </w:r>
            <w:r>
              <w:rPr>
                <w:rFonts w:ascii="Calibri" w:hAnsi="Calibri" w:eastAsia="Calibri" w:cs="Calibri"/>
                <w:spacing w:val="-22"/>
              </w:rPr>
              <w:t xml:space="preserve"> </w:t>
            </w:r>
            <w:r>
              <w:rPr>
                <w:spacing w:val="-1"/>
              </w:rPr>
              <w:t>、</w:t>
            </w:r>
            <w:r>
              <w:rPr>
                <w:rFonts w:ascii="Calibri" w:hAnsi="Calibri" w:eastAsia="Calibri" w:cs="Calibri"/>
                <w:spacing w:val="-1"/>
              </w:rPr>
              <w:t>Ca</w:t>
            </w:r>
            <w:r>
              <w:rPr>
                <w:rFonts w:ascii="Calibri" w:hAnsi="Calibri" w:eastAsia="Calibri" w:cs="Calibri"/>
                <w:spacing w:val="-1"/>
                <w:position w:val="7"/>
                <w:sz w:val="15"/>
                <w:szCs w:val="15"/>
              </w:rPr>
              <w:t>2+</w:t>
            </w:r>
            <w:r>
              <w:rPr>
                <w:rFonts w:ascii="Calibri" w:hAnsi="Calibri" w:eastAsia="Calibri" w:cs="Calibri"/>
                <w:spacing w:val="-7"/>
                <w:position w:val="7"/>
                <w:sz w:val="15"/>
                <w:szCs w:val="15"/>
              </w:rPr>
              <w:t xml:space="preserve"> </w:t>
            </w:r>
            <w:r>
              <w:rPr>
                <w:spacing w:val="-1"/>
              </w:rPr>
              <w:t>、</w:t>
            </w:r>
            <w:r>
              <w:rPr>
                <w:rFonts w:ascii="Calibri" w:hAnsi="Calibri" w:eastAsia="Calibri" w:cs="Calibri"/>
                <w:spacing w:val="-1"/>
              </w:rPr>
              <w:t>Mg</w:t>
            </w:r>
            <w:r>
              <w:rPr>
                <w:rFonts w:ascii="Calibri" w:hAnsi="Calibri" w:eastAsia="Calibri" w:cs="Calibri"/>
                <w:spacing w:val="-1"/>
                <w:position w:val="7"/>
                <w:sz w:val="15"/>
                <w:szCs w:val="15"/>
              </w:rPr>
              <w:t>2+</w:t>
            </w:r>
            <w:r>
              <w:rPr>
                <w:rFonts w:ascii="Calibri" w:hAnsi="Calibri" w:eastAsia="Calibri" w:cs="Calibri"/>
                <w:spacing w:val="-2"/>
                <w:position w:val="7"/>
                <w:sz w:val="15"/>
                <w:szCs w:val="15"/>
              </w:rPr>
              <w:t xml:space="preserve"> </w:t>
            </w:r>
            <w:r>
              <w:rPr>
                <w:spacing w:val="-2"/>
              </w:rPr>
              <w:t>、</w:t>
            </w:r>
            <w:r>
              <w:rPr>
                <w:rFonts w:ascii="Calibri" w:hAnsi="Calibri" w:eastAsia="Calibri" w:cs="Calibri"/>
                <w:spacing w:val="-2"/>
              </w:rPr>
              <w:t>CO</w:t>
            </w:r>
            <w:r>
              <w:rPr>
                <w:rFonts w:ascii="Calibri" w:hAnsi="Calibri" w:eastAsia="Calibri" w:cs="Calibri"/>
                <w:spacing w:val="-2"/>
                <w:position w:val="-2"/>
                <w:sz w:val="15"/>
                <w:szCs w:val="15"/>
              </w:rPr>
              <w:t>3</w:t>
            </w:r>
            <w:r>
              <w:rPr>
                <w:rFonts w:ascii="Calibri" w:hAnsi="Calibri" w:eastAsia="Calibri" w:cs="Calibri"/>
                <w:spacing w:val="-2"/>
                <w:position w:val="7"/>
                <w:sz w:val="15"/>
                <w:szCs w:val="15"/>
              </w:rPr>
              <w:t xml:space="preserve">2- </w:t>
            </w:r>
            <w:r>
              <w:rPr>
                <w:spacing w:val="-2"/>
              </w:rPr>
              <w:t>、</w:t>
            </w:r>
            <w:r>
              <w:rPr>
                <w:rFonts w:ascii="Calibri" w:hAnsi="Calibri" w:eastAsia="Calibri" w:cs="Calibri"/>
                <w:spacing w:val="-2"/>
              </w:rPr>
              <w:t>HCO</w:t>
            </w:r>
            <w:r>
              <w:rPr>
                <w:rFonts w:ascii="Calibri" w:hAnsi="Calibri" w:eastAsia="Calibri" w:cs="Calibri"/>
                <w:spacing w:val="-2"/>
                <w:position w:val="-2"/>
                <w:sz w:val="15"/>
                <w:szCs w:val="15"/>
              </w:rPr>
              <w:t>3</w:t>
            </w:r>
            <w:r>
              <w:rPr>
                <w:rFonts w:ascii="Calibri" w:hAnsi="Calibri" w:eastAsia="Calibri" w:cs="Calibri"/>
                <w:spacing w:val="-2"/>
                <w:position w:val="7"/>
                <w:sz w:val="15"/>
                <w:szCs w:val="15"/>
              </w:rPr>
              <w:t xml:space="preserve">- </w:t>
            </w:r>
            <w:r>
              <w:rPr>
                <w:spacing w:val="-2"/>
              </w:rPr>
              <w:t>、硫酸盐、氯化物，共</w:t>
            </w:r>
            <w:r>
              <w:t xml:space="preserve"> </w:t>
            </w:r>
            <w:r>
              <w:rPr>
                <w:spacing w:val="-9"/>
              </w:rPr>
              <w:t>计</w:t>
            </w:r>
            <w:r>
              <w:rPr>
                <w:spacing w:val="-48"/>
              </w:rPr>
              <w:t xml:space="preserve"> </w:t>
            </w:r>
            <w:r>
              <w:rPr>
                <w:rFonts w:ascii="Calibri" w:hAnsi="Calibri" w:eastAsia="Calibri" w:cs="Calibri"/>
                <w:spacing w:val="-9"/>
              </w:rPr>
              <w:t>8</w:t>
            </w:r>
            <w:r>
              <w:rPr>
                <w:rFonts w:ascii="Calibri" w:hAnsi="Calibri" w:eastAsia="Calibri" w:cs="Calibri"/>
                <w:spacing w:val="20"/>
              </w:rPr>
              <w:t xml:space="preserve"> </w:t>
            </w:r>
            <w:r>
              <w:rPr>
                <w:spacing w:val="-9"/>
              </w:rPr>
              <w:t>项；</w:t>
            </w:r>
          </w:p>
          <w:p w14:paraId="2F5963FB">
            <w:pPr>
              <w:pStyle w:val="6"/>
              <w:spacing w:before="50" w:line="349" w:lineRule="auto"/>
              <w:ind w:left="102" w:right="16" w:firstLine="486"/>
            </w:pPr>
            <w:r>
              <w:rPr>
                <w:spacing w:val="-6"/>
              </w:rPr>
              <w:t>常规监测指标：</w:t>
            </w:r>
            <w:r>
              <w:rPr>
                <w:rFonts w:ascii="Calibri" w:hAnsi="Calibri" w:eastAsia="Calibri" w:cs="Calibri"/>
                <w:spacing w:val="-6"/>
              </w:rPr>
              <w:t>pH</w:t>
            </w:r>
            <w:r>
              <w:rPr>
                <w:rFonts w:ascii="Calibri" w:hAnsi="Calibri" w:eastAsia="Calibri" w:cs="Calibri"/>
                <w:spacing w:val="-19"/>
              </w:rPr>
              <w:t xml:space="preserve"> </w:t>
            </w:r>
            <w:r>
              <w:rPr>
                <w:spacing w:val="-6"/>
              </w:rPr>
              <w:t>、氨氮、硝酸盐、亚硝酸盐、挥发性酚类、氰化物、砷、汞、</w:t>
            </w:r>
            <w:r>
              <w:t xml:space="preserve"> </w:t>
            </w:r>
            <w:r>
              <w:rPr>
                <w:spacing w:val="1"/>
              </w:rPr>
              <w:t>铬（六价）、总硬度、铅、氟化物、镉、铁、锰</w:t>
            </w:r>
            <w:r>
              <w:t xml:space="preserve">、溶解性总固体、耗氧量、菌落总 </w:t>
            </w:r>
            <w:r>
              <w:rPr>
                <w:spacing w:val="-1"/>
              </w:rPr>
              <w:t>数、总大肠菌群、石油类；</w:t>
            </w:r>
          </w:p>
          <w:p w14:paraId="24BD3988">
            <w:pPr>
              <w:pStyle w:val="6"/>
              <w:spacing w:before="41" w:line="219" w:lineRule="auto"/>
              <w:ind w:left="594"/>
            </w:pPr>
            <w:r>
              <w:rPr>
                <w:spacing w:val="-3"/>
              </w:rPr>
              <w:t>（</w:t>
            </w:r>
            <w:r>
              <w:rPr>
                <w:rFonts w:ascii="Calibri" w:hAnsi="Calibri" w:eastAsia="Calibri" w:cs="Calibri"/>
                <w:spacing w:val="-3"/>
              </w:rPr>
              <w:t>3</w:t>
            </w:r>
            <w:r>
              <w:rPr>
                <w:spacing w:val="-3"/>
              </w:rPr>
              <w:t>）采样时间、频率</w:t>
            </w:r>
          </w:p>
          <w:p w14:paraId="3677DADF">
            <w:pPr>
              <w:pStyle w:val="6"/>
              <w:spacing w:before="184" w:line="219" w:lineRule="auto"/>
              <w:ind w:left="583"/>
            </w:pPr>
            <w:r>
              <w:rPr>
                <w:spacing w:val="-6"/>
              </w:rPr>
              <w:t>地下水取样监测</w:t>
            </w:r>
            <w:r>
              <w:rPr>
                <w:spacing w:val="-32"/>
              </w:rPr>
              <w:t xml:space="preserve"> </w:t>
            </w:r>
            <w:r>
              <w:rPr>
                <w:rFonts w:ascii="Calibri" w:hAnsi="Calibri" w:eastAsia="Calibri" w:cs="Calibri"/>
                <w:spacing w:val="-6"/>
              </w:rPr>
              <w:t>1</w:t>
            </w:r>
            <w:r>
              <w:rPr>
                <w:rFonts w:ascii="Calibri" w:hAnsi="Calibri" w:eastAsia="Calibri" w:cs="Calibri"/>
                <w:spacing w:val="21"/>
                <w:w w:val="101"/>
              </w:rPr>
              <w:t xml:space="preserve"> </w:t>
            </w:r>
            <w:r>
              <w:rPr>
                <w:spacing w:val="-6"/>
              </w:rPr>
              <w:t>天，每天</w:t>
            </w:r>
            <w:r>
              <w:rPr>
                <w:spacing w:val="-40"/>
              </w:rPr>
              <w:t xml:space="preserve"> </w:t>
            </w:r>
            <w:r>
              <w:rPr>
                <w:rFonts w:ascii="Calibri" w:hAnsi="Calibri" w:eastAsia="Calibri" w:cs="Calibri"/>
                <w:spacing w:val="-6"/>
              </w:rPr>
              <w:t>1</w:t>
            </w:r>
            <w:r>
              <w:rPr>
                <w:rFonts w:ascii="Calibri" w:hAnsi="Calibri" w:eastAsia="Calibri" w:cs="Calibri"/>
                <w:spacing w:val="20"/>
                <w:w w:val="101"/>
              </w:rPr>
              <w:t xml:space="preserve"> </w:t>
            </w:r>
            <w:r>
              <w:rPr>
                <w:spacing w:val="-6"/>
              </w:rPr>
              <w:t>次。</w:t>
            </w:r>
          </w:p>
          <w:p w14:paraId="23C0AAA3">
            <w:pPr>
              <w:pStyle w:val="6"/>
              <w:spacing w:before="183" w:line="218" w:lineRule="auto"/>
              <w:ind w:left="594"/>
            </w:pPr>
            <w:r>
              <w:rPr>
                <w:spacing w:val="-3"/>
              </w:rPr>
              <w:t>（</w:t>
            </w:r>
            <w:r>
              <w:rPr>
                <w:rFonts w:ascii="Calibri" w:hAnsi="Calibri" w:eastAsia="Calibri" w:cs="Calibri"/>
                <w:spacing w:val="-3"/>
              </w:rPr>
              <w:t>4</w:t>
            </w:r>
            <w:r>
              <w:rPr>
                <w:spacing w:val="-3"/>
              </w:rPr>
              <w:t>）评价标准</w:t>
            </w:r>
          </w:p>
          <w:p w14:paraId="55A1F937">
            <w:pPr>
              <w:pStyle w:val="6"/>
              <w:spacing w:before="145" w:line="321" w:lineRule="exact"/>
              <w:ind w:left="589"/>
            </w:pPr>
            <w:r>
              <w:rPr>
                <w:spacing w:val="-1"/>
                <w:position w:val="1"/>
              </w:rPr>
              <w:t>《地下水质量标准》（</w:t>
            </w:r>
            <w:r>
              <w:rPr>
                <w:rFonts w:ascii="Calibri" w:hAnsi="Calibri" w:eastAsia="Calibri" w:cs="Calibri"/>
                <w:spacing w:val="-1"/>
                <w:position w:val="1"/>
              </w:rPr>
              <w:t>GB/T14848-2017</w:t>
            </w:r>
            <w:r>
              <w:rPr>
                <w:spacing w:val="-1"/>
                <w:position w:val="1"/>
              </w:rPr>
              <w:t>）中的Ⅲ类标准</w:t>
            </w:r>
          </w:p>
          <w:p w14:paraId="7B266F2A">
            <w:pPr>
              <w:pStyle w:val="6"/>
              <w:spacing w:before="187" w:line="220" w:lineRule="auto"/>
              <w:ind w:left="594"/>
            </w:pPr>
            <w:r>
              <w:rPr>
                <w:spacing w:val="-3"/>
              </w:rPr>
              <w:t>（</w:t>
            </w:r>
            <w:r>
              <w:rPr>
                <w:rFonts w:ascii="Calibri" w:hAnsi="Calibri" w:eastAsia="Calibri" w:cs="Calibri"/>
                <w:spacing w:val="-3"/>
              </w:rPr>
              <w:t>5</w:t>
            </w:r>
            <w:r>
              <w:rPr>
                <w:spacing w:val="-3"/>
              </w:rPr>
              <w:t>）监测结果</w:t>
            </w:r>
          </w:p>
          <w:p w14:paraId="4AA8D675">
            <w:pPr>
              <w:pStyle w:val="6"/>
              <w:spacing w:before="182" w:line="219" w:lineRule="auto"/>
              <w:ind w:left="586"/>
            </w:pPr>
            <w:r>
              <w:rPr>
                <w:spacing w:val="-2"/>
              </w:rPr>
              <w:t>水质监测结果见下表。</w:t>
            </w:r>
          </w:p>
          <w:p w14:paraId="70ADA105">
            <w:pPr>
              <w:spacing w:line="340" w:lineRule="auto"/>
              <w:rPr>
                <w:rFonts w:ascii="Arial"/>
                <w:sz w:val="21"/>
              </w:rPr>
            </w:pPr>
          </w:p>
          <w:p w14:paraId="23748F9B">
            <w:pPr>
              <w:pStyle w:val="6"/>
              <w:spacing w:before="79" w:line="219" w:lineRule="auto"/>
              <w:ind w:left="2022"/>
            </w:pPr>
            <w:r>
              <w:rPr>
                <w:b/>
                <w:bCs/>
                <w:spacing w:val="-4"/>
              </w:rPr>
              <w:t>表</w:t>
            </w:r>
            <w:r>
              <w:rPr>
                <w:spacing w:val="-45"/>
              </w:rPr>
              <w:t xml:space="preserve"> </w:t>
            </w:r>
            <w:r>
              <w:rPr>
                <w:rFonts w:ascii="Calibri" w:hAnsi="Calibri" w:eastAsia="Calibri" w:cs="Calibri"/>
                <w:b/>
                <w:bCs/>
                <w:spacing w:val="-4"/>
              </w:rPr>
              <w:t>3-5</w:t>
            </w:r>
            <w:r>
              <w:rPr>
                <w:rFonts w:ascii="Calibri" w:hAnsi="Calibri" w:eastAsia="Calibri" w:cs="Calibri"/>
                <w:b/>
                <w:bCs/>
                <w:spacing w:val="2"/>
              </w:rPr>
              <w:t xml:space="preserve">               </w:t>
            </w:r>
            <w:r>
              <w:rPr>
                <w:b/>
                <w:bCs/>
                <w:spacing w:val="-4"/>
              </w:rPr>
              <w:t>地下水监测结果表</w:t>
            </w:r>
          </w:p>
          <w:p w14:paraId="39838AA3">
            <w:pPr>
              <w:spacing w:line="20" w:lineRule="exact"/>
            </w:pPr>
          </w:p>
          <w:tbl>
            <w:tblPr>
              <w:tblStyle w:val="5"/>
              <w:tblW w:w="8337" w:type="dxa"/>
              <w:tblInd w:w="26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04"/>
              <w:gridCol w:w="3370"/>
              <w:gridCol w:w="2163"/>
            </w:tblGrid>
            <w:tr w14:paraId="686CE0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 w:hRule="atLeast"/>
              </w:trPr>
              <w:tc>
                <w:tcPr>
                  <w:tcW w:w="2804" w:type="dxa"/>
                  <w:vMerge w:val="restart"/>
                  <w:tcBorders>
                    <w:left w:val="nil"/>
                    <w:bottom w:val="nil"/>
                  </w:tcBorders>
                  <w:vAlign w:val="top"/>
                </w:tcPr>
                <w:p w14:paraId="23B82EEB">
                  <w:pPr>
                    <w:pStyle w:val="6"/>
                    <w:spacing w:before="304" w:line="227" w:lineRule="auto"/>
                    <w:ind w:left="989"/>
                    <w:rPr>
                      <w:sz w:val="20"/>
                      <w:szCs w:val="20"/>
                    </w:rPr>
                  </w:pPr>
                  <w:r>
                    <w:rPr>
                      <w:spacing w:val="7"/>
                      <w:sz w:val="20"/>
                      <w:szCs w:val="20"/>
                    </w:rPr>
                    <w:t>监测项目</w:t>
                  </w:r>
                </w:p>
              </w:tc>
              <w:tc>
                <w:tcPr>
                  <w:tcW w:w="3370" w:type="dxa"/>
                  <w:vAlign w:val="top"/>
                </w:tcPr>
                <w:p w14:paraId="11A1FD4E">
                  <w:pPr>
                    <w:pStyle w:val="6"/>
                    <w:spacing w:before="36" w:line="216" w:lineRule="auto"/>
                    <w:ind w:left="1272"/>
                    <w:rPr>
                      <w:sz w:val="20"/>
                      <w:szCs w:val="20"/>
                    </w:rPr>
                  </w:pPr>
                  <w:r>
                    <w:rPr>
                      <w:spacing w:val="7"/>
                      <w:sz w:val="20"/>
                      <w:szCs w:val="20"/>
                    </w:rPr>
                    <w:t>监测结果</w:t>
                  </w:r>
                </w:p>
              </w:tc>
              <w:tc>
                <w:tcPr>
                  <w:tcW w:w="2163" w:type="dxa"/>
                  <w:vMerge w:val="restart"/>
                  <w:tcBorders>
                    <w:bottom w:val="nil"/>
                    <w:right w:val="nil"/>
                  </w:tcBorders>
                  <w:vAlign w:val="top"/>
                </w:tcPr>
                <w:p w14:paraId="04CFF07C">
                  <w:pPr>
                    <w:pStyle w:val="6"/>
                    <w:spacing w:before="36" w:line="238" w:lineRule="auto"/>
                    <w:ind w:left="124" w:right="78" w:firstLine="23"/>
                    <w:jc w:val="both"/>
                    <w:rPr>
                      <w:sz w:val="20"/>
                      <w:szCs w:val="20"/>
                    </w:rPr>
                  </w:pPr>
                  <w:r>
                    <w:rPr>
                      <w:spacing w:val="6"/>
                      <w:sz w:val="20"/>
                      <w:szCs w:val="20"/>
                    </w:rPr>
                    <w:t>《地下水质量标准》</w:t>
                  </w:r>
                  <w:r>
                    <w:rPr>
                      <w:spacing w:val="7"/>
                      <w:sz w:val="20"/>
                      <w:szCs w:val="20"/>
                    </w:rPr>
                    <w:t xml:space="preserve"> </w:t>
                  </w:r>
                  <w:r>
                    <w:rPr>
                      <w:spacing w:val="2"/>
                      <w:sz w:val="20"/>
                      <w:szCs w:val="20"/>
                    </w:rPr>
                    <w:t>（</w:t>
                  </w:r>
                  <w:r>
                    <w:rPr>
                      <w:sz w:val="20"/>
                      <w:szCs w:val="20"/>
                    </w:rPr>
                    <w:t>GB</w:t>
                  </w:r>
                  <w:r>
                    <w:rPr>
                      <w:spacing w:val="2"/>
                      <w:sz w:val="20"/>
                      <w:szCs w:val="20"/>
                    </w:rPr>
                    <w:t>/T</w:t>
                  </w:r>
                  <w:r>
                    <w:rPr>
                      <w:spacing w:val="29"/>
                      <w:sz w:val="20"/>
                      <w:szCs w:val="20"/>
                    </w:rPr>
                    <w:t xml:space="preserve"> </w:t>
                  </w:r>
                  <w:r>
                    <w:rPr>
                      <w:spacing w:val="2"/>
                      <w:sz w:val="20"/>
                      <w:szCs w:val="20"/>
                    </w:rPr>
                    <w:t>14848-2017）</w:t>
                  </w:r>
                  <w:r>
                    <w:rPr>
                      <w:sz w:val="20"/>
                      <w:szCs w:val="20"/>
                    </w:rPr>
                    <w:t xml:space="preserve"> </w:t>
                  </w:r>
                  <w:r>
                    <w:rPr>
                      <w:spacing w:val="4"/>
                      <w:sz w:val="20"/>
                      <w:szCs w:val="20"/>
                    </w:rPr>
                    <w:t>表</w:t>
                  </w:r>
                  <w:r>
                    <w:rPr>
                      <w:spacing w:val="-20"/>
                      <w:sz w:val="20"/>
                      <w:szCs w:val="20"/>
                    </w:rPr>
                    <w:t xml:space="preserve"> </w:t>
                  </w:r>
                  <w:r>
                    <w:rPr>
                      <w:spacing w:val="4"/>
                      <w:sz w:val="20"/>
                      <w:szCs w:val="20"/>
                    </w:rPr>
                    <w:t>1</w:t>
                  </w:r>
                  <w:r>
                    <w:rPr>
                      <w:spacing w:val="-18"/>
                      <w:sz w:val="20"/>
                      <w:szCs w:val="20"/>
                    </w:rPr>
                    <w:t xml:space="preserve"> </w:t>
                  </w:r>
                  <w:r>
                    <w:rPr>
                      <w:spacing w:val="4"/>
                      <w:sz w:val="20"/>
                      <w:szCs w:val="20"/>
                    </w:rPr>
                    <w:t>中Ⅲ类标准限值</w:t>
                  </w:r>
                </w:p>
              </w:tc>
            </w:tr>
            <w:tr w14:paraId="0509E62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35" w:hRule="atLeast"/>
              </w:trPr>
              <w:tc>
                <w:tcPr>
                  <w:tcW w:w="2804" w:type="dxa"/>
                  <w:vMerge w:val="continue"/>
                  <w:tcBorders>
                    <w:top w:val="nil"/>
                    <w:left w:val="nil"/>
                  </w:tcBorders>
                  <w:vAlign w:val="top"/>
                </w:tcPr>
                <w:p w14:paraId="5231C647">
                  <w:pPr>
                    <w:rPr>
                      <w:rFonts w:ascii="Arial"/>
                      <w:sz w:val="21"/>
                    </w:rPr>
                  </w:pPr>
                </w:p>
              </w:tc>
              <w:tc>
                <w:tcPr>
                  <w:tcW w:w="3370" w:type="dxa"/>
                  <w:vAlign w:val="top"/>
                </w:tcPr>
                <w:p w14:paraId="7913F6A1">
                  <w:pPr>
                    <w:pStyle w:val="6"/>
                    <w:spacing w:before="160" w:line="226" w:lineRule="auto"/>
                    <w:ind w:left="642"/>
                    <w:rPr>
                      <w:sz w:val="20"/>
                      <w:szCs w:val="20"/>
                    </w:rPr>
                  </w:pPr>
                  <w:r>
                    <w:rPr>
                      <w:spacing w:val="8"/>
                      <w:sz w:val="20"/>
                      <w:szCs w:val="20"/>
                    </w:rPr>
                    <w:t>厂区东侧地下水监测井</w:t>
                  </w:r>
                </w:p>
              </w:tc>
              <w:tc>
                <w:tcPr>
                  <w:tcW w:w="2163" w:type="dxa"/>
                  <w:vMerge w:val="continue"/>
                  <w:tcBorders>
                    <w:top w:val="nil"/>
                    <w:right w:val="nil"/>
                  </w:tcBorders>
                  <w:vAlign w:val="top"/>
                </w:tcPr>
                <w:p w14:paraId="5883A177">
                  <w:pPr>
                    <w:rPr>
                      <w:rFonts w:ascii="Arial"/>
                      <w:sz w:val="21"/>
                    </w:rPr>
                  </w:pPr>
                </w:p>
              </w:tc>
            </w:tr>
            <w:tr w14:paraId="276E5B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9" w:hRule="atLeast"/>
              </w:trPr>
              <w:tc>
                <w:tcPr>
                  <w:tcW w:w="2804" w:type="dxa"/>
                  <w:tcBorders>
                    <w:left w:val="nil"/>
                    <w:bottom w:val="nil"/>
                  </w:tcBorders>
                  <w:vAlign w:val="top"/>
                </w:tcPr>
                <w:p w14:paraId="3A182683">
                  <w:pPr>
                    <w:pStyle w:val="6"/>
                    <w:spacing w:before="32" w:line="209" w:lineRule="auto"/>
                    <w:ind w:left="936"/>
                    <w:rPr>
                      <w:sz w:val="20"/>
                      <w:szCs w:val="20"/>
                    </w:rPr>
                  </w:pPr>
                  <w:r>
                    <w:rPr>
                      <w:spacing w:val="5"/>
                      <w:sz w:val="20"/>
                      <w:szCs w:val="20"/>
                    </w:rPr>
                    <w:t>井深（m）</w:t>
                  </w:r>
                </w:p>
              </w:tc>
              <w:tc>
                <w:tcPr>
                  <w:tcW w:w="3370" w:type="dxa"/>
                  <w:tcBorders>
                    <w:bottom w:val="nil"/>
                  </w:tcBorders>
                  <w:vAlign w:val="top"/>
                </w:tcPr>
                <w:p w14:paraId="67B01F2F">
                  <w:pPr>
                    <w:pStyle w:val="6"/>
                    <w:spacing w:before="65" w:line="179" w:lineRule="auto"/>
                    <w:ind w:left="1586"/>
                    <w:rPr>
                      <w:sz w:val="20"/>
                      <w:szCs w:val="20"/>
                    </w:rPr>
                  </w:pPr>
                  <w:r>
                    <w:rPr>
                      <w:sz w:val="20"/>
                      <w:szCs w:val="20"/>
                    </w:rPr>
                    <w:t>80</w:t>
                  </w:r>
                </w:p>
              </w:tc>
              <w:tc>
                <w:tcPr>
                  <w:tcW w:w="2163" w:type="dxa"/>
                  <w:tcBorders>
                    <w:bottom w:val="nil"/>
                    <w:right w:val="nil"/>
                  </w:tcBorders>
                  <w:vAlign w:val="top"/>
                </w:tcPr>
                <w:p w14:paraId="1B786F7E">
                  <w:pPr>
                    <w:pStyle w:val="6"/>
                    <w:spacing w:before="32" w:line="209" w:lineRule="auto"/>
                    <w:ind w:left="1034"/>
                    <w:rPr>
                      <w:sz w:val="20"/>
                      <w:szCs w:val="20"/>
                    </w:rPr>
                  </w:pPr>
                  <w:r>
                    <w:rPr>
                      <w:sz w:val="20"/>
                      <w:szCs w:val="20"/>
                    </w:rPr>
                    <w:t>/</w:t>
                  </w:r>
                </w:p>
              </w:tc>
            </w:tr>
          </w:tbl>
          <w:p w14:paraId="64B68092">
            <w:pPr>
              <w:spacing w:line="14" w:lineRule="auto"/>
              <w:rPr>
                <w:rFonts w:ascii="Arial"/>
                <w:sz w:val="2"/>
              </w:rPr>
            </w:pPr>
          </w:p>
        </w:tc>
      </w:tr>
    </w:tbl>
    <w:p w14:paraId="684BB4B2">
      <w:pPr>
        <w:pStyle w:val="2"/>
        <w:spacing w:line="143" w:lineRule="exact"/>
        <w:rPr>
          <w:sz w:val="12"/>
        </w:rPr>
      </w:pPr>
    </w:p>
    <w:p w14:paraId="10746B78">
      <w:pPr>
        <w:spacing w:line="143" w:lineRule="exact"/>
        <w:rPr>
          <w:sz w:val="12"/>
          <w:szCs w:val="12"/>
        </w:rPr>
        <w:sectPr>
          <w:footerReference r:id="rId58" w:type="default"/>
          <w:pgSz w:w="11906" w:h="16839"/>
          <w:pgMar w:top="1270" w:right="1266" w:bottom="1261" w:left="1265" w:header="0" w:footer="1097" w:gutter="0"/>
          <w:cols w:space="720" w:num="1"/>
        </w:sectPr>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1EA4FA8B">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733" w:hRule="atLeast"/>
        </w:trPr>
        <w:tc>
          <w:tcPr>
            <w:tcW w:w="471" w:type="dxa"/>
            <w:tcBorders>
              <w:right w:val="single" w:color="000000" w:sz="2" w:space="0"/>
            </w:tcBorders>
            <w:vAlign w:val="top"/>
          </w:tcPr>
          <w:p w14:paraId="52EE990C">
            <w:pPr>
              <w:rPr>
                <w:rFonts w:ascii="Arial"/>
                <w:sz w:val="21"/>
              </w:rPr>
            </w:pPr>
          </w:p>
        </w:tc>
        <w:tc>
          <w:tcPr>
            <w:tcW w:w="8877" w:type="dxa"/>
            <w:tcBorders>
              <w:left w:val="single" w:color="000000" w:sz="2" w:space="0"/>
            </w:tcBorders>
            <w:vAlign w:val="top"/>
          </w:tcPr>
          <w:p w14:paraId="05518164">
            <w:pPr>
              <w:spacing w:line="52" w:lineRule="auto"/>
              <w:rPr>
                <w:rFonts w:ascii="Arial"/>
                <w:sz w:val="2"/>
              </w:rPr>
            </w:pPr>
          </w:p>
          <w:tbl>
            <w:tblPr>
              <w:tblStyle w:val="5"/>
              <w:tblW w:w="8337" w:type="dxa"/>
              <w:tblInd w:w="26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04"/>
              <w:gridCol w:w="3370"/>
              <w:gridCol w:w="2163"/>
            </w:tblGrid>
            <w:tr w14:paraId="44BE16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2804" w:type="dxa"/>
                  <w:tcBorders>
                    <w:top w:val="nil"/>
                    <w:left w:val="nil"/>
                  </w:tcBorders>
                  <w:vAlign w:val="top"/>
                </w:tcPr>
                <w:p w14:paraId="1BE59FC2">
                  <w:pPr>
                    <w:pStyle w:val="6"/>
                    <w:spacing w:before="40" w:line="217" w:lineRule="auto"/>
                    <w:ind w:left="938"/>
                    <w:rPr>
                      <w:sz w:val="20"/>
                      <w:szCs w:val="20"/>
                    </w:rPr>
                  </w:pPr>
                  <w:r>
                    <w:rPr>
                      <w:spacing w:val="5"/>
                      <w:sz w:val="20"/>
                      <w:szCs w:val="20"/>
                    </w:rPr>
                    <w:t>水位（m）</w:t>
                  </w:r>
                </w:p>
              </w:tc>
              <w:tc>
                <w:tcPr>
                  <w:tcW w:w="3370" w:type="dxa"/>
                  <w:tcBorders>
                    <w:top w:val="nil"/>
                  </w:tcBorders>
                  <w:vAlign w:val="top"/>
                </w:tcPr>
                <w:p w14:paraId="7F818994">
                  <w:pPr>
                    <w:pStyle w:val="6"/>
                    <w:spacing w:before="72" w:line="188" w:lineRule="auto"/>
                    <w:ind w:left="1445"/>
                    <w:rPr>
                      <w:sz w:val="20"/>
                      <w:szCs w:val="20"/>
                    </w:rPr>
                  </w:pPr>
                  <w:r>
                    <w:rPr>
                      <w:sz w:val="20"/>
                      <w:szCs w:val="20"/>
                    </w:rPr>
                    <w:t>159.1</w:t>
                  </w:r>
                </w:p>
              </w:tc>
              <w:tc>
                <w:tcPr>
                  <w:tcW w:w="2163" w:type="dxa"/>
                  <w:tcBorders>
                    <w:top w:val="nil"/>
                    <w:right w:val="nil"/>
                  </w:tcBorders>
                  <w:vAlign w:val="top"/>
                </w:tcPr>
                <w:p w14:paraId="0A9E3756">
                  <w:pPr>
                    <w:pStyle w:val="6"/>
                    <w:spacing w:before="40" w:line="217" w:lineRule="auto"/>
                    <w:ind w:left="1034"/>
                    <w:rPr>
                      <w:sz w:val="20"/>
                      <w:szCs w:val="20"/>
                    </w:rPr>
                  </w:pPr>
                  <w:r>
                    <w:rPr>
                      <w:sz w:val="20"/>
                      <w:szCs w:val="20"/>
                    </w:rPr>
                    <w:t>/</w:t>
                  </w:r>
                </w:p>
              </w:tc>
            </w:tr>
            <w:tr w14:paraId="220671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430C2003">
                  <w:pPr>
                    <w:pStyle w:val="6"/>
                    <w:spacing w:before="15" w:line="233" w:lineRule="auto"/>
                    <w:ind w:left="908"/>
                    <w:outlineLvl w:val="0"/>
                    <w:rPr>
                      <w:sz w:val="20"/>
                      <w:szCs w:val="20"/>
                    </w:rPr>
                  </w:pPr>
                  <w:r>
                    <w:rPr>
                      <w:spacing w:val="5"/>
                      <w:sz w:val="20"/>
                      <w:szCs w:val="20"/>
                    </w:rPr>
                    <w:t>K</w:t>
                  </w:r>
                  <w:r>
                    <w:rPr>
                      <w:spacing w:val="5"/>
                      <w:position w:val="10"/>
                      <w:sz w:val="10"/>
                      <w:szCs w:val="10"/>
                    </w:rPr>
                    <w:t>+</w:t>
                  </w:r>
                  <w:r>
                    <w:rPr>
                      <w:spacing w:val="5"/>
                      <w:sz w:val="20"/>
                      <w:szCs w:val="20"/>
                    </w:rPr>
                    <w:t>（</w:t>
                  </w:r>
                  <w:r>
                    <w:rPr>
                      <w:sz w:val="20"/>
                      <w:szCs w:val="20"/>
                    </w:rPr>
                    <w:t>mg</w:t>
                  </w:r>
                  <w:r>
                    <w:rPr>
                      <w:spacing w:val="5"/>
                      <w:sz w:val="20"/>
                      <w:szCs w:val="20"/>
                    </w:rPr>
                    <w:t>/L）</w:t>
                  </w:r>
                </w:p>
              </w:tc>
              <w:tc>
                <w:tcPr>
                  <w:tcW w:w="3370" w:type="dxa"/>
                  <w:vAlign w:val="top"/>
                </w:tcPr>
                <w:p w14:paraId="740F2B34">
                  <w:pPr>
                    <w:spacing w:before="68" w:line="195" w:lineRule="auto"/>
                    <w:ind w:left="150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2.45</w:t>
                  </w:r>
                </w:p>
              </w:tc>
              <w:tc>
                <w:tcPr>
                  <w:tcW w:w="2163" w:type="dxa"/>
                  <w:tcBorders>
                    <w:right w:val="nil"/>
                  </w:tcBorders>
                  <w:vAlign w:val="top"/>
                </w:tcPr>
                <w:p w14:paraId="3A731845">
                  <w:pPr>
                    <w:pStyle w:val="6"/>
                    <w:spacing w:before="32" w:line="217" w:lineRule="auto"/>
                    <w:ind w:left="1034"/>
                    <w:rPr>
                      <w:sz w:val="20"/>
                      <w:szCs w:val="20"/>
                    </w:rPr>
                  </w:pPr>
                  <w:r>
                    <w:rPr>
                      <w:sz w:val="20"/>
                      <w:szCs w:val="20"/>
                    </w:rPr>
                    <w:t>/</w:t>
                  </w:r>
                </w:p>
              </w:tc>
            </w:tr>
            <w:tr w14:paraId="025CDE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7DD3CFBA">
                  <w:pPr>
                    <w:pStyle w:val="6"/>
                    <w:spacing w:before="15" w:line="232" w:lineRule="auto"/>
                    <w:ind w:left="831"/>
                    <w:rPr>
                      <w:sz w:val="20"/>
                      <w:szCs w:val="20"/>
                    </w:rPr>
                  </w:pPr>
                  <w:r>
                    <w:rPr>
                      <w:sz w:val="20"/>
                      <w:szCs w:val="20"/>
                    </w:rPr>
                    <w:t>Ca</w:t>
                  </w:r>
                  <w:r>
                    <w:rPr>
                      <w:spacing w:val="6"/>
                      <w:position w:val="9"/>
                      <w:sz w:val="10"/>
                      <w:szCs w:val="10"/>
                    </w:rPr>
                    <w:t>2+</w:t>
                  </w:r>
                  <w:r>
                    <w:rPr>
                      <w:spacing w:val="6"/>
                      <w:sz w:val="20"/>
                      <w:szCs w:val="20"/>
                    </w:rPr>
                    <w:t>（</w:t>
                  </w:r>
                  <w:r>
                    <w:rPr>
                      <w:sz w:val="20"/>
                      <w:szCs w:val="20"/>
                    </w:rPr>
                    <w:t>mg</w:t>
                  </w:r>
                  <w:r>
                    <w:rPr>
                      <w:spacing w:val="6"/>
                      <w:sz w:val="20"/>
                      <w:szCs w:val="20"/>
                    </w:rPr>
                    <w:t>/L）</w:t>
                  </w:r>
                </w:p>
              </w:tc>
              <w:tc>
                <w:tcPr>
                  <w:tcW w:w="3370" w:type="dxa"/>
                  <w:vAlign w:val="top"/>
                </w:tcPr>
                <w:p w14:paraId="7BE10029">
                  <w:pPr>
                    <w:spacing w:before="66" w:line="195" w:lineRule="auto"/>
                    <w:ind w:left="150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43.5</w:t>
                  </w:r>
                </w:p>
              </w:tc>
              <w:tc>
                <w:tcPr>
                  <w:tcW w:w="2163" w:type="dxa"/>
                  <w:tcBorders>
                    <w:right w:val="nil"/>
                  </w:tcBorders>
                  <w:vAlign w:val="top"/>
                </w:tcPr>
                <w:p w14:paraId="2C9BBAFE">
                  <w:pPr>
                    <w:pStyle w:val="6"/>
                    <w:spacing w:before="30" w:line="218" w:lineRule="auto"/>
                    <w:ind w:left="1034"/>
                    <w:rPr>
                      <w:sz w:val="20"/>
                      <w:szCs w:val="20"/>
                    </w:rPr>
                  </w:pPr>
                  <w:r>
                    <w:rPr>
                      <w:sz w:val="20"/>
                      <w:szCs w:val="20"/>
                    </w:rPr>
                    <w:t>/</w:t>
                  </w:r>
                </w:p>
              </w:tc>
            </w:tr>
            <w:tr w14:paraId="3862C4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0425461B">
                  <w:pPr>
                    <w:pStyle w:val="6"/>
                    <w:spacing w:before="14" w:line="233" w:lineRule="auto"/>
                    <w:ind w:left="850"/>
                    <w:rPr>
                      <w:sz w:val="20"/>
                      <w:szCs w:val="20"/>
                    </w:rPr>
                  </w:pPr>
                  <w:r>
                    <w:rPr>
                      <w:sz w:val="20"/>
                      <w:szCs w:val="20"/>
                    </w:rPr>
                    <w:t>Na</w:t>
                  </w:r>
                  <w:r>
                    <w:rPr>
                      <w:spacing w:val="8"/>
                      <w:position w:val="10"/>
                      <w:sz w:val="10"/>
                      <w:szCs w:val="10"/>
                    </w:rPr>
                    <w:t>+</w:t>
                  </w:r>
                  <w:r>
                    <w:rPr>
                      <w:spacing w:val="8"/>
                      <w:sz w:val="20"/>
                      <w:szCs w:val="20"/>
                    </w:rPr>
                    <w:t>（</w:t>
                  </w:r>
                  <w:r>
                    <w:rPr>
                      <w:sz w:val="20"/>
                      <w:szCs w:val="20"/>
                    </w:rPr>
                    <w:t>mg</w:t>
                  </w:r>
                  <w:r>
                    <w:rPr>
                      <w:spacing w:val="8"/>
                      <w:sz w:val="20"/>
                      <w:szCs w:val="20"/>
                    </w:rPr>
                    <w:t>/L）</w:t>
                  </w:r>
                </w:p>
              </w:tc>
              <w:tc>
                <w:tcPr>
                  <w:tcW w:w="3370" w:type="dxa"/>
                  <w:vAlign w:val="top"/>
                </w:tcPr>
                <w:p w14:paraId="653940C5">
                  <w:pPr>
                    <w:spacing w:before="67" w:line="195" w:lineRule="auto"/>
                    <w:ind w:left="150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33.4</w:t>
                  </w:r>
                </w:p>
              </w:tc>
              <w:tc>
                <w:tcPr>
                  <w:tcW w:w="2163" w:type="dxa"/>
                  <w:tcBorders>
                    <w:right w:val="nil"/>
                  </w:tcBorders>
                  <w:vAlign w:val="top"/>
                </w:tcPr>
                <w:p w14:paraId="18FC2194">
                  <w:pPr>
                    <w:pStyle w:val="6"/>
                    <w:spacing w:before="31" w:line="217" w:lineRule="auto"/>
                    <w:ind w:left="1034"/>
                    <w:rPr>
                      <w:sz w:val="20"/>
                      <w:szCs w:val="20"/>
                    </w:rPr>
                  </w:pPr>
                  <w:r>
                    <w:rPr>
                      <w:sz w:val="20"/>
                      <w:szCs w:val="20"/>
                    </w:rPr>
                    <w:t>/</w:t>
                  </w:r>
                </w:p>
              </w:tc>
            </w:tr>
            <w:tr w14:paraId="780AE8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0E402056">
                  <w:pPr>
                    <w:pStyle w:val="6"/>
                    <w:spacing w:before="15" w:line="233" w:lineRule="auto"/>
                    <w:ind w:left="826"/>
                    <w:outlineLvl w:val="0"/>
                    <w:rPr>
                      <w:sz w:val="20"/>
                      <w:szCs w:val="20"/>
                    </w:rPr>
                  </w:pPr>
                  <w:r>
                    <w:rPr>
                      <w:sz w:val="20"/>
                      <w:szCs w:val="20"/>
                    </w:rPr>
                    <w:t>Mg</w:t>
                  </w:r>
                  <w:r>
                    <w:rPr>
                      <w:spacing w:val="7"/>
                      <w:position w:val="9"/>
                      <w:sz w:val="10"/>
                      <w:szCs w:val="10"/>
                    </w:rPr>
                    <w:t>2+</w:t>
                  </w:r>
                  <w:r>
                    <w:rPr>
                      <w:spacing w:val="7"/>
                      <w:sz w:val="20"/>
                      <w:szCs w:val="20"/>
                    </w:rPr>
                    <w:t>（</w:t>
                  </w:r>
                  <w:r>
                    <w:rPr>
                      <w:sz w:val="20"/>
                      <w:szCs w:val="20"/>
                    </w:rPr>
                    <w:t>mg</w:t>
                  </w:r>
                  <w:r>
                    <w:rPr>
                      <w:spacing w:val="7"/>
                      <w:sz w:val="20"/>
                      <w:szCs w:val="20"/>
                    </w:rPr>
                    <w:t>/L）</w:t>
                  </w:r>
                </w:p>
              </w:tc>
              <w:tc>
                <w:tcPr>
                  <w:tcW w:w="3370" w:type="dxa"/>
                  <w:vAlign w:val="top"/>
                </w:tcPr>
                <w:p w14:paraId="3D6B83C2">
                  <w:pPr>
                    <w:spacing w:before="68" w:line="195" w:lineRule="auto"/>
                    <w:ind w:left="150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25.2</w:t>
                  </w:r>
                </w:p>
              </w:tc>
              <w:tc>
                <w:tcPr>
                  <w:tcW w:w="2163" w:type="dxa"/>
                  <w:tcBorders>
                    <w:right w:val="nil"/>
                  </w:tcBorders>
                  <w:vAlign w:val="top"/>
                </w:tcPr>
                <w:p w14:paraId="1BCA24EE">
                  <w:pPr>
                    <w:pStyle w:val="6"/>
                    <w:spacing w:before="32" w:line="217" w:lineRule="auto"/>
                    <w:ind w:left="1034"/>
                    <w:rPr>
                      <w:sz w:val="20"/>
                      <w:szCs w:val="20"/>
                    </w:rPr>
                  </w:pPr>
                  <w:r>
                    <w:rPr>
                      <w:sz w:val="20"/>
                      <w:szCs w:val="20"/>
                    </w:rPr>
                    <w:t>/</w:t>
                  </w:r>
                </w:p>
              </w:tc>
            </w:tr>
            <w:tr w14:paraId="07DB20A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597CB917">
                  <w:pPr>
                    <w:pStyle w:val="6"/>
                    <w:spacing w:before="30" w:line="217" w:lineRule="auto"/>
                    <w:ind w:left="804"/>
                    <w:outlineLvl w:val="0"/>
                    <w:rPr>
                      <w:sz w:val="20"/>
                      <w:szCs w:val="20"/>
                    </w:rPr>
                  </w:pPr>
                  <w:r>
                    <w:rPr>
                      <w:sz w:val="20"/>
                      <w:szCs w:val="20"/>
                    </w:rPr>
                    <w:t>CO</w:t>
                  </w:r>
                  <w:r>
                    <w:rPr>
                      <w:spacing w:val="5"/>
                      <w:position w:val="-3"/>
                      <w:sz w:val="10"/>
                      <w:szCs w:val="10"/>
                    </w:rPr>
                    <w:t>3</w:t>
                  </w:r>
                  <w:r>
                    <w:rPr>
                      <w:spacing w:val="5"/>
                      <w:position w:val="10"/>
                      <w:sz w:val="10"/>
                      <w:szCs w:val="10"/>
                    </w:rPr>
                    <w:t>2-</w:t>
                  </w:r>
                  <w:r>
                    <w:rPr>
                      <w:spacing w:val="5"/>
                      <w:sz w:val="20"/>
                      <w:szCs w:val="20"/>
                    </w:rPr>
                    <w:t>（</w:t>
                  </w:r>
                  <w:r>
                    <w:rPr>
                      <w:sz w:val="20"/>
                      <w:szCs w:val="20"/>
                    </w:rPr>
                    <w:t>mg</w:t>
                  </w:r>
                  <w:r>
                    <w:rPr>
                      <w:spacing w:val="5"/>
                      <w:sz w:val="20"/>
                      <w:szCs w:val="20"/>
                    </w:rPr>
                    <w:t>/L）</w:t>
                  </w:r>
                </w:p>
              </w:tc>
              <w:tc>
                <w:tcPr>
                  <w:tcW w:w="3370" w:type="dxa"/>
                  <w:vAlign w:val="top"/>
                </w:tcPr>
                <w:p w14:paraId="10ADCDFC">
                  <w:pPr>
                    <w:spacing w:before="69" w:line="192" w:lineRule="auto"/>
                    <w:ind w:left="1575"/>
                    <w:rPr>
                      <w:rFonts w:ascii="Times New Roman" w:hAnsi="Times New Roman" w:eastAsia="Times New Roman" w:cs="Times New Roman"/>
                      <w:sz w:val="20"/>
                      <w:szCs w:val="20"/>
                    </w:rPr>
                  </w:pPr>
                  <w:r>
                    <w:rPr>
                      <w:rFonts w:ascii="Times New Roman" w:hAnsi="Times New Roman" w:eastAsia="Times New Roman" w:cs="Times New Roman"/>
                      <w:sz w:val="20"/>
                      <w:szCs w:val="20"/>
                    </w:rPr>
                    <w:t>5L</w:t>
                  </w:r>
                </w:p>
              </w:tc>
              <w:tc>
                <w:tcPr>
                  <w:tcW w:w="2163" w:type="dxa"/>
                  <w:tcBorders>
                    <w:right w:val="nil"/>
                  </w:tcBorders>
                  <w:vAlign w:val="top"/>
                </w:tcPr>
                <w:p w14:paraId="3EB49921">
                  <w:pPr>
                    <w:pStyle w:val="6"/>
                    <w:spacing w:before="30" w:line="218" w:lineRule="auto"/>
                    <w:ind w:left="1034"/>
                    <w:rPr>
                      <w:sz w:val="20"/>
                      <w:szCs w:val="20"/>
                    </w:rPr>
                  </w:pPr>
                  <w:r>
                    <w:rPr>
                      <w:sz w:val="20"/>
                      <w:szCs w:val="20"/>
                    </w:rPr>
                    <w:t>/</w:t>
                  </w:r>
                </w:p>
              </w:tc>
            </w:tr>
            <w:tr w14:paraId="7A6D46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04FB15AB">
                  <w:pPr>
                    <w:pStyle w:val="6"/>
                    <w:spacing w:before="32" w:line="216" w:lineRule="auto"/>
                    <w:ind w:left="775"/>
                    <w:outlineLvl w:val="0"/>
                    <w:rPr>
                      <w:sz w:val="20"/>
                      <w:szCs w:val="20"/>
                    </w:rPr>
                  </w:pPr>
                  <w:r>
                    <w:rPr>
                      <w:sz w:val="20"/>
                      <w:szCs w:val="20"/>
                    </w:rPr>
                    <w:t>HCO</w:t>
                  </w:r>
                  <w:r>
                    <w:rPr>
                      <w:spacing w:val="7"/>
                      <w:position w:val="-3"/>
                      <w:sz w:val="10"/>
                      <w:szCs w:val="10"/>
                    </w:rPr>
                    <w:t>3</w:t>
                  </w:r>
                  <w:r>
                    <w:rPr>
                      <w:spacing w:val="7"/>
                      <w:position w:val="10"/>
                      <w:sz w:val="10"/>
                      <w:szCs w:val="10"/>
                    </w:rPr>
                    <w:t>-</w:t>
                  </w:r>
                  <w:r>
                    <w:rPr>
                      <w:spacing w:val="7"/>
                      <w:sz w:val="20"/>
                      <w:szCs w:val="20"/>
                    </w:rPr>
                    <w:t>（</w:t>
                  </w:r>
                  <w:r>
                    <w:rPr>
                      <w:sz w:val="20"/>
                      <w:szCs w:val="20"/>
                    </w:rPr>
                    <w:t>mg</w:t>
                  </w:r>
                  <w:r>
                    <w:rPr>
                      <w:spacing w:val="7"/>
                      <w:sz w:val="20"/>
                      <w:szCs w:val="20"/>
                    </w:rPr>
                    <w:t>/L）</w:t>
                  </w:r>
                </w:p>
              </w:tc>
              <w:tc>
                <w:tcPr>
                  <w:tcW w:w="3370" w:type="dxa"/>
                  <w:vAlign w:val="top"/>
                </w:tcPr>
                <w:p w14:paraId="0508C03C">
                  <w:pPr>
                    <w:spacing w:before="67" w:line="195" w:lineRule="auto"/>
                    <w:ind w:left="152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247</w:t>
                  </w:r>
                </w:p>
              </w:tc>
              <w:tc>
                <w:tcPr>
                  <w:tcW w:w="2163" w:type="dxa"/>
                  <w:tcBorders>
                    <w:right w:val="nil"/>
                  </w:tcBorders>
                  <w:vAlign w:val="top"/>
                </w:tcPr>
                <w:p w14:paraId="6270398F">
                  <w:pPr>
                    <w:pStyle w:val="6"/>
                    <w:spacing w:before="31" w:line="217" w:lineRule="auto"/>
                    <w:ind w:left="1034"/>
                    <w:rPr>
                      <w:sz w:val="20"/>
                      <w:szCs w:val="20"/>
                    </w:rPr>
                  </w:pPr>
                  <w:r>
                    <w:rPr>
                      <w:sz w:val="20"/>
                      <w:szCs w:val="20"/>
                    </w:rPr>
                    <w:t>/</w:t>
                  </w:r>
                </w:p>
              </w:tc>
            </w:tr>
            <w:tr w14:paraId="2D442C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62FFA80A">
                  <w:pPr>
                    <w:pStyle w:val="6"/>
                    <w:spacing w:before="32" w:line="217" w:lineRule="auto"/>
                    <w:ind w:left="337"/>
                    <w:rPr>
                      <w:sz w:val="20"/>
                      <w:szCs w:val="20"/>
                    </w:rPr>
                  </w:pPr>
                  <w:r>
                    <w:rPr>
                      <w:spacing w:val="11"/>
                      <w:sz w:val="20"/>
                      <w:szCs w:val="20"/>
                    </w:rPr>
                    <w:t>氯化物（</w:t>
                  </w:r>
                  <w:r>
                    <w:rPr>
                      <w:sz w:val="20"/>
                      <w:szCs w:val="20"/>
                    </w:rPr>
                    <w:t>Cl</w:t>
                  </w:r>
                  <w:r>
                    <w:rPr>
                      <w:spacing w:val="11"/>
                      <w:position w:val="10"/>
                      <w:sz w:val="10"/>
                      <w:szCs w:val="10"/>
                    </w:rPr>
                    <w:t>-</w:t>
                  </w:r>
                  <w:r>
                    <w:rPr>
                      <w:spacing w:val="-20"/>
                      <w:position w:val="10"/>
                      <w:sz w:val="10"/>
                      <w:szCs w:val="10"/>
                    </w:rPr>
                    <w:t xml:space="preserve"> </w:t>
                  </w:r>
                  <w:r>
                    <w:rPr>
                      <w:spacing w:val="-19"/>
                      <w:sz w:val="20"/>
                      <w:szCs w:val="20"/>
                    </w:rPr>
                    <w:t>）（</w:t>
                  </w:r>
                  <w:r>
                    <w:rPr>
                      <w:sz w:val="20"/>
                      <w:szCs w:val="20"/>
                    </w:rPr>
                    <w:t>mg</w:t>
                  </w:r>
                  <w:r>
                    <w:rPr>
                      <w:spacing w:val="11"/>
                      <w:sz w:val="20"/>
                      <w:szCs w:val="20"/>
                    </w:rPr>
                    <w:t>/L）</w:t>
                  </w:r>
                </w:p>
              </w:tc>
              <w:tc>
                <w:tcPr>
                  <w:tcW w:w="3370" w:type="dxa"/>
                  <w:vAlign w:val="top"/>
                </w:tcPr>
                <w:p w14:paraId="48C6FF73">
                  <w:pPr>
                    <w:spacing w:before="69" w:line="195" w:lineRule="auto"/>
                    <w:ind w:left="150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45.2</w:t>
                  </w:r>
                </w:p>
              </w:tc>
              <w:tc>
                <w:tcPr>
                  <w:tcW w:w="2163" w:type="dxa"/>
                  <w:tcBorders>
                    <w:right w:val="nil"/>
                  </w:tcBorders>
                  <w:vAlign w:val="top"/>
                </w:tcPr>
                <w:p w14:paraId="57471F7C">
                  <w:pPr>
                    <w:pStyle w:val="6"/>
                    <w:spacing w:before="32" w:line="217" w:lineRule="auto"/>
                    <w:ind w:left="839"/>
                    <w:outlineLvl w:val="0"/>
                    <w:rPr>
                      <w:sz w:val="20"/>
                      <w:szCs w:val="20"/>
                    </w:rPr>
                  </w:pPr>
                  <w:r>
                    <w:rPr>
                      <w:spacing w:val="1"/>
                      <w:sz w:val="20"/>
                      <w:szCs w:val="20"/>
                    </w:rPr>
                    <w:t>≤250</w:t>
                  </w:r>
                </w:p>
              </w:tc>
            </w:tr>
            <w:tr w14:paraId="555EB4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59598A1D">
                  <w:pPr>
                    <w:pStyle w:val="6"/>
                    <w:spacing w:before="30" w:line="217" w:lineRule="auto"/>
                    <w:ind w:left="280"/>
                    <w:rPr>
                      <w:sz w:val="20"/>
                      <w:szCs w:val="20"/>
                    </w:rPr>
                  </w:pPr>
                  <w:r>
                    <w:rPr>
                      <w:spacing w:val="10"/>
                      <w:sz w:val="20"/>
                      <w:szCs w:val="20"/>
                    </w:rPr>
                    <w:t>硫酸盐（</w:t>
                  </w:r>
                  <w:r>
                    <w:rPr>
                      <w:sz w:val="20"/>
                      <w:szCs w:val="20"/>
                    </w:rPr>
                    <w:t>SO</w:t>
                  </w:r>
                  <w:r>
                    <w:rPr>
                      <w:spacing w:val="10"/>
                      <w:position w:val="-3"/>
                      <w:sz w:val="10"/>
                      <w:szCs w:val="10"/>
                    </w:rPr>
                    <w:t>4</w:t>
                  </w:r>
                  <w:r>
                    <w:rPr>
                      <w:spacing w:val="10"/>
                      <w:position w:val="10"/>
                      <w:sz w:val="10"/>
                      <w:szCs w:val="10"/>
                    </w:rPr>
                    <w:t>2-</w:t>
                  </w:r>
                  <w:r>
                    <w:rPr>
                      <w:spacing w:val="-20"/>
                      <w:position w:val="10"/>
                      <w:sz w:val="10"/>
                      <w:szCs w:val="10"/>
                    </w:rPr>
                    <w:t xml:space="preserve"> </w:t>
                  </w:r>
                  <w:r>
                    <w:rPr>
                      <w:spacing w:val="-20"/>
                      <w:sz w:val="20"/>
                      <w:szCs w:val="20"/>
                    </w:rPr>
                    <w:t>）（</w:t>
                  </w:r>
                  <w:r>
                    <w:rPr>
                      <w:sz w:val="20"/>
                      <w:szCs w:val="20"/>
                    </w:rPr>
                    <w:t>mg</w:t>
                  </w:r>
                  <w:r>
                    <w:rPr>
                      <w:spacing w:val="10"/>
                      <w:sz w:val="20"/>
                      <w:szCs w:val="20"/>
                    </w:rPr>
                    <w:t>/L）</w:t>
                  </w:r>
                </w:p>
              </w:tc>
              <w:tc>
                <w:tcPr>
                  <w:tcW w:w="3370" w:type="dxa"/>
                  <w:vAlign w:val="top"/>
                </w:tcPr>
                <w:p w14:paraId="2547A7C5">
                  <w:pPr>
                    <w:spacing w:before="66" w:line="195" w:lineRule="auto"/>
                    <w:ind w:left="150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26.9</w:t>
                  </w:r>
                </w:p>
              </w:tc>
              <w:tc>
                <w:tcPr>
                  <w:tcW w:w="2163" w:type="dxa"/>
                  <w:tcBorders>
                    <w:right w:val="nil"/>
                  </w:tcBorders>
                  <w:vAlign w:val="top"/>
                </w:tcPr>
                <w:p w14:paraId="6FA735D7">
                  <w:pPr>
                    <w:pStyle w:val="6"/>
                    <w:spacing w:before="30" w:line="218" w:lineRule="auto"/>
                    <w:ind w:left="839"/>
                    <w:outlineLvl w:val="0"/>
                    <w:rPr>
                      <w:sz w:val="20"/>
                      <w:szCs w:val="20"/>
                    </w:rPr>
                  </w:pPr>
                  <w:r>
                    <w:rPr>
                      <w:spacing w:val="1"/>
                      <w:sz w:val="20"/>
                      <w:szCs w:val="20"/>
                    </w:rPr>
                    <w:t>≤250</w:t>
                  </w:r>
                </w:p>
              </w:tc>
            </w:tr>
            <w:tr w14:paraId="20A471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71E7A87E">
                  <w:pPr>
                    <w:pStyle w:val="6"/>
                    <w:spacing w:before="31" w:line="217" w:lineRule="auto"/>
                    <w:ind w:left="777"/>
                    <w:rPr>
                      <w:sz w:val="20"/>
                      <w:szCs w:val="20"/>
                    </w:rPr>
                  </w:pPr>
                  <w:r>
                    <w:rPr>
                      <w:sz w:val="20"/>
                      <w:szCs w:val="20"/>
                    </w:rPr>
                    <w:t>pH</w:t>
                  </w:r>
                  <w:r>
                    <w:rPr>
                      <w:spacing w:val="8"/>
                      <w:sz w:val="20"/>
                      <w:szCs w:val="20"/>
                    </w:rPr>
                    <w:t>（无量纲）</w:t>
                  </w:r>
                </w:p>
              </w:tc>
              <w:tc>
                <w:tcPr>
                  <w:tcW w:w="3370" w:type="dxa"/>
                  <w:vAlign w:val="top"/>
                </w:tcPr>
                <w:p w14:paraId="4D1C709E">
                  <w:pPr>
                    <w:spacing w:before="71" w:line="192" w:lineRule="auto"/>
                    <w:ind w:left="155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7.7</w:t>
                  </w:r>
                </w:p>
              </w:tc>
              <w:tc>
                <w:tcPr>
                  <w:tcW w:w="2163" w:type="dxa"/>
                  <w:tcBorders>
                    <w:right w:val="nil"/>
                  </w:tcBorders>
                  <w:vAlign w:val="top"/>
                </w:tcPr>
                <w:p w14:paraId="1E6D2B17">
                  <w:pPr>
                    <w:pStyle w:val="6"/>
                    <w:spacing w:before="31" w:line="217" w:lineRule="auto"/>
                    <w:ind w:left="458"/>
                    <w:outlineLvl w:val="0"/>
                    <w:rPr>
                      <w:sz w:val="20"/>
                      <w:szCs w:val="20"/>
                    </w:rPr>
                  </w:pPr>
                  <w:r>
                    <w:rPr>
                      <w:spacing w:val="6"/>
                      <w:sz w:val="20"/>
                      <w:szCs w:val="20"/>
                    </w:rPr>
                    <w:t>6.5≤</w:t>
                  </w:r>
                  <w:r>
                    <w:rPr>
                      <w:sz w:val="20"/>
                      <w:szCs w:val="20"/>
                    </w:rPr>
                    <w:t>pH</w:t>
                  </w:r>
                  <w:r>
                    <w:rPr>
                      <w:spacing w:val="6"/>
                      <w:sz w:val="20"/>
                      <w:szCs w:val="20"/>
                    </w:rPr>
                    <w:t>≤8.5</w:t>
                  </w:r>
                </w:p>
              </w:tc>
            </w:tr>
            <w:tr w14:paraId="1A40EA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63222208">
                  <w:pPr>
                    <w:pStyle w:val="6"/>
                    <w:spacing w:before="34" w:line="216" w:lineRule="auto"/>
                    <w:ind w:left="680"/>
                    <w:rPr>
                      <w:sz w:val="20"/>
                      <w:szCs w:val="20"/>
                    </w:rPr>
                  </w:pPr>
                  <w:r>
                    <w:rPr>
                      <w:spacing w:val="6"/>
                      <w:sz w:val="20"/>
                      <w:szCs w:val="20"/>
                    </w:rPr>
                    <w:t>总硬度（</w:t>
                  </w:r>
                  <w:r>
                    <w:rPr>
                      <w:sz w:val="20"/>
                      <w:szCs w:val="20"/>
                    </w:rPr>
                    <w:t>mg</w:t>
                  </w:r>
                  <w:r>
                    <w:rPr>
                      <w:spacing w:val="6"/>
                      <w:sz w:val="20"/>
                      <w:szCs w:val="20"/>
                    </w:rPr>
                    <w:t>/L）</w:t>
                  </w:r>
                </w:p>
              </w:tc>
              <w:tc>
                <w:tcPr>
                  <w:tcW w:w="3370" w:type="dxa"/>
                  <w:vAlign w:val="top"/>
                </w:tcPr>
                <w:p w14:paraId="6B5721F7">
                  <w:pPr>
                    <w:spacing w:before="69" w:line="195" w:lineRule="auto"/>
                    <w:ind w:left="152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218</w:t>
                  </w:r>
                </w:p>
              </w:tc>
              <w:tc>
                <w:tcPr>
                  <w:tcW w:w="2163" w:type="dxa"/>
                  <w:tcBorders>
                    <w:right w:val="nil"/>
                  </w:tcBorders>
                  <w:vAlign w:val="top"/>
                </w:tcPr>
                <w:p w14:paraId="20F6BCBA">
                  <w:pPr>
                    <w:pStyle w:val="6"/>
                    <w:spacing w:before="34" w:line="216" w:lineRule="auto"/>
                    <w:ind w:left="839"/>
                    <w:outlineLvl w:val="0"/>
                    <w:rPr>
                      <w:sz w:val="20"/>
                      <w:szCs w:val="20"/>
                    </w:rPr>
                  </w:pPr>
                  <w:r>
                    <w:rPr>
                      <w:spacing w:val="1"/>
                      <w:sz w:val="20"/>
                      <w:szCs w:val="20"/>
                    </w:rPr>
                    <w:t>≤450</w:t>
                  </w:r>
                </w:p>
              </w:tc>
            </w:tr>
            <w:tr w14:paraId="4EB004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46BF0A1F">
                  <w:pPr>
                    <w:pStyle w:val="6"/>
                    <w:spacing w:before="30" w:line="218" w:lineRule="auto"/>
                    <w:ind w:left="780"/>
                    <w:rPr>
                      <w:sz w:val="20"/>
                      <w:szCs w:val="20"/>
                    </w:rPr>
                  </w:pPr>
                  <w:r>
                    <w:rPr>
                      <w:spacing w:val="6"/>
                      <w:sz w:val="20"/>
                      <w:szCs w:val="20"/>
                    </w:rPr>
                    <w:t>氨氮（</w:t>
                  </w:r>
                  <w:r>
                    <w:rPr>
                      <w:sz w:val="20"/>
                      <w:szCs w:val="20"/>
                    </w:rPr>
                    <w:t>mg</w:t>
                  </w:r>
                  <w:r>
                    <w:rPr>
                      <w:spacing w:val="6"/>
                      <w:sz w:val="20"/>
                      <w:szCs w:val="20"/>
                    </w:rPr>
                    <w:t>/L）</w:t>
                  </w:r>
                </w:p>
              </w:tc>
              <w:tc>
                <w:tcPr>
                  <w:tcW w:w="3370" w:type="dxa"/>
                  <w:vAlign w:val="top"/>
                </w:tcPr>
                <w:p w14:paraId="6AA05B49">
                  <w:pPr>
                    <w:spacing w:before="67" w:line="195" w:lineRule="auto"/>
                    <w:ind w:left="145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0.072</w:t>
                  </w:r>
                </w:p>
              </w:tc>
              <w:tc>
                <w:tcPr>
                  <w:tcW w:w="2163" w:type="dxa"/>
                  <w:tcBorders>
                    <w:right w:val="nil"/>
                  </w:tcBorders>
                  <w:vAlign w:val="top"/>
                </w:tcPr>
                <w:p w14:paraId="771271A6">
                  <w:pPr>
                    <w:pStyle w:val="6"/>
                    <w:spacing w:before="30" w:line="218" w:lineRule="auto"/>
                    <w:ind w:left="786"/>
                    <w:rPr>
                      <w:sz w:val="20"/>
                      <w:szCs w:val="20"/>
                    </w:rPr>
                  </w:pPr>
                  <w:r>
                    <w:rPr>
                      <w:spacing w:val="1"/>
                      <w:sz w:val="20"/>
                      <w:szCs w:val="20"/>
                    </w:rPr>
                    <w:t>≤0.50</w:t>
                  </w:r>
                </w:p>
              </w:tc>
            </w:tr>
            <w:tr w14:paraId="55DEFD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7303AB37">
                  <w:pPr>
                    <w:pStyle w:val="6"/>
                    <w:spacing w:before="32" w:line="216" w:lineRule="auto"/>
                    <w:ind w:left="673"/>
                    <w:rPr>
                      <w:sz w:val="20"/>
                      <w:szCs w:val="20"/>
                    </w:rPr>
                  </w:pPr>
                  <w:r>
                    <w:rPr>
                      <w:spacing w:val="7"/>
                      <w:sz w:val="20"/>
                      <w:szCs w:val="20"/>
                    </w:rPr>
                    <w:t>氰化物（</w:t>
                  </w:r>
                  <w:r>
                    <w:rPr>
                      <w:sz w:val="20"/>
                      <w:szCs w:val="20"/>
                    </w:rPr>
                    <w:t>mg</w:t>
                  </w:r>
                  <w:r>
                    <w:rPr>
                      <w:spacing w:val="7"/>
                      <w:sz w:val="20"/>
                      <w:szCs w:val="20"/>
                    </w:rPr>
                    <w:t>/L）</w:t>
                  </w:r>
                </w:p>
              </w:tc>
              <w:tc>
                <w:tcPr>
                  <w:tcW w:w="3370" w:type="dxa"/>
                  <w:vAlign w:val="top"/>
                </w:tcPr>
                <w:p w14:paraId="7232D53F">
                  <w:pPr>
                    <w:spacing w:before="68" w:line="195" w:lineRule="auto"/>
                    <w:ind w:left="139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0.002L</w:t>
                  </w:r>
                </w:p>
              </w:tc>
              <w:tc>
                <w:tcPr>
                  <w:tcW w:w="2163" w:type="dxa"/>
                  <w:tcBorders>
                    <w:right w:val="nil"/>
                  </w:tcBorders>
                  <w:vAlign w:val="top"/>
                </w:tcPr>
                <w:p w14:paraId="2B9FDE0E">
                  <w:pPr>
                    <w:pStyle w:val="6"/>
                    <w:spacing w:before="32" w:line="216" w:lineRule="auto"/>
                    <w:ind w:left="786"/>
                    <w:rPr>
                      <w:sz w:val="20"/>
                      <w:szCs w:val="20"/>
                    </w:rPr>
                  </w:pPr>
                  <w:r>
                    <w:rPr>
                      <w:spacing w:val="1"/>
                      <w:sz w:val="20"/>
                      <w:szCs w:val="20"/>
                    </w:rPr>
                    <w:t>≤0.05</w:t>
                  </w:r>
                </w:p>
              </w:tc>
            </w:tr>
            <w:tr w14:paraId="569864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41559042">
                  <w:pPr>
                    <w:pStyle w:val="6"/>
                    <w:spacing w:before="30" w:line="219" w:lineRule="auto"/>
                    <w:ind w:left="673"/>
                    <w:outlineLvl w:val="0"/>
                    <w:rPr>
                      <w:sz w:val="20"/>
                      <w:szCs w:val="20"/>
                    </w:rPr>
                  </w:pPr>
                  <w:r>
                    <w:rPr>
                      <w:spacing w:val="7"/>
                      <w:sz w:val="20"/>
                      <w:szCs w:val="20"/>
                    </w:rPr>
                    <w:t>挥发酚（</w:t>
                  </w:r>
                  <w:r>
                    <w:rPr>
                      <w:sz w:val="20"/>
                      <w:szCs w:val="20"/>
                    </w:rPr>
                    <w:t>mg</w:t>
                  </w:r>
                  <w:r>
                    <w:rPr>
                      <w:spacing w:val="7"/>
                      <w:sz w:val="20"/>
                      <w:szCs w:val="20"/>
                    </w:rPr>
                    <w:t>/L）</w:t>
                  </w:r>
                </w:p>
              </w:tc>
              <w:tc>
                <w:tcPr>
                  <w:tcW w:w="3370" w:type="dxa"/>
                  <w:vAlign w:val="top"/>
                </w:tcPr>
                <w:p w14:paraId="26DCDCF2">
                  <w:pPr>
                    <w:spacing w:before="67" w:line="195" w:lineRule="auto"/>
                    <w:ind w:left="133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0.0003L</w:t>
                  </w:r>
                </w:p>
              </w:tc>
              <w:tc>
                <w:tcPr>
                  <w:tcW w:w="2163" w:type="dxa"/>
                  <w:tcBorders>
                    <w:right w:val="nil"/>
                  </w:tcBorders>
                  <w:vAlign w:val="top"/>
                </w:tcPr>
                <w:p w14:paraId="4662110D">
                  <w:pPr>
                    <w:pStyle w:val="6"/>
                    <w:spacing w:before="30" w:line="219" w:lineRule="auto"/>
                    <w:ind w:left="735"/>
                    <w:outlineLvl w:val="0"/>
                    <w:rPr>
                      <w:sz w:val="20"/>
                      <w:szCs w:val="20"/>
                    </w:rPr>
                  </w:pPr>
                  <w:r>
                    <w:rPr>
                      <w:spacing w:val="1"/>
                      <w:sz w:val="20"/>
                      <w:szCs w:val="20"/>
                    </w:rPr>
                    <w:t>≤0.002</w:t>
                  </w:r>
                </w:p>
              </w:tc>
            </w:tr>
            <w:tr w14:paraId="6A7AF94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602F377F">
                  <w:pPr>
                    <w:pStyle w:val="6"/>
                    <w:spacing w:before="31" w:line="217" w:lineRule="auto"/>
                    <w:ind w:left="675"/>
                    <w:rPr>
                      <w:sz w:val="20"/>
                      <w:szCs w:val="20"/>
                    </w:rPr>
                  </w:pPr>
                  <w:r>
                    <w:rPr>
                      <w:spacing w:val="7"/>
                      <w:sz w:val="20"/>
                      <w:szCs w:val="20"/>
                    </w:rPr>
                    <w:t>耗氧量（</w:t>
                  </w:r>
                  <w:r>
                    <w:rPr>
                      <w:sz w:val="20"/>
                      <w:szCs w:val="20"/>
                    </w:rPr>
                    <w:t>mg</w:t>
                  </w:r>
                  <w:r>
                    <w:rPr>
                      <w:spacing w:val="7"/>
                      <w:sz w:val="20"/>
                      <w:szCs w:val="20"/>
                    </w:rPr>
                    <w:t>/L）</w:t>
                  </w:r>
                </w:p>
              </w:tc>
              <w:tc>
                <w:tcPr>
                  <w:tcW w:w="3370" w:type="dxa"/>
                  <w:vAlign w:val="top"/>
                </w:tcPr>
                <w:p w14:paraId="721281CE">
                  <w:pPr>
                    <w:spacing w:before="67" w:line="195" w:lineRule="auto"/>
                    <w:ind w:left="155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2.3</w:t>
                  </w:r>
                </w:p>
              </w:tc>
              <w:tc>
                <w:tcPr>
                  <w:tcW w:w="2163" w:type="dxa"/>
                  <w:tcBorders>
                    <w:right w:val="nil"/>
                  </w:tcBorders>
                  <w:vAlign w:val="top"/>
                </w:tcPr>
                <w:p w14:paraId="7079A06F">
                  <w:pPr>
                    <w:pStyle w:val="6"/>
                    <w:spacing w:before="31" w:line="217" w:lineRule="auto"/>
                    <w:ind w:left="839"/>
                    <w:outlineLvl w:val="0"/>
                    <w:rPr>
                      <w:sz w:val="20"/>
                      <w:szCs w:val="20"/>
                    </w:rPr>
                  </w:pPr>
                  <w:r>
                    <w:rPr>
                      <w:spacing w:val="1"/>
                      <w:sz w:val="20"/>
                      <w:szCs w:val="20"/>
                    </w:rPr>
                    <w:t>≤3.0</w:t>
                  </w:r>
                </w:p>
              </w:tc>
            </w:tr>
            <w:tr w14:paraId="30D3D2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43B78904">
                  <w:pPr>
                    <w:pStyle w:val="6"/>
                    <w:spacing w:before="32" w:line="217" w:lineRule="auto"/>
                    <w:ind w:left="672"/>
                    <w:rPr>
                      <w:sz w:val="20"/>
                      <w:szCs w:val="20"/>
                    </w:rPr>
                  </w:pPr>
                  <w:r>
                    <w:rPr>
                      <w:spacing w:val="7"/>
                      <w:sz w:val="20"/>
                      <w:szCs w:val="20"/>
                    </w:rPr>
                    <w:t>氟化物（</w:t>
                  </w:r>
                  <w:r>
                    <w:rPr>
                      <w:sz w:val="20"/>
                      <w:szCs w:val="20"/>
                    </w:rPr>
                    <w:t>mg</w:t>
                  </w:r>
                  <w:r>
                    <w:rPr>
                      <w:spacing w:val="7"/>
                      <w:sz w:val="20"/>
                      <w:szCs w:val="20"/>
                    </w:rPr>
                    <w:t>/L）</w:t>
                  </w:r>
                </w:p>
              </w:tc>
              <w:tc>
                <w:tcPr>
                  <w:tcW w:w="3370" w:type="dxa"/>
                  <w:vAlign w:val="top"/>
                </w:tcPr>
                <w:p w14:paraId="0A7B24C3">
                  <w:pPr>
                    <w:spacing w:before="68" w:line="195" w:lineRule="auto"/>
                    <w:ind w:left="145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0.367</w:t>
                  </w:r>
                </w:p>
              </w:tc>
              <w:tc>
                <w:tcPr>
                  <w:tcW w:w="2163" w:type="dxa"/>
                  <w:tcBorders>
                    <w:right w:val="nil"/>
                  </w:tcBorders>
                  <w:vAlign w:val="top"/>
                </w:tcPr>
                <w:p w14:paraId="69573F8A">
                  <w:pPr>
                    <w:pStyle w:val="6"/>
                    <w:spacing w:before="32" w:line="217" w:lineRule="auto"/>
                    <w:ind w:left="839"/>
                    <w:rPr>
                      <w:sz w:val="20"/>
                      <w:szCs w:val="20"/>
                    </w:rPr>
                  </w:pPr>
                  <w:r>
                    <w:rPr>
                      <w:spacing w:val="1"/>
                      <w:sz w:val="20"/>
                      <w:szCs w:val="20"/>
                    </w:rPr>
                    <w:t>≤1.0</w:t>
                  </w:r>
                </w:p>
              </w:tc>
            </w:tr>
            <w:tr w14:paraId="38245B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5948AB1D">
                  <w:pPr>
                    <w:pStyle w:val="6"/>
                    <w:spacing w:before="30" w:line="218" w:lineRule="auto"/>
                    <w:ind w:left="886"/>
                    <w:outlineLvl w:val="0"/>
                    <w:rPr>
                      <w:sz w:val="20"/>
                      <w:szCs w:val="20"/>
                    </w:rPr>
                  </w:pPr>
                  <w:r>
                    <w:rPr>
                      <w:spacing w:val="5"/>
                      <w:sz w:val="20"/>
                      <w:szCs w:val="20"/>
                    </w:rPr>
                    <w:t>汞（</w:t>
                  </w:r>
                  <w:r>
                    <w:rPr>
                      <w:sz w:val="20"/>
                      <w:szCs w:val="20"/>
                    </w:rPr>
                    <w:t>mg</w:t>
                  </w:r>
                  <w:r>
                    <w:rPr>
                      <w:spacing w:val="5"/>
                      <w:sz w:val="20"/>
                      <w:szCs w:val="20"/>
                    </w:rPr>
                    <w:t>/L）</w:t>
                  </w:r>
                </w:p>
              </w:tc>
              <w:tc>
                <w:tcPr>
                  <w:tcW w:w="3370" w:type="dxa"/>
                  <w:vAlign w:val="top"/>
                </w:tcPr>
                <w:p w14:paraId="34396AAA">
                  <w:pPr>
                    <w:spacing w:before="66" w:line="195" w:lineRule="auto"/>
                    <w:ind w:left="128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0.00004L</w:t>
                  </w:r>
                </w:p>
              </w:tc>
              <w:tc>
                <w:tcPr>
                  <w:tcW w:w="2163" w:type="dxa"/>
                  <w:tcBorders>
                    <w:right w:val="nil"/>
                  </w:tcBorders>
                  <w:vAlign w:val="top"/>
                </w:tcPr>
                <w:p w14:paraId="4376448B">
                  <w:pPr>
                    <w:pStyle w:val="6"/>
                    <w:spacing w:before="30" w:line="218" w:lineRule="auto"/>
                    <w:ind w:left="735"/>
                    <w:outlineLvl w:val="0"/>
                    <w:rPr>
                      <w:sz w:val="20"/>
                      <w:szCs w:val="20"/>
                    </w:rPr>
                  </w:pPr>
                  <w:r>
                    <w:rPr>
                      <w:spacing w:val="1"/>
                      <w:sz w:val="20"/>
                      <w:szCs w:val="20"/>
                    </w:rPr>
                    <w:t>≤0.001</w:t>
                  </w:r>
                </w:p>
              </w:tc>
            </w:tr>
            <w:tr w14:paraId="4C9E2F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3884CB19">
                  <w:pPr>
                    <w:pStyle w:val="6"/>
                    <w:spacing w:before="31" w:line="217" w:lineRule="auto"/>
                    <w:ind w:left="884"/>
                    <w:outlineLvl w:val="0"/>
                    <w:rPr>
                      <w:sz w:val="20"/>
                      <w:szCs w:val="20"/>
                    </w:rPr>
                  </w:pPr>
                  <w:r>
                    <w:rPr>
                      <w:spacing w:val="6"/>
                      <w:sz w:val="20"/>
                      <w:szCs w:val="20"/>
                    </w:rPr>
                    <w:t>砷（</w:t>
                  </w:r>
                  <w:r>
                    <w:rPr>
                      <w:sz w:val="20"/>
                      <w:szCs w:val="20"/>
                    </w:rPr>
                    <w:t>mg</w:t>
                  </w:r>
                  <w:r>
                    <w:rPr>
                      <w:spacing w:val="6"/>
                      <w:sz w:val="20"/>
                      <w:szCs w:val="20"/>
                    </w:rPr>
                    <w:t>/L）</w:t>
                  </w:r>
                </w:p>
              </w:tc>
              <w:tc>
                <w:tcPr>
                  <w:tcW w:w="3370" w:type="dxa"/>
                  <w:vAlign w:val="top"/>
                </w:tcPr>
                <w:p w14:paraId="7DA062A3">
                  <w:pPr>
                    <w:spacing w:before="67" w:line="195" w:lineRule="auto"/>
                    <w:ind w:left="133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0.0003L</w:t>
                  </w:r>
                </w:p>
              </w:tc>
              <w:tc>
                <w:tcPr>
                  <w:tcW w:w="2163" w:type="dxa"/>
                  <w:tcBorders>
                    <w:right w:val="nil"/>
                  </w:tcBorders>
                  <w:vAlign w:val="top"/>
                </w:tcPr>
                <w:p w14:paraId="31CDA6E4">
                  <w:pPr>
                    <w:pStyle w:val="6"/>
                    <w:spacing w:before="31" w:line="217" w:lineRule="auto"/>
                    <w:ind w:left="786"/>
                    <w:outlineLvl w:val="0"/>
                    <w:rPr>
                      <w:sz w:val="20"/>
                      <w:szCs w:val="20"/>
                    </w:rPr>
                  </w:pPr>
                  <w:r>
                    <w:rPr>
                      <w:spacing w:val="1"/>
                      <w:sz w:val="20"/>
                      <w:szCs w:val="20"/>
                    </w:rPr>
                    <w:t>≤0.01</w:t>
                  </w:r>
                </w:p>
              </w:tc>
            </w:tr>
            <w:tr w14:paraId="5B8DE9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7EFECCD8">
                  <w:pPr>
                    <w:pStyle w:val="6"/>
                    <w:spacing w:before="32" w:line="217" w:lineRule="auto"/>
                    <w:ind w:left="884"/>
                    <w:rPr>
                      <w:sz w:val="20"/>
                      <w:szCs w:val="20"/>
                    </w:rPr>
                  </w:pPr>
                  <w:r>
                    <w:rPr>
                      <w:spacing w:val="6"/>
                      <w:sz w:val="20"/>
                      <w:szCs w:val="20"/>
                    </w:rPr>
                    <w:t>镉（</w:t>
                  </w:r>
                  <w:r>
                    <w:rPr>
                      <w:sz w:val="20"/>
                      <w:szCs w:val="20"/>
                    </w:rPr>
                    <w:t>mg</w:t>
                  </w:r>
                  <w:r>
                    <w:rPr>
                      <w:spacing w:val="6"/>
                      <w:sz w:val="20"/>
                      <w:szCs w:val="20"/>
                    </w:rPr>
                    <w:t>/L）</w:t>
                  </w:r>
                </w:p>
              </w:tc>
              <w:tc>
                <w:tcPr>
                  <w:tcW w:w="3370" w:type="dxa"/>
                  <w:vAlign w:val="top"/>
                </w:tcPr>
                <w:p w14:paraId="00578934">
                  <w:pPr>
                    <w:spacing w:before="68" w:line="195" w:lineRule="auto"/>
                    <w:ind w:left="139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0.001L</w:t>
                  </w:r>
                </w:p>
              </w:tc>
              <w:tc>
                <w:tcPr>
                  <w:tcW w:w="2163" w:type="dxa"/>
                  <w:tcBorders>
                    <w:right w:val="nil"/>
                  </w:tcBorders>
                  <w:vAlign w:val="top"/>
                </w:tcPr>
                <w:p w14:paraId="212CBD5D">
                  <w:pPr>
                    <w:pStyle w:val="6"/>
                    <w:spacing w:before="32" w:line="217" w:lineRule="auto"/>
                    <w:ind w:left="735"/>
                    <w:outlineLvl w:val="0"/>
                    <w:rPr>
                      <w:sz w:val="20"/>
                      <w:szCs w:val="20"/>
                    </w:rPr>
                  </w:pPr>
                  <w:r>
                    <w:rPr>
                      <w:spacing w:val="1"/>
                      <w:sz w:val="20"/>
                      <w:szCs w:val="20"/>
                    </w:rPr>
                    <w:t>≤0.005</w:t>
                  </w:r>
                </w:p>
              </w:tc>
            </w:tr>
            <w:tr w14:paraId="6AAC4D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0C47AAF3">
                  <w:pPr>
                    <w:pStyle w:val="6"/>
                    <w:spacing w:before="30" w:line="218" w:lineRule="auto"/>
                    <w:ind w:left="676"/>
                    <w:rPr>
                      <w:sz w:val="20"/>
                      <w:szCs w:val="20"/>
                    </w:rPr>
                  </w:pPr>
                  <w:r>
                    <w:rPr>
                      <w:spacing w:val="7"/>
                      <w:sz w:val="20"/>
                      <w:szCs w:val="20"/>
                    </w:rPr>
                    <w:t>六价铬（</w:t>
                  </w:r>
                  <w:r>
                    <w:rPr>
                      <w:sz w:val="20"/>
                      <w:szCs w:val="20"/>
                    </w:rPr>
                    <w:t>mg</w:t>
                  </w:r>
                  <w:r>
                    <w:rPr>
                      <w:spacing w:val="7"/>
                      <w:sz w:val="20"/>
                      <w:szCs w:val="20"/>
                    </w:rPr>
                    <w:t>/L）</w:t>
                  </w:r>
                </w:p>
              </w:tc>
              <w:tc>
                <w:tcPr>
                  <w:tcW w:w="3370" w:type="dxa"/>
                  <w:vAlign w:val="top"/>
                </w:tcPr>
                <w:p w14:paraId="6E67D446">
                  <w:pPr>
                    <w:spacing w:before="66" w:line="195" w:lineRule="auto"/>
                    <w:ind w:left="139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0.004L</w:t>
                  </w:r>
                </w:p>
              </w:tc>
              <w:tc>
                <w:tcPr>
                  <w:tcW w:w="2163" w:type="dxa"/>
                  <w:tcBorders>
                    <w:right w:val="nil"/>
                  </w:tcBorders>
                  <w:vAlign w:val="top"/>
                </w:tcPr>
                <w:p w14:paraId="2A2E7C6F">
                  <w:pPr>
                    <w:pStyle w:val="6"/>
                    <w:spacing w:before="30" w:line="218" w:lineRule="auto"/>
                    <w:ind w:left="786"/>
                    <w:rPr>
                      <w:sz w:val="20"/>
                      <w:szCs w:val="20"/>
                    </w:rPr>
                  </w:pPr>
                  <w:r>
                    <w:rPr>
                      <w:spacing w:val="1"/>
                      <w:sz w:val="20"/>
                      <w:szCs w:val="20"/>
                    </w:rPr>
                    <w:t>≤0.05</w:t>
                  </w:r>
                </w:p>
              </w:tc>
            </w:tr>
            <w:tr w14:paraId="1B3BD0F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77D03335">
                  <w:pPr>
                    <w:pStyle w:val="6"/>
                    <w:spacing w:before="31" w:line="217" w:lineRule="auto"/>
                    <w:ind w:left="884"/>
                    <w:rPr>
                      <w:sz w:val="20"/>
                      <w:szCs w:val="20"/>
                    </w:rPr>
                  </w:pPr>
                  <w:r>
                    <w:rPr>
                      <w:spacing w:val="6"/>
                      <w:sz w:val="20"/>
                      <w:szCs w:val="20"/>
                    </w:rPr>
                    <w:t>铁（</w:t>
                  </w:r>
                  <w:r>
                    <w:rPr>
                      <w:sz w:val="20"/>
                      <w:szCs w:val="20"/>
                    </w:rPr>
                    <w:t>mg</w:t>
                  </w:r>
                  <w:r>
                    <w:rPr>
                      <w:spacing w:val="6"/>
                      <w:sz w:val="20"/>
                      <w:szCs w:val="20"/>
                    </w:rPr>
                    <w:t>/L）</w:t>
                  </w:r>
                </w:p>
              </w:tc>
              <w:tc>
                <w:tcPr>
                  <w:tcW w:w="3370" w:type="dxa"/>
                  <w:vAlign w:val="top"/>
                </w:tcPr>
                <w:p w14:paraId="0C5A0F50">
                  <w:pPr>
                    <w:spacing w:before="67" w:line="195" w:lineRule="auto"/>
                    <w:ind w:left="144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0.03L</w:t>
                  </w:r>
                </w:p>
              </w:tc>
              <w:tc>
                <w:tcPr>
                  <w:tcW w:w="2163" w:type="dxa"/>
                  <w:tcBorders>
                    <w:right w:val="nil"/>
                  </w:tcBorders>
                  <w:vAlign w:val="top"/>
                </w:tcPr>
                <w:p w14:paraId="4E22A62D">
                  <w:pPr>
                    <w:pStyle w:val="6"/>
                    <w:spacing w:before="31" w:line="217" w:lineRule="auto"/>
                    <w:ind w:left="839"/>
                    <w:outlineLvl w:val="0"/>
                    <w:rPr>
                      <w:sz w:val="20"/>
                      <w:szCs w:val="20"/>
                    </w:rPr>
                  </w:pPr>
                  <w:r>
                    <w:rPr>
                      <w:spacing w:val="1"/>
                      <w:sz w:val="20"/>
                      <w:szCs w:val="20"/>
                    </w:rPr>
                    <w:t>≤0.3</w:t>
                  </w:r>
                </w:p>
              </w:tc>
            </w:tr>
            <w:tr w14:paraId="1B72D4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5" w:hRule="atLeast"/>
              </w:trPr>
              <w:tc>
                <w:tcPr>
                  <w:tcW w:w="2804" w:type="dxa"/>
                  <w:tcBorders>
                    <w:left w:val="nil"/>
                  </w:tcBorders>
                  <w:vAlign w:val="top"/>
                </w:tcPr>
                <w:p w14:paraId="35A14D53">
                  <w:pPr>
                    <w:pStyle w:val="6"/>
                    <w:spacing w:before="32" w:line="205" w:lineRule="auto"/>
                    <w:ind w:left="885"/>
                    <w:rPr>
                      <w:sz w:val="20"/>
                      <w:szCs w:val="20"/>
                    </w:rPr>
                  </w:pPr>
                  <w:r>
                    <w:rPr>
                      <w:spacing w:val="6"/>
                      <w:sz w:val="20"/>
                      <w:szCs w:val="20"/>
                    </w:rPr>
                    <w:t>锰（</w:t>
                  </w:r>
                  <w:r>
                    <w:rPr>
                      <w:sz w:val="20"/>
                      <w:szCs w:val="20"/>
                    </w:rPr>
                    <w:t>mg</w:t>
                  </w:r>
                  <w:r>
                    <w:rPr>
                      <w:spacing w:val="6"/>
                      <w:sz w:val="20"/>
                      <w:szCs w:val="20"/>
                    </w:rPr>
                    <w:t>/L）</w:t>
                  </w:r>
                </w:p>
              </w:tc>
              <w:tc>
                <w:tcPr>
                  <w:tcW w:w="3370" w:type="dxa"/>
                  <w:vAlign w:val="top"/>
                </w:tcPr>
                <w:p w14:paraId="1C42B31A">
                  <w:pPr>
                    <w:spacing w:before="68" w:line="195" w:lineRule="auto"/>
                    <w:ind w:left="1509"/>
                    <w:rPr>
                      <w:rFonts w:ascii="Times New Roman" w:hAnsi="Times New Roman" w:eastAsia="Times New Roman" w:cs="Times New Roman"/>
                      <w:sz w:val="20"/>
                      <w:szCs w:val="20"/>
                    </w:rPr>
                  </w:pPr>
                  <w:r>
                    <w:rPr>
                      <w:rFonts w:ascii="Times New Roman" w:hAnsi="Times New Roman" w:eastAsia="Times New Roman" w:cs="Times New Roman"/>
                      <w:b/>
                      <w:bCs/>
                      <w:i/>
                      <w:iCs/>
                      <w:spacing w:val="1"/>
                      <w:sz w:val="20"/>
                      <w:szCs w:val="20"/>
                    </w:rPr>
                    <w:t>0.19</w:t>
                  </w:r>
                </w:p>
              </w:tc>
              <w:tc>
                <w:tcPr>
                  <w:tcW w:w="2163" w:type="dxa"/>
                  <w:tcBorders>
                    <w:right w:val="nil"/>
                  </w:tcBorders>
                  <w:vAlign w:val="top"/>
                </w:tcPr>
                <w:p w14:paraId="36DD26FE">
                  <w:pPr>
                    <w:pStyle w:val="6"/>
                    <w:spacing w:before="32" w:line="205" w:lineRule="auto"/>
                    <w:ind w:left="786"/>
                    <w:outlineLvl w:val="0"/>
                    <w:rPr>
                      <w:sz w:val="20"/>
                      <w:szCs w:val="20"/>
                    </w:rPr>
                  </w:pPr>
                  <w:r>
                    <w:rPr>
                      <w:spacing w:val="1"/>
                      <w:sz w:val="20"/>
                      <w:szCs w:val="20"/>
                    </w:rPr>
                    <w:t>≤0.10</w:t>
                  </w:r>
                </w:p>
              </w:tc>
            </w:tr>
            <w:tr w14:paraId="54C509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2804" w:type="dxa"/>
                  <w:tcBorders>
                    <w:left w:val="nil"/>
                  </w:tcBorders>
                  <w:vAlign w:val="top"/>
                </w:tcPr>
                <w:p w14:paraId="16DE59EE">
                  <w:pPr>
                    <w:pStyle w:val="6"/>
                    <w:spacing w:before="43" w:line="217" w:lineRule="auto"/>
                    <w:ind w:left="885"/>
                    <w:rPr>
                      <w:sz w:val="20"/>
                      <w:szCs w:val="20"/>
                    </w:rPr>
                  </w:pPr>
                  <w:r>
                    <w:rPr>
                      <w:spacing w:val="6"/>
                      <w:sz w:val="20"/>
                      <w:szCs w:val="20"/>
                    </w:rPr>
                    <w:t>铅（</w:t>
                  </w:r>
                  <w:r>
                    <w:rPr>
                      <w:sz w:val="20"/>
                      <w:szCs w:val="20"/>
                    </w:rPr>
                    <w:t>mg</w:t>
                  </w:r>
                  <w:r>
                    <w:rPr>
                      <w:spacing w:val="6"/>
                      <w:sz w:val="20"/>
                      <w:szCs w:val="20"/>
                    </w:rPr>
                    <w:t>/L）</w:t>
                  </w:r>
                </w:p>
              </w:tc>
              <w:tc>
                <w:tcPr>
                  <w:tcW w:w="3370" w:type="dxa"/>
                  <w:vAlign w:val="top"/>
                </w:tcPr>
                <w:p w14:paraId="31332007">
                  <w:pPr>
                    <w:spacing w:before="79" w:line="195" w:lineRule="auto"/>
                    <w:ind w:left="139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0.010L</w:t>
                  </w:r>
                </w:p>
              </w:tc>
              <w:tc>
                <w:tcPr>
                  <w:tcW w:w="2163" w:type="dxa"/>
                  <w:tcBorders>
                    <w:right w:val="nil"/>
                  </w:tcBorders>
                  <w:vAlign w:val="top"/>
                </w:tcPr>
                <w:p w14:paraId="4771135C">
                  <w:pPr>
                    <w:pStyle w:val="6"/>
                    <w:spacing w:before="43" w:line="217" w:lineRule="auto"/>
                    <w:ind w:left="786"/>
                    <w:outlineLvl w:val="0"/>
                    <w:rPr>
                      <w:sz w:val="20"/>
                      <w:szCs w:val="20"/>
                    </w:rPr>
                  </w:pPr>
                  <w:r>
                    <w:rPr>
                      <w:spacing w:val="1"/>
                      <w:sz w:val="20"/>
                      <w:szCs w:val="20"/>
                    </w:rPr>
                    <w:t>≤0.01</w:t>
                  </w:r>
                </w:p>
              </w:tc>
            </w:tr>
            <w:tr w14:paraId="13297CA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2C3363F7">
                  <w:pPr>
                    <w:pStyle w:val="6"/>
                    <w:spacing w:before="33" w:line="216" w:lineRule="auto"/>
                    <w:ind w:left="570"/>
                    <w:rPr>
                      <w:sz w:val="20"/>
                      <w:szCs w:val="20"/>
                    </w:rPr>
                  </w:pPr>
                  <w:r>
                    <w:rPr>
                      <w:spacing w:val="7"/>
                      <w:sz w:val="20"/>
                      <w:szCs w:val="20"/>
                    </w:rPr>
                    <w:t>亚硝酸盐（</w:t>
                  </w:r>
                  <w:r>
                    <w:rPr>
                      <w:sz w:val="20"/>
                      <w:szCs w:val="20"/>
                    </w:rPr>
                    <w:t>mg</w:t>
                  </w:r>
                  <w:r>
                    <w:rPr>
                      <w:spacing w:val="7"/>
                      <w:sz w:val="20"/>
                      <w:szCs w:val="20"/>
                    </w:rPr>
                    <w:t>/L）</w:t>
                  </w:r>
                </w:p>
              </w:tc>
              <w:tc>
                <w:tcPr>
                  <w:tcW w:w="3370" w:type="dxa"/>
                  <w:vAlign w:val="top"/>
                </w:tcPr>
                <w:p w14:paraId="5AFF8A94">
                  <w:pPr>
                    <w:spacing w:before="68" w:line="195" w:lineRule="auto"/>
                    <w:ind w:left="139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0.016L</w:t>
                  </w:r>
                </w:p>
              </w:tc>
              <w:tc>
                <w:tcPr>
                  <w:tcW w:w="2163" w:type="dxa"/>
                  <w:tcBorders>
                    <w:right w:val="nil"/>
                  </w:tcBorders>
                  <w:vAlign w:val="top"/>
                </w:tcPr>
                <w:p w14:paraId="69E2D712">
                  <w:pPr>
                    <w:pStyle w:val="6"/>
                    <w:spacing w:before="33" w:line="216" w:lineRule="auto"/>
                    <w:ind w:left="786"/>
                    <w:outlineLvl w:val="0"/>
                    <w:rPr>
                      <w:sz w:val="20"/>
                      <w:szCs w:val="20"/>
                    </w:rPr>
                  </w:pPr>
                  <w:r>
                    <w:rPr>
                      <w:spacing w:val="1"/>
                      <w:sz w:val="20"/>
                      <w:szCs w:val="20"/>
                    </w:rPr>
                    <w:t>≤1.00</w:t>
                  </w:r>
                </w:p>
              </w:tc>
            </w:tr>
            <w:tr w14:paraId="4D0F5F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58809D0B">
                  <w:pPr>
                    <w:pStyle w:val="6"/>
                    <w:spacing w:before="33" w:line="216" w:lineRule="auto"/>
                    <w:ind w:left="676"/>
                    <w:rPr>
                      <w:sz w:val="20"/>
                      <w:szCs w:val="20"/>
                    </w:rPr>
                  </w:pPr>
                  <w:r>
                    <w:rPr>
                      <w:spacing w:val="7"/>
                      <w:sz w:val="20"/>
                      <w:szCs w:val="20"/>
                    </w:rPr>
                    <w:t>硝酸盐（</w:t>
                  </w:r>
                  <w:r>
                    <w:rPr>
                      <w:sz w:val="20"/>
                      <w:szCs w:val="20"/>
                    </w:rPr>
                    <w:t>mg</w:t>
                  </w:r>
                  <w:r>
                    <w:rPr>
                      <w:spacing w:val="7"/>
                      <w:sz w:val="20"/>
                      <w:szCs w:val="20"/>
                    </w:rPr>
                    <w:t>/L）</w:t>
                  </w:r>
                </w:p>
              </w:tc>
              <w:tc>
                <w:tcPr>
                  <w:tcW w:w="3370" w:type="dxa"/>
                  <w:vAlign w:val="top"/>
                </w:tcPr>
                <w:p w14:paraId="5F0C7656">
                  <w:pPr>
                    <w:spacing w:before="70" w:line="195" w:lineRule="auto"/>
                    <w:ind w:left="145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0.601</w:t>
                  </w:r>
                </w:p>
              </w:tc>
              <w:tc>
                <w:tcPr>
                  <w:tcW w:w="2163" w:type="dxa"/>
                  <w:tcBorders>
                    <w:right w:val="nil"/>
                  </w:tcBorders>
                  <w:vAlign w:val="top"/>
                </w:tcPr>
                <w:p w14:paraId="6A02DDE0">
                  <w:pPr>
                    <w:pStyle w:val="6"/>
                    <w:spacing w:before="33" w:line="216" w:lineRule="auto"/>
                    <w:ind w:left="786"/>
                    <w:rPr>
                      <w:sz w:val="20"/>
                      <w:szCs w:val="20"/>
                    </w:rPr>
                  </w:pPr>
                  <w:r>
                    <w:rPr>
                      <w:spacing w:val="1"/>
                      <w:sz w:val="20"/>
                      <w:szCs w:val="20"/>
                    </w:rPr>
                    <w:t>≤20.0</w:t>
                  </w:r>
                </w:p>
              </w:tc>
            </w:tr>
            <w:tr w14:paraId="5DF90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0423C8A8">
                  <w:pPr>
                    <w:pStyle w:val="6"/>
                    <w:spacing w:before="31" w:line="217" w:lineRule="auto"/>
                    <w:ind w:left="362"/>
                    <w:rPr>
                      <w:sz w:val="20"/>
                      <w:szCs w:val="20"/>
                    </w:rPr>
                  </w:pPr>
                  <w:r>
                    <w:rPr>
                      <w:spacing w:val="7"/>
                      <w:sz w:val="20"/>
                      <w:szCs w:val="20"/>
                    </w:rPr>
                    <w:t>溶解性总固体（</w:t>
                  </w:r>
                  <w:r>
                    <w:rPr>
                      <w:sz w:val="20"/>
                      <w:szCs w:val="20"/>
                    </w:rPr>
                    <w:t>mg</w:t>
                  </w:r>
                  <w:r>
                    <w:rPr>
                      <w:spacing w:val="7"/>
                      <w:sz w:val="20"/>
                      <w:szCs w:val="20"/>
                    </w:rPr>
                    <w:t>/L）</w:t>
                  </w:r>
                </w:p>
              </w:tc>
              <w:tc>
                <w:tcPr>
                  <w:tcW w:w="3370" w:type="dxa"/>
                  <w:vAlign w:val="top"/>
                </w:tcPr>
                <w:p w14:paraId="016A1F96">
                  <w:pPr>
                    <w:spacing w:before="67" w:line="195" w:lineRule="auto"/>
                    <w:ind w:left="152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467</w:t>
                  </w:r>
                </w:p>
              </w:tc>
              <w:tc>
                <w:tcPr>
                  <w:tcW w:w="2163" w:type="dxa"/>
                  <w:tcBorders>
                    <w:right w:val="nil"/>
                  </w:tcBorders>
                  <w:vAlign w:val="top"/>
                </w:tcPr>
                <w:p w14:paraId="4631186E">
                  <w:pPr>
                    <w:pStyle w:val="6"/>
                    <w:spacing w:before="31" w:line="217" w:lineRule="auto"/>
                    <w:ind w:left="786"/>
                    <w:rPr>
                      <w:sz w:val="20"/>
                      <w:szCs w:val="20"/>
                    </w:rPr>
                  </w:pPr>
                  <w:r>
                    <w:rPr>
                      <w:spacing w:val="1"/>
                      <w:sz w:val="20"/>
                      <w:szCs w:val="20"/>
                    </w:rPr>
                    <w:t>≤1000</w:t>
                  </w:r>
                </w:p>
              </w:tc>
            </w:tr>
            <w:tr w14:paraId="406EB1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2804" w:type="dxa"/>
                  <w:tcBorders>
                    <w:left w:val="nil"/>
                  </w:tcBorders>
                  <w:vAlign w:val="top"/>
                </w:tcPr>
                <w:p w14:paraId="5A515E22">
                  <w:pPr>
                    <w:pStyle w:val="6"/>
                    <w:spacing w:before="33" w:line="216" w:lineRule="auto"/>
                    <w:ind w:left="312"/>
                    <w:rPr>
                      <w:sz w:val="20"/>
                      <w:szCs w:val="20"/>
                    </w:rPr>
                  </w:pPr>
                  <w:r>
                    <w:rPr>
                      <w:spacing w:val="8"/>
                      <w:sz w:val="20"/>
                      <w:szCs w:val="20"/>
                    </w:rPr>
                    <w:t>总大肠菌群(</w:t>
                  </w:r>
                  <w:r>
                    <w:rPr>
                      <w:sz w:val="20"/>
                      <w:szCs w:val="20"/>
                    </w:rPr>
                    <w:t>MPN</w:t>
                  </w:r>
                  <w:r>
                    <w:rPr>
                      <w:spacing w:val="8"/>
                      <w:sz w:val="20"/>
                      <w:szCs w:val="20"/>
                    </w:rPr>
                    <w:t>/100</w:t>
                  </w:r>
                  <w:r>
                    <w:rPr>
                      <w:sz w:val="20"/>
                      <w:szCs w:val="20"/>
                    </w:rPr>
                    <w:t>mL</w:t>
                  </w:r>
                  <w:r>
                    <w:rPr>
                      <w:spacing w:val="8"/>
                      <w:sz w:val="20"/>
                      <w:szCs w:val="20"/>
                    </w:rPr>
                    <w:t>)</w:t>
                  </w:r>
                </w:p>
              </w:tc>
              <w:tc>
                <w:tcPr>
                  <w:tcW w:w="3370" w:type="dxa"/>
                  <w:vAlign w:val="top"/>
                </w:tcPr>
                <w:p w14:paraId="5A99E6CA">
                  <w:pPr>
                    <w:pStyle w:val="6"/>
                    <w:spacing w:before="33" w:line="216" w:lineRule="auto"/>
                    <w:ind w:left="1548"/>
                    <w:outlineLvl w:val="0"/>
                    <w:rPr>
                      <w:rFonts w:ascii="Times New Roman" w:hAnsi="Times New Roman" w:eastAsia="Times New Roman" w:cs="Times New Roman"/>
                      <w:sz w:val="20"/>
                      <w:szCs w:val="20"/>
                    </w:rPr>
                  </w:pPr>
                  <w:r>
                    <w:rPr>
                      <w:spacing w:val="-4"/>
                      <w:sz w:val="20"/>
                      <w:szCs w:val="20"/>
                    </w:rPr>
                    <w:t>＜</w:t>
                  </w:r>
                  <w:r>
                    <w:rPr>
                      <w:rFonts w:ascii="Times New Roman" w:hAnsi="Times New Roman" w:eastAsia="Times New Roman" w:cs="Times New Roman"/>
                      <w:spacing w:val="-4"/>
                      <w:sz w:val="20"/>
                      <w:szCs w:val="20"/>
                    </w:rPr>
                    <w:t>2</w:t>
                  </w:r>
                </w:p>
              </w:tc>
              <w:tc>
                <w:tcPr>
                  <w:tcW w:w="2163" w:type="dxa"/>
                  <w:tcBorders>
                    <w:right w:val="nil"/>
                  </w:tcBorders>
                  <w:vAlign w:val="top"/>
                </w:tcPr>
                <w:p w14:paraId="57AD11BF">
                  <w:pPr>
                    <w:pStyle w:val="6"/>
                    <w:spacing w:before="33" w:line="216" w:lineRule="auto"/>
                    <w:ind w:left="839"/>
                    <w:rPr>
                      <w:sz w:val="20"/>
                      <w:szCs w:val="20"/>
                    </w:rPr>
                  </w:pPr>
                  <w:r>
                    <w:rPr>
                      <w:spacing w:val="1"/>
                      <w:sz w:val="20"/>
                      <w:szCs w:val="20"/>
                    </w:rPr>
                    <w:t>≤3.0</w:t>
                  </w:r>
                </w:p>
              </w:tc>
            </w:tr>
            <w:tr w14:paraId="5596D6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2804" w:type="dxa"/>
                  <w:tcBorders>
                    <w:left w:val="nil"/>
                  </w:tcBorders>
                  <w:vAlign w:val="top"/>
                </w:tcPr>
                <w:p w14:paraId="7D43A6BE">
                  <w:pPr>
                    <w:pStyle w:val="6"/>
                    <w:spacing w:before="33" w:line="216" w:lineRule="auto"/>
                    <w:ind w:left="469"/>
                    <w:rPr>
                      <w:sz w:val="20"/>
                      <w:szCs w:val="20"/>
                    </w:rPr>
                  </w:pPr>
                  <w:r>
                    <w:rPr>
                      <w:spacing w:val="9"/>
                      <w:sz w:val="20"/>
                      <w:szCs w:val="20"/>
                    </w:rPr>
                    <w:t>菌落总数（</w:t>
                  </w:r>
                  <w:r>
                    <w:rPr>
                      <w:sz w:val="20"/>
                      <w:szCs w:val="20"/>
                    </w:rPr>
                    <w:t>CFU</w:t>
                  </w:r>
                  <w:r>
                    <w:rPr>
                      <w:spacing w:val="9"/>
                      <w:sz w:val="20"/>
                      <w:szCs w:val="20"/>
                    </w:rPr>
                    <w:t>/</w:t>
                  </w:r>
                  <w:r>
                    <w:rPr>
                      <w:sz w:val="20"/>
                      <w:szCs w:val="20"/>
                    </w:rPr>
                    <w:t>mL</w:t>
                  </w:r>
                  <w:r>
                    <w:rPr>
                      <w:spacing w:val="9"/>
                      <w:sz w:val="20"/>
                      <w:szCs w:val="20"/>
                    </w:rPr>
                    <w:t>）</w:t>
                  </w:r>
                </w:p>
              </w:tc>
              <w:tc>
                <w:tcPr>
                  <w:tcW w:w="3370" w:type="dxa"/>
                  <w:vAlign w:val="top"/>
                </w:tcPr>
                <w:p w14:paraId="33256141">
                  <w:pPr>
                    <w:spacing w:before="70" w:line="195" w:lineRule="auto"/>
                    <w:ind w:left="158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23</w:t>
                  </w:r>
                </w:p>
              </w:tc>
              <w:tc>
                <w:tcPr>
                  <w:tcW w:w="2163" w:type="dxa"/>
                  <w:tcBorders>
                    <w:right w:val="nil"/>
                  </w:tcBorders>
                  <w:vAlign w:val="top"/>
                </w:tcPr>
                <w:p w14:paraId="629FF0C6">
                  <w:pPr>
                    <w:pStyle w:val="6"/>
                    <w:spacing w:before="33" w:line="216" w:lineRule="auto"/>
                    <w:ind w:left="839"/>
                    <w:outlineLvl w:val="0"/>
                    <w:rPr>
                      <w:sz w:val="20"/>
                      <w:szCs w:val="20"/>
                    </w:rPr>
                  </w:pPr>
                  <w:r>
                    <w:rPr>
                      <w:spacing w:val="1"/>
                      <w:sz w:val="20"/>
                      <w:szCs w:val="20"/>
                    </w:rPr>
                    <w:t>≤100</w:t>
                  </w:r>
                </w:p>
              </w:tc>
            </w:tr>
            <w:tr w14:paraId="2E2BD8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5" w:hRule="atLeast"/>
              </w:trPr>
              <w:tc>
                <w:tcPr>
                  <w:tcW w:w="2804" w:type="dxa"/>
                  <w:tcBorders>
                    <w:left w:val="nil"/>
                  </w:tcBorders>
                  <w:vAlign w:val="top"/>
                </w:tcPr>
                <w:p w14:paraId="3E0723AD">
                  <w:pPr>
                    <w:spacing w:line="254" w:lineRule="auto"/>
                    <w:rPr>
                      <w:rFonts w:ascii="Arial"/>
                      <w:sz w:val="21"/>
                    </w:rPr>
                  </w:pPr>
                </w:p>
                <w:p w14:paraId="4788AEA6">
                  <w:pPr>
                    <w:spacing w:line="254" w:lineRule="auto"/>
                    <w:rPr>
                      <w:rFonts w:ascii="Arial"/>
                      <w:sz w:val="21"/>
                    </w:rPr>
                  </w:pPr>
                </w:p>
                <w:p w14:paraId="3CD65DBC">
                  <w:pPr>
                    <w:pStyle w:val="6"/>
                    <w:spacing w:before="65" w:line="222" w:lineRule="auto"/>
                    <w:ind w:left="675"/>
                    <w:rPr>
                      <w:sz w:val="20"/>
                      <w:szCs w:val="20"/>
                    </w:rPr>
                  </w:pPr>
                  <w:r>
                    <w:rPr>
                      <w:spacing w:val="7"/>
                      <w:sz w:val="20"/>
                      <w:szCs w:val="20"/>
                    </w:rPr>
                    <w:t>石油类（</w:t>
                  </w:r>
                  <w:r>
                    <w:rPr>
                      <w:sz w:val="20"/>
                      <w:szCs w:val="20"/>
                    </w:rPr>
                    <w:t>mg</w:t>
                  </w:r>
                  <w:r>
                    <w:rPr>
                      <w:spacing w:val="7"/>
                      <w:sz w:val="20"/>
                      <w:szCs w:val="20"/>
                    </w:rPr>
                    <w:t>/L）</w:t>
                  </w:r>
                </w:p>
              </w:tc>
              <w:tc>
                <w:tcPr>
                  <w:tcW w:w="3370" w:type="dxa"/>
                  <w:vAlign w:val="top"/>
                </w:tcPr>
                <w:p w14:paraId="4E7B763F">
                  <w:pPr>
                    <w:spacing w:line="276" w:lineRule="auto"/>
                    <w:rPr>
                      <w:rFonts w:ascii="Arial"/>
                      <w:sz w:val="21"/>
                    </w:rPr>
                  </w:pPr>
                </w:p>
                <w:p w14:paraId="231AB673">
                  <w:pPr>
                    <w:spacing w:line="276" w:lineRule="auto"/>
                    <w:rPr>
                      <w:rFonts w:ascii="Arial"/>
                      <w:sz w:val="21"/>
                    </w:rPr>
                  </w:pPr>
                </w:p>
                <w:p w14:paraId="48D8EEB4">
                  <w:pPr>
                    <w:spacing w:before="57" w:line="195" w:lineRule="auto"/>
                    <w:ind w:left="144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0.01L</w:t>
                  </w:r>
                </w:p>
              </w:tc>
              <w:tc>
                <w:tcPr>
                  <w:tcW w:w="2163" w:type="dxa"/>
                  <w:tcBorders>
                    <w:right w:val="nil"/>
                  </w:tcBorders>
                  <w:vAlign w:val="top"/>
                </w:tcPr>
                <w:p w14:paraId="48019D45">
                  <w:pPr>
                    <w:pStyle w:val="6"/>
                    <w:spacing w:before="32" w:line="245" w:lineRule="auto"/>
                    <w:ind w:left="115" w:right="20" w:firstLine="32"/>
                    <w:jc w:val="both"/>
                    <w:rPr>
                      <w:sz w:val="20"/>
                      <w:szCs w:val="20"/>
                    </w:rPr>
                  </w:pPr>
                  <w:r>
                    <w:rPr>
                      <w:spacing w:val="8"/>
                      <w:sz w:val="20"/>
                      <w:szCs w:val="20"/>
                    </w:rPr>
                    <w:t>《地表水环境质量标</w:t>
                  </w:r>
                  <w:r>
                    <w:rPr>
                      <w:spacing w:val="1"/>
                      <w:sz w:val="20"/>
                      <w:szCs w:val="20"/>
                    </w:rPr>
                    <w:t xml:space="preserve">  准》（</w:t>
                  </w:r>
                  <w:r>
                    <w:rPr>
                      <w:sz w:val="20"/>
                      <w:szCs w:val="20"/>
                    </w:rPr>
                    <w:t>GB</w:t>
                  </w:r>
                  <w:r>
                    <w:rPr>
                      <w:spacing w:val="1"/>
                      <w:sz w:val="20"/>
                      <w:szCs w:val="20"/>
                    </w:rPr>
                    <w:t xml:space="preserve"> 3838-2002）</w:t>
                  </w:r>
                  <w:r>
                    <w:rPr>
                      <w:spacing w:val="9"/>
                      <w:sz w:val="20"/>
                      <w:szCs w:val="20"/>
                    </w:rPr>
                    <w:t xml:space="preserve"> </w:t>
                  </w:r>
                  <w:r>
                    <w:rPr>
                      <w:spacing w:val="7"/>
                      <w:sz w:val="20"/>
                      <w:szCs w:val="20"/>
                    </w:rPr>
                    <w:t>表</w:t>
                  </w:r>
                  <w:r>
                    <w:rPr>
                      <w:spacing w:val="-19"/>
                      <w:sz w:val="20"/>
                      <w:szCs w:val="20"/>
                    </w:rPr>
                    <w:t xml:space="preserve"> </w:t>
                  </w:r>
                  <w:r>
                    <w:rPr>
                      <w:spacing w:val="7"/>
                      <w:sz w:val="20"/>
                      <w:szCs w:val="20"/>
                    </w:rPr>
                    <w:t>1</w:t>
                  </w:r>
                  <w:r>
                    <w:rPr>
                      <w:spacing w:val="-38"/>
                      <w:sz w:val="20"/>
                      <w:szCs w:val="20"/>
                    </w:rPr>
                    <w:t xml:space="preserve"> </w:t>
                  </w:r>
                  <w:r>
                    <w:rPr>
                      <w:spacing w:val="7"/>
                      <w:sz w:val="20"/>
                      <w:szCs w:val="20"/>
                    </w:rPr>
                    <w:t>环境质量标准基</w:t>
                  </w:r>
                  <w:r>
                    <w:rPr>
                      <w:sz w:val="20"/>
                      <w:szCs w:val="20"/>
                    </w:rPr>
                    <w:t xml:space="preserve">  </w:t>
                  </w:r>
                  <w:r>
                    <w:rPr>
                      <w:spacing w:val="11"/>
                      <w:sz w:val="20"/>
                      <w:szCs w:val="20"/>
                    </w:rPr>
                    <w:t>本项目标准限值Ⅲ类</w:t>
                  </w:r>
                </w:p>
                <w:p w14:paraId="3D0DAAFB">
                  <w:pPr>
                    <w:pStyle w:val="6"/>
                    <w:spacing w:before="27" w:line="215" w:lineRule="auto"/>
                    <w:ind w:left="510"/>
                    <w:outlineLvl w:val="0"/>
                    <w:rPr>
                      <w:sz w:val="20"/>
                      <w:szCs w:val="20"/>
                    </w:rPr>
                  </w:pPr>
                  <w:r>
                    <w:rPr>
                      <w:spacing w:val="2"/>
                      <w:sz w:val="20"/>
                      <w:szCs w:val="20"/>
                    </w:rPr>
                    <w:t>标准</w:t>
                  </w:r>
                  <w:r>
                    <w:rPr>
                      <w:spacing w:val="31"/>
                      <w:sz w:val="20"/>
                      <w:szCs w:val="20"/>
                    </w:rPr>
                    <w:t xml:space="preserve"> </w:t>
                  </w:r>
                  <w:r>
                    <w:rPr>
                      <w:spacing w:val="2"/>
                      <w:sz w:val="20"/>
                      <w:szCs w:val="20"/>
                    </w:rPr>
                    <w:t>≤0.05</w:t>
                  </w:r>
                </w:p>
              </w:tc>
            </w:tr>
            <w:tr w14:paraId="09F3D8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2804" w:type="dxa"/>
                  <w:tcBorders>
                    <w:left w:val="nil"/>
                  </w:tcBorders>
                  <w:vAlign w:val="top"/>
                </w:tcPr>
                <w:p w14:paraId="6B8B9652">
                  <w:pPr>
                    <w:pStyle w:val="6"/>
                    <w:spacing w:before="54" w:line="221" w:lineRule="auto"/>
                    <w:ind w:left="869"/>
                    <w:outlineLvl w:val="0"/>
                    <w:rPr>
                      <w:sz w:val="20"/>
                      <w:szCs w:val="20"/>
                    </w:rPr>
                  </w:pPr>
                  <w:r>
                    <w:rPr>
                      <w:spacing w:val="5"/>
                      <w:sz w:val="20"/>
                      <w:szCs w:val="20"/>
                    </w:rPr>
                    <w:t>苯（</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/L</w:t>
                  </w:r>
                  <w:r>
                    <w:rPr>
                      <w:spacing w:val="5"/>
                      <w:sz w:val="20"/>
                      <w:szCs w:val="20"/>
                    </w:rPr>
                    <w:t>）</w:t>
                  </w:r>
                </w:p>
              </w:tc>
              <w:tc>
                <w:tcPr>
                  <w:tcW w:w="3370" w:type="dxa"/>
                  <w:vAlign w:val="top"/>
                </w:tcPr>
                <w:p w14:paraId="18FAF7CF">
                  <w:pPr>
                    <w:spacing w:before="90" w:line="195" w:lineRule="auto"/>
                    <w:ind w:left="133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0.0004L</w:t>
                  </w:r>
                </w:p>
              </w:tc>
              <w:tc>
                <w:tcPr>
                  <w:tcW w:w="2163" w:type="dxa"/>
                  <w:tcBorders>
                    <w:right w:val="nil"/>
                  </w:tcBorders>
                  <w:vAlign w:val="top"/>
                </w:tcPr>
                <w:p w14:paraId="0A3534BA">
                  <w:pPr>
                    <w:pStyle w:val="6"/>
                    <w:spacing w:before="54" w:line="232" w:lineRule="auto"/>
                    <w:ind w:left="891"/>
                    <w:outlineLvl w:val="0"/>
                    <w:rPr>
                      <w:rFonts w:ascii="Times New Roman" w:hAnsi="Times New Roman" w:eastAsia="Times New Roman" w:cs="Times New Roman"/>
                      <w:sz w:val="20"/>
                      <w:szCs w:val="20"/>
                    </w:rPr>
                  </w:pPr>
                  <w:r>
                    <w:rPr>
                      <w:spacing w:val="-1"/>
                      <w:sz w:val="20"/>
                      <w:szCs w:val="20"/>
                    </w:rPr>
                    <w:t>≤</w:t>
                  </w:r>
                  <w:r>
                    <w:rPr>
                      <w:rFonts w:ascii="Times New Roman" w:hAnsi="Times New Roman" w:eastAsia="Times New Roman" w:cs="Times New Roman"/>
                      <w:spacing w:val="-1"/>
                      <w:sz w:val="20"/>
                      <w:szCs w:val="20"/>
                    </w:rPr>
                    <w:t>10</w:t>
                  </w:r>
                </w:p>
              </w:tc>
            </w:tr>
            <w:tr w14:paraId="33DEEE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2804" w:type="dxa"/>
                  <w:tcBorders>
                    <w:left w:val="nil"/>
                  </w:tcBorders>
                  <w:vAlign w:val="top"/>
                </w:tcPr>
                <w:p w14:paraId="44AE3404">
                  <w:pPr>
                    <w:pStyle w:val="6"/>
                    <w:spacing w:before="54" w:line="221" w:lineRule="auto"/>
                    <w:ind w:left="787"/>
                    <w:outlineLvl w:val="0"/>
                    <w:rPr>
                      <w:sz w:val="20"/>
                      <w:szCs w:val="20"/>
                    </w:rPr>
                  </w:pPr>
                  <w:r>
                    <w:rPr>
                      <w:spacing w:val="2"/>
                      <w:sz w:val="20"/>
                      <w:szCs w:val="20"/>
                    </w:rPr>
                    <w:t>甲苯（</w:t>
                  </w:r>
                  <w:r>
                    <w:rPr>
                      <w:rFonts w:ascii="Times New Roman" w:hAnsi="Times New Roman" w:eastAsia="Times New Roman" w:cs="Times New Roman"/>
                      <w:sz w:val="20"/>
                      <w:szCs w:val="20"/>
                    </w:rPr>
                    <w:t>mg</w:t>
                  </w:r>
                  <w:r>
                    <w:rPr>
                      <w:rFonts w:ascii="Times New Roman" w:hAnsi="Times New Roman" w:eastAsia="Times New Roman" w:cs="Times New Roman"/>
                      <w:spacing w:val="2"/>
                      <w:sz w:val="20"/>
                      <w:szCs w:val="20"/>
                    </w:rPr>
                    <w:t>/L</w:t>
                  </w:r>
                  <w:r>
                    <w:rPr>
                      <w:spacing w:val="2"/>
                      <w:sz w:val="20"/>
                      <w:szCs w:val="20"/>
                    </w:rPr>
                    <w:t>）</w:t>
                  </w:r>
                </w:p>
              </w:tc>
              <w:tc>
                <w:tcPr>
                  <w:tcW w:w="3370" w:type="dxa"/>
                  <w:vAlign w:val="top"/>
                </w:tcPr>
                <w:p w14:paraId="227EA684">
                  <w:pPr>
                    <w:spacing w:before="90" w:line="195" w:lineRule="auto"/>
                    <w:ind w:left="133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0.0003L</w:t>
                  </w:r>
                </w:p>
              </w:tc>
              <w:tc>
                <w:tcPr>
                  <w:tcW w:w="2163" w:type="dxa"/>
                  <w:tcBorders>
                    <w:right w:val="nil"/>
                  </w:tcBorders>
                  <w:vAlign w:val="top"/>
                </w:tcPr>
                <w:p w14:paraId="301C5702">
                  <w:pPr>
                    <w:pStyle w:val="6"/>
                    <w:spacing w:before="54" w:line="233" w:lineRule="auto"/>
                    <w:ind w:left="839"/>
                    <w:outlineLvl w:val="0"/>
                    <w:rPr>
                      <w:rFonts w:ascii="Times New Roman" w:hAnsi="Times New Roman" w:eastAsia="Times New Roman" w:cs="Times New Roman"/>
                      <w:sz w:val="20"/>
                      <w:szCs w:val="20"/>
                    </w:rPr>
                  </w:pPr>
                  <w:r>
                    <w:rPr>
                      <w:spacing w:val="1"/>
                      <w:sz w:val="20"/>
                      <w:szCs w:val="20"/>
                    </w:rPr>
                    <w:t>≤</w:t>
                  </w:r>
                  <w:r>
                    <w:rPr>
                      <w:rFonts w:ascii="Times New Roman" w:hAnsi="Times New Roman" w:eastAsia="Times New Roman" w:cs="Times New Roman"/>
                      <w:spacing w:val="1"/>
                      <w:sz w:val="20"/>
                      <w:szCs w:val="20"/>
                    </w:rPr>
                    <w:t>700</w:t>
                  </w:r>
                </w:p>
              </w:tc>
            </w:tr>
            <w:tr w14:paraId="08A93E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2804" w:type="dxa"/>
                  <w:tcBorders>
                    <w:left w:val="nil"/>
                  </w:tcBorders>
                  <w:vAlign w:val="top"/>
                </w:tcPr>
                <w:p w14:paraId="7EF78DFF">
                  <w:pPr>
                    <w:pStyle w:val="6"/>
                    <w:spacing w:before="54" w:line="221" w:lineRule="auto"/>
                    <w:ind w:left="405"/>
                    <w:rPr>
                      <w:sz w:val="20"/>
                      <w:szCs w:val="20"/>
                    </w:rPr>
                  </w:pPr>
                  <w:r>
                    <w:rPr>
                      <w:spacing w:val="5"/>
                      <w:sz w:val="20"/>
                      <w:szCs w:val="20"/>
                    </w:rPr>
                    <w:t>间</w:t>
                  </w:r>
                  <w:r>
                    <w:rPr>
                      <w:rFonts w:ascii="Times New Roman" w:hAnsi="Times New Roman" w:eastAsia="Times New Roman" w:cs="Times New Roman"/>
                      <w:spacing w:val="5"/>
                      <w:sz w:val="20"/>
                      <w:szCs w:val="20"/>
                    </w:rPr>
                    <w:t>+</w:t>
                  </w:r>
                  <w:r>
                    <w:rPr>
                      <w:spacing w:val="5"/>
                      <w:sz w:val="20"/>
                      <w:szCs w:val="20"/>
                    </w:rPr>
                    <w:t>对二甲苯（</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/L</w:t>
                  </w:r>
                  <w:r>
                    <w:rPr>
                      <w:spacing w:val="5"/>
                      <w:sz w:val="20"/>
                      <w:szCs w:val="20"/>
                    </w:rPr>
                    <w:t>）</w:t>
                  </w:r>
                </w:p>
              </w:tc>
              <w:tc>
                <w:tcPr>
                  <w:tcW w:w="3370" w:type="dxa"/>
                  <w:vAlign w:val="top"/>
                </w:tcPr>
                <w:p w14:paraId="53905FD1">
                  <w:pPr>
                    <w:spacing w:before="90" w:line="195" w:lineRule="auto"/>
                    <w:ind w:left="133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0.0005L</w:t>
                  </w:r>
                </w:p>
              </w:tc>
              <w:tc>
                <w:tcPr>
                  <w:tcW w:w="2163" w:type="dxa"/>
                  <w:vMerge w:val="restart"/>
                  <w:tcBorders>
                    <w:bottom w:val="nil"/>
                    <w:right w:val="nil"/>
                  </w:tcBorders>
                  <w:vAlign w:val="top"/>
                </w:tcPr>
                <w:p w14:paraId="019DAF4E">
                  <w:pPr>
                    <w:pStyle w:val="6"/>
                    <w:spacing w:before="215" w:line="264" w:lineRule="exact"/>
                    <w:ind w:left="839"/>
                    <w:outlineLvl w:val="0"/>
                    <w:rPr>
                      <w:rFonts w:ascii="Times New Roman" w:hAnsi="Times New Roman" w:eastAsia="Times New Roman" w:cs="Times New Roman"/>
                      <w:sz w:val="20"/>
                      <w:szCs w:val="20"/>
                    </w:rPr>
                  </w:pPr>
                  <w:r>
                    <w:rPr>
                      <w:spacing w:val="1"/>
                      <w:position w:val="1"/>
                      <w:sz w:val="20"/>
                      <w:szCs w:val="20"/>
                    </w:rPr>
                    <w:t>≤</w:t>
                  </w:r>
                  <w:r>
                    <w:rPr>
                      <w:rFonts w:ascii="Times New Roman" w:hAnsi="Times New Roman" w:eastAsia="Times New Roman" w:cs="Times New Roman"/>
                      <w:spacing w:val="1"/>
                      <w:position w:val="1"/>
                      <w:sz w:val="20"/>
                      <w:szCs w:val="20"/>
                    </w:rPr>
                    <w:t>500</w:t>
                  </w:r>
                </w:p>
              </w:tc>
            </w:tr>
            <w:tr w14:paraId="74595C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7" w:hRule="atLeast"/>
              </w:trPr>
              <w:tc>
                <w:tcPr>
                  <w:tcW w:w="2804" w:type="dxa"/>
                  <w:tcBorders>
                    <w:left w:val="nil"/>
                  </w:tcBorders>
                  <w:vAlign w:val="top"/>
                </w:tcPr>
                <w:p w14:paraId="3BBFF527">
                  <w:pPr>
                    <w:pStyle w:val="6"/>
                    <w:spacing w:before="57" w:line="221" w:lineRule="auto"/>
                    <w:ind w:left="551"/>
                    <w:rPr>
                      <w:sz w:val="20"/>
                      <w:szCs w:val="20"/>
                    </w:rPr>
                  </w:pPr>
                  <w:r>
                    <w:rPr>
                      <w:spacing w:val="7"/>
                      <w:sz w:val="20"/>
                      <w:szCs w:val="20"/>
                    </w:rPr>
                    <w:t>邻二甲苯（</w:t>
                  </w:r>
                  <w:r>
                    <w:rPr>
                      <w:rFonts w:ascii="Times New Roman" w:hAnsi="Times New Roman" w:eastAsia="Times New Roman" w:cs="Times New Roman"/>
                      <w:sz w:val="20"/>
                      <w:szCs w:val="20"/>
                    </w:rPr>
                    <w:t>mg</w:t>
                  </w:r>
                  <w:r>
                    <w:rPr>
                      <w:rFonts w:ascii="Times New Roman" w:hAnsi="Times New Roman" w:eastAsia="Times New Roman" w:cs="Times New Roman"/>
                      <w:spacing w:val="7"/>
                      <w:sz w:val="20"/>
                      <w:szCs w:val="20"/>
                    </w:rPr>
                    <w:t>/L</w:t>
                  </w:r>
                  <w:r>
                    <w:rPr>
                      <w:spacing w:val="7"/>
                      <w:sz w:val="20"/>
                      <w:szCs w:val="20"/>
                    </w:rPr>
                    <w:t>）</w:t>
                  </w:r>
                </w:p>
              </w:tc>
              <w:tc>
                <w:tcPr>
                  <w:tcW w:w="3370" w:type="dxa"/>
                  <w:vAlign w:val="top"/>
                </w:tcPr>
                <w:p w14:paraId="538B15FF">
                  <w:pPr>
                    <w:spacing w:before="93" w:line="195" w:lineRule="auto"/>
                    <w:ind w:left="133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0.0002L</w:t>
                  </w:r>
                </w:p>
              </w:tc>
              <w:tc>
                <w:tcPr>
                  <w:tcW w:w="2163" w:type="dxa"/>
                  <w:vMerge w:val="continue"/>
                  <w:tcBorders>
                    <w:top w:val="nil"/>
                    <w:right w:val="nil"/>
                  </w:tcBorders>
                  <w:vAlign w:val="top"/>
                </w:tcPr>
                <w:p w14:paraId="3ACFFAD0">
                  <w:pPr>
                    <w:rPr>
                      <w:rFonts w:ascii="Arial"/>
                      <w:sz w:val="21"/>
                    </w:rPr>
                  </w:pPr>
                </w:p>
              </w:tc>
            </w:tr>
            <w:tr w14:paraId="7D9B71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2804" w:type="dxa"/>
                  <w:tcBorders>
                    <w:left w:val="nil"/>
                  </w:tcBorders>
                  <w:vAlign w:val="top"/>
                </w:tcPr>
                <w:p w14:paraId="2085BE74">
                  <w:pPr>
                    <w:pStyle w:val="6"/>
                    <w:spacing w:before="57" w:line="221" w:lineRule="auto"/>
                    <w:ind w:left="660"/>
                    <w:rPr>
                      <w:sz w:val="20"/>
                      <w:szCs w:val="20"/>
                    </w:rPr>
                  </w:pPr>
                  <w:r>
                    <w:rPr>
                      <w:spacing w:val="6"/>
                      <w:sz w:val="20"/>
                      <w:szCs w:val="20"/>
                    </w:rPr>
                    <w:t>苯乙烯（</w:t>
                  </w:r>
                  <w:r>
                    <w:rPr>
                      <w:rFonts w:ascii="Times New Roman" w:hAnsi="Times New Roman" w:eastAsia="Times New Roman" w:cs="Times New Roman"/>
                      <w:sz w:val="20"/>
                      <w:szCs w:val="20"/>
                    </w:rPr>
                    <w:t>mg</w:t>
                  </w:r>
                  <w:r>
                    <w:rPr>
                      <w:rFonts w:ascii="Times New Roman" w:hAnsi="Times New Roman" w:eastAsia="Times New Roman" w:cs="Times New Roman"/>
                      <w:spacing w:val="6"/>
                      <w:sz w:val="20"/>
                      <w:szCs w:val="20"/>
                    </w:rPr>
                    <w:t>/L</w:t>
                  </w:r>
                  <w:r>
                    <w:rPr>
                      <w:spacing w:val="6"/>
                      <w:sz w:val="20"/>
                      <w:szCs w:val="20"/>
                    </w:rPr>
                    <w:t>）</w:t>
                  </w:r>
                </w:p>
              </w:tc>
              <w:tc>
                <w:tcPr>
                  <w:tcW w:w="3370" w:type="dxa"/>
                  <w:vAlign w:val="top"/>
                </w:tcPr>
                <w:p w14:paraId="34064299">
                  <w:pPr>
                    <w:spacing w:before="92" w:line="195" w:lineRule="auto"/>
                    <w:ind w:left="133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0.0002L</w:t>
                  </w:r>
                </w:p>
              </w:tc>
              <w:tc>
                <w:tcPr>
                  <w:tcW w:w="2163" w:type="dxa"/>
                  <w:tcBorders>
                    <w:right w:val="nil"/>
                  </w:tcBorders>
                  <w:vAlign w:val="top"/>
                </w:tcPr>
                <w:p w14:paraId="1716093E">
                  <w:pPr>
                    <w:pStyle w:val="6"/>
                    <w:spacing w:before="57" w:line="234" w:lineRule="auto"/>
                    <w:ind w:left="812"/>
                    <w:outlineLvl w:val="0"/>
                    <w:rPr>
                      <w:rFonts w:ascii="Times New Roman" w:hAnsi="Times New Roman" w:eastAsia="Times New Roman" w:cs="Times New Roman"/>
                      <w:sz w:val="20"/>
                      <w:szCs w:val="20"/>
                    </w:rPr>
                  </w:pPr>
                  <w:r>
                    <w:rPr>
                      <w:spacing w:val="1"/>
                      <w:sz w:val="20"/>
                      <w:szCs w:val="20"/>
                    </w:rPr>
                    <w:t>≤</w:t>
                  </w:r>
                  <w:r>
                    <w:rPr>
                      <w:rFonts w:ascii="Times New Roman" w:hAnsi="Times New Roman" w:eastAsia="Times New Roman" w:cs="Times New Roman"/>
                      <w:spacing w:val="1"/>
                      <w:sz w:val="20"/>
                      <w:szCs w:val="20"/>
                    </w:rPr>
                    <w:t>20.0</w:t>
                  </w:r>
                </w:p>
              </w:tc>
            </w:tr>
          </w:tbl>
          <w:p w14:paraId="6A52F5CB">
            <w:pPr>
              <w:pStyle w:val="6"/>
              <w:spacing w:before="115" w:line="334" w:lineRule="auto"/>
              <w:ind w:left="102" w:right="96" w:firstLine="483"/>
              <w:jc w:val="both"/>
            </w:pPr>
            <w:r>
              <w:t>从上表可以看出，除锰超标外，地下水监测点位的其余监测因子均满足《地下</w:t>
            </w:r>
            <w:r>
              <w:rPr>
                <w:spacing w:val="17"/>
              </w:rPr>
              <w:t xml:space="preserve"> </w:t>
            </w:r>
            <w:r>
              <w:rPr>
                <w:spacing w:val="1"/>
              </w:rPr>
              <w:t>水质量标准》（</w:t>
            </w:r>
            <w:r>
              <w:rPr>
                <w:rFonts w:ascii="Calibri" w:hAnsi="Calibri" w:eastAsia="Calibri" w:cs="Calibri"/>
              </w:rPr>
              <w:t>GB</w:t>
            </w:r>
            <w:r>
              <w:rPr>
                <w:rFonts w:ascii="Calibri" w:hAnsi="Calibri" w:eastAsia="Calibri" w:cs="Calibri"/>
                <w:spacing w:val="1"/>
              </w:rPr>
              <w:t>/T14848-2017</w:t>
            </w:r>
            <w:r>
              <w:rPr>
                <w:spacing w:val="1"/>
              </w:rPr>
              <w:t>）中的Ⅲ类标准，锰超标的原因主要是原生地质构</w:t>
            </w:r>
            <w:r>
              <w:t xml:space="preserve"> </w:t>
            </w:r>
            <w:r>
              <w:rPr>
                <w:spacing w:val="-1"/>
              </w:rPr>
              <w:t>造和原生土壤成分决定的，含水层锰元素富集所致。</w:t>
            </w:r>
          </w:p>
          <w:p w14:paraId="375380B8">
            <w:pPr>
              <w:pStyle w:val="6"/>
              <w:spacing w:before="112" w:line="220" w:lineRule="auto"/>
              <w:ind w:left="588"/>
              <w:outlineLvl w:val="1"/>
            </w:pPr>
            <w:r>
              <w:rPr>
                <w:b/>
                <w:bCs/>
                <w:spacing w:val="-4"/>
              </w:rPr>
              <w:t>5、土壤环境</w:t>
            </w:r>
          </w:p>
          <w:p w14:paraId="04FF8103">
            <w:pPr>
              <w:pStyle w:val="6"/>
              <w:spacing w:before="193" w:line="312" w:lineRule="auto"/>
              <w:ind w:left="103" w:right="96" w:firstLine="480"/>
            </w:pPr>
            <w:r>
              <w:rPr>
                <w:spacing w:val="1"/>
              </w:rPr>
              <w:t>本项目采取严格的防渗措施，正常工况下不</w:t>
            </w:r>
            <w:r>
              <w:t xml:space="preserve">会发生土壤污染事故；但一旦防渗 </w:t>
            </w:r>
            <w:r>
              <w:rPr>
                <w:spacing w:val="1"/>
              </w:rPr>
              <w:t>层发生破损，有可能导致土壤污染。因此，结</w:t>
            </w:r>
            <w:r>
              <w:t>合污染源，本次引用了土壤现状调查</w:t>
            </w:r>
          </w:p>
        </w:tc>
      </w:tr>
    </w:tbl>
    <w:p w14:paraId="7521236C">
      <w:pPr>
        <w:pStyle w:val="2"/>
      </w:pPr>
    </w:p>
    <w:p w14:paraId="2AAA64BC">
      <w:pPr>
        <w:sectPr>
          <w:footerReference r:id="rId59" w:type="default"/>
          <w:pgSz w:w="11906" w:h="16839"/>
          <w:pgMar w:top="1270" w:right="1266" w:bottom="1261" w:left="1265" w:header="0" w:footer="1097" w:gutter="0"/>
          <w:cols w:space="720" w:num="1"/>
        </w:sectPr>
      </w:pPr>
    </w:p>
    <w:tbl>
      <w:tblPr>
        <w:tblStyle w:val="5"/>
        <w:tblW w:w="9348"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1"/>
        <w:gridCol w:w="832"/>
        <w:gridCol w:w="1331"/>
        <w:gridCol w:w="492"/>
        <w:gridCol w:w="939"/>
        <w:gridCol w:w="1126"/>
        <w:gridCol w:w="4157"/>
      </w:tblGrid>
      <w:tr w14:paraId="0A0B53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24" w:hRule="atLeast"/>
        </w:trPr>
        <w:tc>
          <w:tcPr>
            <w:tcW w:w="471" w:type="dxa"/>
            <w:vMerge w:val="restart"/>
            <w:tcBorders>
              <w:top w:val="single" w:color="000000" w:sz="10" w:space="0"/>
              <w:left w:val="single" w:color="000000" w:sz="10" w:space="0"/>
              <w:bottom w:val="nil"/>
            </w:tcBorders>
            <w:vAlign w:val="top"/>
          </w:tcPr>
          <w:p w14:paraId="63561C5D">
            <w:pPr>
              <w:rPr>
                <w:rFonts w:ascii="Arial"/>
                <w:sz w:val="21"/>
              </w:rPr>
            </w:pPr>
          </w:p>
        </w:tc>
        <w:tc>
          <w:tcPr>
            <w:tcW w:w="8877" w:type="dxa"/>
            <w:gridSpan w:val="6"/>
            <w:tcBorders>
              <w:top w:val="single" w:color="000000" w:sz="10" w:space="0"/>
              <w:bottom w:val="single" w:color="000000" w:sz="10" w:space="0"/>
              <w:right w:val="single" w:color="000000" w:sz="10" w:space="0"/>
            </w:tcBorders>
            <w:vAlign w:val="top"/>
          </w:tcPr>
          <w:p w14:paraId="5924585F">
            <w:pPr>
              <w:pStyle w:val="6"/>
              <w:spacing w:before="120" w:line="219" w:lineRule="auto"/>
              <w:ind w:left="104"/>
            </w:pPr>
            <w:r>
              <w:rPr>
                <w:spacing w:val="-1"/>
              </w:rPr>
              <w:t>监测数据以留作背景值。</w:t>
            </w:r>
          </w:p>
          <w:p w14:paraId="6F3E5955">
            <w:pPr>
              <w:pStyle w:val="6"/>
              <w:spacing w:before="183" w:line="347" w:lineRule="auto"/>
              <w:ind w:left="104" w:right="99" w:firstLine="478"/>
            </w:pPr>
            <w:r>
              <w:rPr>
                <w:spacing w:val="-4"/>
              </w:rPr>
              <w:t>委托黑龙江永青环保科技有限公司于</w:t>
            </w:r>
            <w:r>
              <w:rPr>
                <w:spacing w:val="-40"/>
              </w:rPr>
              <w:t xml:space="preserve"> </w:t>
            </w:r>
            <w:r>
              <w:rPr>
                <w:rFonts w:ascii="Calibri" w:hAnsi="Calibri" w:eastAsia="Calibri" w:cs="Calibri"/>
                <w:spacing w:val="-4"/>
              </w:rPr>
              <w:t>2024</w:t>
            </w:r>
            <w:r>
              <w:rPr>
                <w:rFonts w:ascii="Calibri" w:hAnsi="Calibri" w:eastAsia="Calibri" w:cs="Calibri"/>
                <w:spacing w:val="17"/>
              </w:rPr>
              <w:t xml:space="preserve"> </w:t>
            </w:r>
            <w:r>
              <w:rPr>
                <w:spacing w:val="-4"/>
              </w:rPr>
              <w:t>年</w:t>
            </w:r>
            <w:r>
              <w:rPr>
                <w:spacing w:val="-49"/>
              </w:rPr>
              <w:t xml:space="preserve"> </w:t>
            </w:r>
            <w:r>
              <w:rPr>
                <w:rFonts w:ascii="Calibri" w:hAnsi="Calibri" w:eastAsia="Calibri" w:cs="Calibri"/>
                <w:spacing w:val="-4"/>
              </w:rPr>
              <w:t>7</w:t>
            </w:r>
            <w:r>
              <w:rPr>
                <w:rFonts w:ascii="Calibri" w:hAnsi="Calibri" w:eastAsia="Calibri" w:cs="Calibri"/>
                <w:spacing w:val="22"/>
                <w:w w:val="101"/>
              </w:rPr>
              <w:t xml:space="preserve"> </w:t>
            </w:r>
            <w:r>
              <w:rPr>
                <w:spacing w:val="-4"/>
              </w:rPr>
              <w:t>月</w:t>
            </w:r>
            <w:r>
              <w:rPr>
                <w:spacing w:val="-47"/>
              </w:rPr>
              <w:t xml:space="preserve"> </w:t>
            </w:r>
            <w:r>
              <w:rPr>
                <w:rFonts w:ascii="Calibri" w:hAnsi="Calibri" w:eastAsia="Calibri" w:cs="Calibri"/>
                <w:spacing w:val="-4"/>
              </w:rPr>
              <w:t xml:space="preserve">22  </w:t>
            </w:r>
            <w:r>
              <w:rPr>
                <w:spacing w:val="-4"/>
              </w:rPr>
              <w:t>日开展</w:t>
            </w:r>
            <w:r>
              <w:rPr>
                <w:spacing w:val="-37"/>
              </w:rPr>
              <w:t xml:space="preserve"> </w:t>
            </w:r>
            <w:r>
              <w:rPr>
                <w:rFonts w:ascii="Calibri" w:hAnsi="Calibri" w:eastAsia="Calibri" w:cs="Calibri"/>
                <w:spacing w:val="-4"/>
              </w:rPr>
              <w:t>1</w:t>
            </w:r>
            <w:r>
              <w:rPr>
                <w:rFonts w:ascii="Calibri" w:hAnsi="Calibri" w:eastAsia="Calibri" w:cs="Calibri"/>
                <w:spacing w:val="20"/>
              </w:rPr>
              <w:t xml:space="preserve"> </w:t>
            </w:r>
            <w:r>
              <w:rPr>
                <w:spacing w:val="-4"/>
              </w:rPr>
              <w:t>次土壤背景值监</w:t>
            </w:r>
            <w:r>
              <w:t xml:space="preserve"> </w:t>
            </w:r>
            <w:r>
              <w:rPr>
                <w:spacing w:val="-6"/>
              </w:rPr>
              <w:t>测。</w:t>
            </w:r>
          </w:p>
          <w:p w14:paraId="2620B71A">
            <w:pPr>
              <w:pStyle w:val="6"/>
              <w:spacing w:before="32" w:line="221" w:lineRule="auto"/>
              <w:ind w:left="594"/>
            </w:pPr>
            <w:r>
              <w:rPr>
                <w:spacing w:val="-3"/>
              </w:rPr>
              <w:t>（</w:t>
            </w:r>
            <w:r>
              <w:rPr>
                <w:rFonts w:ascii="Calibri" w:hAnsi="Calibri" w:eastAsia="Calibri" w:cs="Calibri"/>
                <w:spacing w:val="-3"/>
              </w:rPr>
              <w:t>1</w:t>
            </w:r>
            <w:r>
              <w:rPr>
                <w:spacing w:val="-3"/>
              </w:rPr>
              <w:t>）监测点位</w:t>
            </w:r>
          </w:p>
          <w:p w14:paraId="54F1E76E">
            <w:pPr>
              <w:pStyle w:val="6"/>
              <w:spacing w:before="180" w:line="219" w:lineRule="auto"/>
              <w:ind w:left="584"/>
            </w:pPr>
            <w:r>
              <w:rPr>
                <w:spacing w:val="-3"/>
              </w:rPr>
              <w:t>监测点位见表</w:t>
            </w:r>
            <w:r>
              <w:rPr>
                <w:spacing w:val="-42"/>
              </w:rPr>
              <w:t xml:space="preserve"> </w:t>
            </w:r>
            <w:r>
              <w:rPr>
                <w:rFonts w:ascii="Calibri" w:hAnsi="Calibri" w:eastAsia="Calibri" w:cs="Calibri"/>
                <w:spacing w:val="-3"/>
              </w:rPr>
              <w:t>3-6</w:t>
            </w:r>
            <w:r>
              <w:rPr>
                <w:rFonts w:ascii="Calibri" w:hAnsi="Calibri" w:eastAsia="Calibri" w:cs="Calibri"/>
                <w:spacing w:val="-27"/>
              </w:rPr>
              <w:t xml:space="preserve"> </w:t>
            </w:r>
            <w:r>
              <w:rPr>
                <w:spacing w:val="-3"/>
              </w:rPr>
              <w:t>，监测点位图见附图。</w:t>
            </w:r>
          </w:p>
          <w:p w14:paraId="641AABBB">
            <w:pPr>
              <w:pStyle w:val="6"/>
              <w:spacing w:before="183" w:line="219" w:lineRule="auto"/>
              <w:ind w:left="2538"/>
            </w:pPr>
            <w:r>
              <w:rPr>
                <w:b/>
                <w:bCs/>
                <w:spacing w:val="-3"/>
              </w:rPr>
              <w:t>表</w:t>
            </w:r>
            <w:r>
              <w:rPr>
                <w:spacing w:val="-27"/>
              </w:rPr>
              <w:t xml:space="preserve"> </w:t>
            </w:r>
            <w:r>
              <w:rPr>
                <w:b/>
                <w:bCs/>
                <w:spacing w:val="-3"/>
              </w:rPr>
              <w:t>3-6</w:t>
            </w:r>
            <w:r>
              <w:rPr>
                <w:spacing w:val="-3"/>
              </w:rPr>
              <w:t xml:space="preserve">      </w:t>
            </w:r>
            <w:r>
              <w:rPr>
                <w:b/>
                <w:bCs/>
                <w:spacing w:val="-3"/>
              </w:rPr>
              <w:t>项目土壤环境现状监测布点</w:t>
            </w:r>
          </w:p>
        </w:tc>
      </w:tr>
      <w:tr w14:paraId="3CD2D7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471" w:type="dxa"/>
            <w:vMerge w:val="continue"/>
            <w:tcBorders>
              <w:top w:val="nil"/>
              <w:left w:val="single" w:color="000000" w:sz="10" w:space="0"/>
              <w:bottom w:val="nil"/>
            </w:tcBorders>
            <w:vAlign w:val="top"/>
          </w:tcPr>
          <w:p w14:paraId="2AE7D265">
            <w:pPr>
              <w:rPr>
                <w:rFonts w:ascii="Arial"/>
                <w:sz w:val="21"/>
              </w:rPr>
            </w:pPr>
          </w:p>
        </w:tc>
        <w:tc>
          <w:tcPr>
            <w:tcW w:w="832" w:type="dxa"/>
            <w:tcBorders>
              <w:top w:val="single" w:color="000000" w:sz="10" w:space="0"/>
            </w:tcBorders>
            <w:vAlign w:val="top"/>
          </w:tcPr>
          <w:p w14:paraId="5C32FE7C">
            <w:pPr>
              <w:pStyle w:val="6"/>
              <w:spacing w:before="69" w:line="217" w:lineRule="auto"/>
              <w:ind w:left="264"/>
              <w:rPr>
                <w:sz w:val="20"/>
                <w:szCs w:val="20"/>
              </w:rPr>
            </w:pPr>
            <w:r>
              <w:rPr>
                <w:b/>
                <w:bCs/>
                <w:spacing w:val="-2"/>
                <w:sz w:val="20"/>
                <w:szCs w:val="20"/>
              </w:rPr>
              <w:t>点位</w:t>
            </w:r>
          </w:p>
        </w:tc>
        <w:tc>
          <w:tcPr>
            <w:tcW w:w="1823" w:type="dxa"/>
            <w:gridSpan w:val="2"/>
            <w:tcBorders>
              <w:top w:val="single" w:color="000000" w:sz="10" w:space="0"/>
            </w:tcBorders>
            <w:vAlign w:val="top"/>
          </w:tcPr>
          <w:p w14:paraId="7F520122">
            <w:pPr>
              <w:pStyle w:val="6"/>
              <w:spacing w:before="69" w:line="217" w:lineRule="auto"/>
              <w:ind w:left="489"/>
              <w:rPr>
                <w:sz w:val="20"/>
                <w:szCs w:val="20"/>
              </w:rPr>
            </w:pPr>
            <w:r>
              <w:rPr>
                <w:b/>
                <w:bCs/>
                <w:spacing w:val="6"/>
                <w:sz w:val="20"/>
                <w:szCs w:val="20"/>
              </w:rPr>
              <w:t>布点位置</w:t>
            </w:r>
          </w:p>
        </w:tc>
        <w:tc>
          <w:tcPr>
            <w:tcW w:w="939" w:type="dxa"/>
            <w:tcBorders>
              <w:top w:val="single" w:color="000000" w:sz="10" w:space="0"/>
            </w:tcBorders>
            <w:vAlign w:val="top"/>
          </w:tcPr>
          <w:p w14:paraId="278A181A">
            <w:pPr>
              <w:pStyle w:val="6"/>
              <w:spacing w:before="69" w:line="217" w:lineRule="auto"/>
              <w:ind w:left="262"/>
              <w:rPr>
                <w:sz w:val="20"/>
                <w:szCs w:val="20"/>
              </w:rPr>
            </w:pPr>
            <w:r>
              <w:rPr>
                <w:b/>
                <w:bCs/>
                <w:spacing w:val="3"/>
                <w:sz w:val="20"/>
                <w:szCs w:val="20"/>
              </w:rPr>
              <w:t>类型</w:t>
            </w:r>
          </w:p>
        </w:tc>
        <w:tc>
          <w:tcPr>
            <w:tcW w:w="5283" w:type="dxa"/>
            <w:gridSpan w:val="2"/>
            <w:tcBorders>
              <w:top w:val="single" w:color="000000" w:sz="10" w:space="0"/>
              <w:right w:val="single" w:color="000000" w:sz="10" w:space="0"/>
            </w:tcBorders>
            <w:vAlign w:val="top"/>
          </w:tcPr>
          <w:p w14:paraId="67A22C3F">
            <w:pPr>
              <w:pStyle w:val="6"/>
              <w:spacing w:before="69" w:line="217" w:lineRule="auto"/>
              <w:ind w:left="2170"/>
              <w:rPr>
                <w:sz w:val="20"/>
                <w:szCs w:val="20"/>
              </w:rPr>
            </w:pPr>
            <w:r>
              <w:rPr>
                <w:b/>
                <w:bCs/>
                <w:spacing w:val="6"/>
                <w:sz w:val="20"/>
                <w:szCs w:val="20"/>
              </w:rPr>
              <w:t>监测项目</w:t>
            </w:r>
          </w:p>
        </w:tc>
      </w:tr>
      <w:tr w14:paraId="208FF3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21" w:hRule="atLeast"/>
        </w:trPr>
        <w:tc>
          <w:tcPr>
            <w:tcW w:w="471" w:type="dxa"/>
            <w:vMerge w:val="continue"/>
            <w:tcBorders>
              <w:top w:val="nil"/>
              <w:left w:val="single" w:color="000000" w:sz="10" w:space="0"/>
              <w:bottom w:val="nil"/>
            </w:tcBorders>
            <w:vAlign w:val="top"/>
          </w:tcPr>
          <w:p w14:paraId="609C86BD">
            <w:pPr>
              <w:rPr>
                <w:rFonts w:ascii="Arial"/>
                <w:sz w:val="21"/>
              </w:rPr>
            </w:pPr>
          </w:p>
        </w:tc>
        <w:tc>
          <w:tcPr>
            <w:tcW w:w="832" w:type="dxa"/>
            <w:tcBorders>
              <w:bottom w:val="single" w:color="000000" w:sz="10" w:space="0"/>
            </w:tcBorders>
            <w:vAlign w:val="top"/>
          </w:tcPr>
          <w:p w14:paraId="70B1DFEF">
            <w:pPr>
              <w:spacing w:line="241" w:lineRule="auto"/>
              <w:rPr>
                <w:rFonts w:ascii="Arial"/>
                <w:sz w:val="21"/>
              </w:rPr>
            </w:pPr>
          </w:p>
          <w:p w14:paraId="2A32CB3E">
            <w:pPr>
              <w:spacing w:line="241" w:lineRule="auto"/>
              <w:rPr>
                <w:rFonts w:ascii="Arial"/>
                <w:sz w:val="21"/>
              </w:rPr>
            </w:pPr>
          </w:p>
          <w:p w14:paraId="7495F0C5">
            <w:pPr>
              <w:spacing w:line="241" w:lineRule="auto"/>
              <w:rPr>
                <w:rFonts w:ascii="Arial"/>
                <w:sz w:val="21"/>
              </w:rPr>
            </w:pPr>
          </w:p>
          <w:p w14:paraId="523C5B98">
            <w:pPr>
              <w:spacing w:line="241" w:lineRule="auto"/>
              <w:rPr>
                <w:rFonts w:ascii="Arial"/>
                <w:sz w:val="21"/>
              </w:rPr>
            </w:pPr>
          </w:p>
          <w:p w14:paraId="780EC82D">
            <w:pPr>
              <w:spacing w:line="241" w:lineRule="auto"/>
              <w:rPr>
                <w:rFonts w:ascii="Arial"/>
                <w:sz w:val="21"/>
              </w:rPr>
            </w:pPr>
          </w:p>
          <w:p w14:paraId="3B339C32">
            <w:pPr>
              <w:spacing w:line="241" w:lineRule="auto"/>
              <w:rPr>
                <w:rFonts w:ascii="Arial"/>
                <w:sz w:val="21"/>
              </w:rPr>
            </w:pPr>
          </w:p>
          <w:p w14:paraId="0F16CB58">
            <w:pPr>
              <w:pStyle w:val="6"/>
              <w:spacing w:before="65" w:line="280" w:lineRule="auto"/>
              <w:ind w:left="386" w:right="161" w:hanging="128"/>
              <w:rPr>
                <w:sz w:val="20"/>
                <w:szCs w:val="20"/>
              </w:rPr>
            </w:pPr>
            <w:r>
              <w:rPr>
                <w:spacing w:val="3"/>
                <w:sz w:val="20"/>
                <w:szCs w:val="20"/>
              </w:rPr>
              <w:t>厂址</w:t>
            </w:r>
            <w:r>
              <w:rPr>
                <w:sz w:val="20"/>
                <w:szCs w:val="20"/>
              </w:rPr>
              <w:t xml:space="preserve"> 内</w:t>
            </w:r>
          </w:p>
        </w:tc>
        <w:tc>
          <w:tcPr>
            <w:tcW w:w="1823" w:type="dxa"/>
            <w:gridSpan w:val="2"/>
            <w:vAlign w:val="top"/>
          </w:tcPr>
          <w:p w14:paraId="45C5B160">
            <w:pPr>
              <w:spacing w:line="260" w:lineRule="auto"/>
              <w:rPr>
                <w:rFonts w:ascii="Arial"/>
                <w:sz w:val="21"/>
              </w:rPr>
            </w:pPr>
          </w:p>
          <w:p w14:paraId="04D355C3">
            <w:pPr>
              <w:spacing w:line="260" w:lineRule="auto"/>
              <w:rPr>
                <w:rFonts w:ascii="Arial"/>
                <w:sz w:val="21"/>
              </w:rPr>
            </w:pPr>
          </w:p>
          <w:p w14:paraId="225E4D43">
            <w:pPr>
              <w:spacing w:line="260" w:lineRule="auto"/>
              <w:rPr>
                <w:rFonts w:ascii="Arial"/>
                <w:sz w:val="21"/>
              </w:rPr>
            </w:pPr>
          </w:p>
          <w:p w14:paraId="08068836">
            <w:pPr>
              <w:spacing w:line="260" w:lineRule="auto"/>
              <w:rPr>
                <w:rFonts w:ascii="Arial"/>
                <w:sz w:val="21"/>
              </w:rPr>
            </w:pPr>
          </w:p>
          <w:p w14:paraId="742D3D06">
            <w:pPr>
              <w:spacing w:line="261" w:lineRule="auto"/>
              <w:rPr>
                <w:rFonts w:ascii="Arial"/>
                <w:sz w:val="21"/>
              </w:rPr>
            </w:pPr>
          </w:p>
          <w:p w14:paraId="2B78D7F2">
            <w:pPr>
              <w:pStyle w:val="6"/>
              <w:spacing w:before="65" w:line="295" w:lineRule="auto"/>
              <w:ind w:left="229" w:right="239" w:firstLine="161"/>
              <w:rPr>
                <w:sz w:val="20"/>
                <w:szCs w:val="20"/>
              </w:rPr>
            </w:pPr>
            <w:r>
              <w:rPr>
                <w:rFonts w:ascii="Calibri" w:hAnsi="Calibri" w:eastAsia="Calibri" w:cs="Calibri"/>
                <w:spacing w:val="-5"/>
                <w:sz w:val="20"/>
                <w:szCs w:val="20"/>
              </w:rPr>
              <w:t>E124</w:t>
            </w:r>
            <w:r>
              <w:rPr>
                <w:rFonts w:ascii="Calibri" w:hAnsi="Calibri" w:eastAsia="Calibri" w:cs="Calibri"/>
                <w:spacing w:val="-15"/>
                <w:sz w:val="20"/>
                <w:szCs w:val="20"/>
              </w:rPr>
              <w:t xml:space="preserve"> </w:t>
            </w:r>
            <w:r>
              <w:rPr>
                <w:spacing w:val="-5"/>
                <w:sz w:val="20"/>
                <w:szCs w:val="20"/>
              </w:rPr>
              <w:t>°</w:t>
            </w:r>
            <w:r>
              <w:rPr>
                <w:rFonts w:ascii="Calibri" w:hAnsi="Calibri" w:eastAsia="Calibri" w:cs="Calibri"/>
                <w:spacing w:val="-5"/>
                <w:sz w:val="20"/>
                <w:szCs w:val="20"/>
              </w:rPr>
              <w:t xml:space="preserve">49 </w:t>
            </w:r>
            <w:r>
              <w:rPr>
                <w:spacing w:val="-5"/>
                <w:sz w:val="20"/>
                <w:szCs w:val="20"/>
              </w:rPr>
              <w:t>′</w:t>
            </w:r>
            <w:r>
              <w:rPr>
                <w:sz w:val="20"/>
                <w:szCs w:val="20"/>
              </w:rPr>
              <w:t xml:space="preserve">  </w:t>
            </w:r>
            <w:r>
              <w:rPr>
                <w:rFonts w:ascii="Calibri" w:hAnsi="Calibri" w:eastAsia="Calibri" w:cs="Calibri"/>
                <w:spacing w:val="-2"/>
                <w:sz w:val="20"/>
                <w:szCs w:val="20"/>
              </w:rPr>
              <w:t xml:space="preserve">43.309 </w:t>
            </w:r>
            <w:r>
              <w:rPr>
                <w:spacing w:val="-2"/>
                <w:sz w:val="20"/>
                <w:szCs w:val="20"/>
              </w:rPr>
              <w:t>″</w:t>
            </w:r>
            <w:r>
              <w:rPr>
                <w:rFonts w:ascii="Calibri" w:hAnsi="Calibri" w:eastAsia="Calibri" w:cs="Calibri"/>
                <w:spacing w:val="-2"/>
                <w:sz w:val="20"/>
                <w:szCs w:val="20"/>
              </w:rPr>
              <w:t>N47</w:t>
            </w:r>
            <w:r>
              <w:rPr>
                <w:rFonts w:ascii="Calibri" w:hAnsi="Calibri" w:eastAsia="Calibri" w:cs="Calibri"/>
                <w:spacing w:val="-8"/>
                <w:sz w:val="20"/>
                <w:szCs w:val="20"/>
              </w:rPr>
              <w:t xml:space="preserve"> </w:t>
            </w:r>
            <w:r>
              <w:rPr>
                <w:spacing w:val="-2"/>
                <w:sz w:val="20"/>
                <w:szCs w:val="20"/>
              </w:rPr>
              <w:t>°</w:t>
            </w:r>
            <w:r>
              <w:rPr>
                <w:sz w:val="20"/>
                <w:szCs w:val="20"/>
              </w:rPr>
              <w:t xml:space="preserve"> </w:t>
            </w:r>
            <w:r>
              <w:rPr>
                <w:rFonts w:ascii="Calibri" w:hAnsi="Calibri" w:eastAsia="Calibri" w:cs="Calibri"/>
                <w:spacing w:val="6"/>
                <w:sz w:val="20"/>
                <w:szCs w:val="20"/>
              </w:rPr>
              <w:t>09</w:t>
            </w:r>
            <w:r>
              <w:rPr>
                <w:rFonts w:ascii="Calibri" w:hAnsi="Calibri" w:eastAsia="Calibri" w:cs="Calibri"/>
                <w:spacing w:val="-7"/>
                <w:sz w:val="20"/>
                <w:szCs w:val="20"/>
              </w:rPr>
              <w:t xml:space="preserve"> </w:t>
            </w:r>
            <w:r>
              <w:rPr>
                <w:spacing w:val="6"/>
                <w:sz w:val="20"/>
                <w:szCs w:val="20"/>
              </w:rPr>
              <w:t>′</w:t>
            </w:r>
            <w:r>
              <w:rPr>
                <w:rFonts w:ascii="Calibri" w:hAnsi="Calibri" w:eastAsia="Calibri" w:cs="Calibri"/>
                <w:spacing w:val="6"/>
                <w:sz w:val="20"/>
                <w:szCs w:val="20"/>
              </w:rPr>
              <w:t xml:space="preserve">33.186 </w:t>
            </w:r>
            <w:r>
              <w:rPr>
                <w:spacing w:val="6"/>
                <w:sz w:val="20"/>
                <w:szCs w:val="20"/>
              </w:rPr>
              <w:t>″</w:t>
            </w:r>
          </w:p>
        </w:tc>
        <w:tc>
          <w:tcPr>
            <w:tcW w:w="939" w:type="dxa"/>
            <w:vAlign w:val="top"/>
          </w:tcPr>
          <w:p w14:paraId="1983F514">
            <w:pPr>
              <w:spacing w:line="267" w:lineRule="auto"/>
              <w:rPr>
                <w:rFonts w:ascii="Arial"/>
                <w:sz w:val="21"/>
              </w:rPr>
            </w:pPr>
          </w:p>
          <w:p w14:paraId="4BACC9B3">
            <w:pPr>
              <w:spacing w:line="267" w:lineRule="auto"/>
              <w:rPr>
                <w:rFonts w:ascii="Arial"/>
                <w:sz w:val="21"/>
              </w:rPr>
            </w:pPr>
          </w:p>
          <w:p w14:paraId="2CFB6143">
            <w:pPr>
              <w:spacing w:line="268" w:lineRule="auto"/>
              <w:rPr>
                <w:rFonts w:ascii="Arial"/>
                <w:sz w:val="21"/>
              </w:rPr>
            </w:pPr>
          </w:p>
          <w:p w14:paraId="74DF9D55">
            <w:pPr>
              <w:spacing w:line="268" w:lineRule="auto"/>
              <w:rPr>
                <w:rFonts w:ascii="Arial"/>
                <w:sz w:val="21"/>
              </w:rPr>
            </w:pPr>
          </w:p>
          <w:p w14:paraId="127FBA8E">
            <w:pPr>
              <w:spacing w:line="268" w:lineRule="auto"/>
              <w:rPr>
                <w:rFonts w:ascii="Arial"/>
                <w:sz w:val="21"/>
              </w:rPr>
            </w:pPr>
          </w:p>
          <w:p w14:paraId="01A5EECA">
            <w:pPr>
              <w:spacing w:line="268" w:lineRule="auto"/>
              <w:rPr>
                <w:rFonts w:ascii="Arial"/>
                <w:sz w:val="21"/>
              </w:rPr>
            </w:pPr>
          </w:p>
          <w:p w14:paraId="3A2D660E">
            <w:pPr>
              <w:pStyle w:val="6"/>
              <w:spacing w:before="65" w:line="228" w:lineRule="auto"/>
              <w:ind w:left="155"/>
              <w:rPr>
                <w:sz w:val="20"/>
                <w:szCs w:val="20"/>
              </w:rPr>
            </w:pPr>
            <w:r>
              <w:rPr>
                <w:spacing w:val="7"/>
                <w:sz w:val="20"/>
                <w:szCs w:val="20"/>
              </w:rPr>
              <w:t>表层样</w:t>
            </w:r>
          </w:p>
        </w:tc>
        <w:tc>
          <w:tcPr>
            <w:tcW w:w="5283" w:type="dxa"/>
            <w:gridSpan w:val="2"/>
            <w:tcBorders>
              <w:bottom w:val="single" w:color="000000" w:sz="10" w:space="0"/>
              <w:right w:val="single" w:color="000000" w:sz="10" w:space="0"/>
            </w:tcBorders>
            <w:vAlign w:val="top"/>
          </w:tcPr>
          <w:p w14:paraId="7EC8E0E1">
            <w:pPr>
              <w:pStyle w:val="6"/>
              <w:spacing w:before="78" w:line="288" w:lineRule="auto"/>
              <w:ind w:left="110" w:right="136"/>
              <w:rPr>
                <w:sz w:val="20"/>
                <w:szCs w:val="20"/>
              </w:rPr>
            </w:pPr>
            <w:r>
              <w:rPr>
                <w:sz w:val="20"/>
                <w:szCs w:val="20"/>
              </w:rPr>
              <w:t>pH</w:t>
            </w:r>
            <w:r>
              <w:rPr>
                <w:spacing w:val="8"/>
                <w:sz w:val="20"/>
                <w:szCs w:val="20"/>
              </w:rPr>
              <w:t>、石油烃（</w:t>
            </w:r>
            <w:r>
              <w:rPr>
                <w:rFonts w:ascii="Times New Roman" w:hAnsi="Times New Roman" w:eastAsia="Times New Roman" w:cs="Times New Roman"/>
                <w:spacing w:val="8"/>
                <w:sz w:val="20"/>
                <w:szCs w:val="20"/>
              </w:rPr>
              <w:t>C</w:t>
            </w:r>
            <w:r>
              <w:rPr>
                <w:rFonts w:ascii="Times New Roman" w:hAnsi="Times New Roman" w:eastAsia="Times New Roman" w:cs="Times New Roman"/>
                <w:spacing w:val="8"/>
                <w:sz w:val="13"/>
                <w:szCs w:val="13"/>
              </w:rPr>
              <w:t>6</w:t>
            </w:r>
            <w:r>
              <w:rPr>
                <w:rFonts w:ascii="Times New Roman" w:hAnsi="Times New Roman" w:eastAsia="Times New Roman" w:cs="Times New Roman"/>
                <w:spacing w:val="8"/>
                <w:sz w:val="20"/>
                <w:szCs w:val="20"/>
              </w:rPr>
              <w:t>-C</w:t>
            </w:r>
            <w:r>
              <w:rPr>
                <w:rFonts w:ascii="Times New Roman" w:hAnsi="Times New Roman" w:eastAsia="Times New Roman" w:cs="Times New Roman"/>
                <w:spacing w:val="8"/>
                <w:position w:val="-1"/>
                <w:sz w:val="13"/>
                <w:szCs w:val="13"/>
              </w:rPr>
              <w:t xml:space="preserve">9 </w:t>
            </w:r>
            <w:r>
              <w:rPr>
                <w:spacing w:val="8"/>
                <w:sz w:val="20"/>
                <w:szCs w:val="20"/>
              </w:rPr>
              <w:t>）、石油烃（</w:t>
            </w:r>
            <w:r>
              <w:rPr>
                <w:rFonts w:ascii="Times New Roman" w:hAnsi="Times New Roman" w:eastAsia="Times New Roman" w:cs="Times New Roman"/>
                <w:spacing w:val="8"/>
                <w:sz w:val="20"/>
                <w:szCs w:val="20"/>
              </w:rPr>
              <w:t>C</w:t>
            </w:r>
            <w:r>
              <w:rPr>
                <w:rFonts w:ascii="Times New Roman" w:hAnsi="Times New Roman" w:eastAsia="Times New Roman" w:cs="Times New Roman"/>
                <w:spacing w:val="8"/>
                <w:sz w:val="13"/>
                <w:szCs w:val="13"/>
              </w:rPr>
              <w:t>10</w:t>
            </w:r>
            <w:r>
              <w:rPr>
                <w:rFonts w:ascii="Times New Roman" w:hAnsi="Times New Roman" w:eastAsia="Times New Roman" w:cs="Times New Roman"/>
                <w:spacing w:val="8"/>
                <w:sz w:val="20"/>
                <w:szCs w:val="20"/>
              </w:rPr>
              <w:t>-C</w:t>
            </w:r>
            <w:r>
              <w:rPr>
                <w:rFonts w:ascii="Times New Roman" w:hAnsi="Times New Roman" w:eastAsia="Times New Roman" w:cs="Times New Roman"/>
                <w:spacing w:val="8"/>
                <w:position w:val="-1"/>
                <w:sz w:val="13"/>
                <w:szCs w:val="13"/>
              </w:rPr>
              <w:t>40</w:t>
            </w:r>
            <w:r>
              <w:rPr>
                <w:rFonts w:ascii="Times New Roman" w:hAnsi="Times New Roman" w:eastAsia="Times New Roman" w:cs="Times New Roman"/>
                <w:spacing w:val="7"/>
                <w:position w:val="-1"/>
                <w:sz w:val="13"/>
                <w:szCs w:val="13"/>
              </w:rPr>
              <w:t xml:space="preserve"> </w:t>
            </w:r>
            <w:r>
              <w:rPr>
                <w:spacing w:val="7"/>
                <w:sz w:val="20"/>
                <w:szCs w:val="20"/>
              </w:rPr>
              <w:t>）、砷、镉、</w:t>
            </w:r>
            <w:r>
              <w:rPr>
                <w:sz w:val="20"/>
                <w:szCs w:val="20"/>
              </w:rPr>
              <w:t xml:space="preserve"> </w:t>
            </w:r>
            <w:r>
              <w:rPr>
                <w:spacing w:val="6"/>
                <w:sz w:val="20"/>
                <w:szCs w:val="20"/>
              </w:rPr>
              <w:t>铬（六价）、铜、铅、汞、镍、四氯化碳、氯仿、氯甲</w:t>
            </w:r>
            <w:r>
              <w:rPr>
                <w:spacing w:val="5"/>
                <w:sz w:val="20"/>
                <w:szCs w:val="20"/>
              </w:rPr>
              <w:t xml:space="preserve"> 烷、1,1-二氯乙烷、1,2-二氯乙烷、1,1-二氯乙烯、顺</w:t>
            </w:r>
            <w:r>
              <w:rPr>
                <w:spacing w:val="1"/>
                <w:sz w:val="20"/>
                <w:szCs w:val="20"/>
              </w:rPr>
              <w:t xml:space="preserve"> </w:t>
            </w:r>
            <w:r>
              <w:rPr>
                <w:spacing w:val="9"/>
                <w:sz w:val="20"/>
                <w:szCs w:val="20"/>
              </w:rPr>
              <w:t>1,2-二氯乙烯、反</w:t>
            </w:r>
            <w:r>
              <w:rPr>
                <w:spacing w:val="-12"/>
                <w:sz w:val="20"/>
                <w:szCs w:val="20"/>
              </w:rPr>
              <w:t xml:space="preserve"> </w:t>
            </w:r>
            <w:r>
              <w:rPr>
                <w:spacing w:val="9"/>
                <w:sz w:val="20"/>
                <w:szCs w:val="20"/>
              </w:rPr>
              <w:t>1,2-二氯乙烯、二氯甲烷、1,2-二</w:t>
            </w:r>
            <w:r>
              <w:rPr>
                <w:sz w:val="20"/>
                <w:szCs w:val="20"/>
              </w:rPr>
              <w:t xml:space="preserve"> </w:t>
            </w:r>
            <w:r>
              <w:rPr>
                <w:spacing w:val="5"/>
                <w:sz w:val="20"/>
                <w:szCs w:val="20"/>
              </w:rPr>
              <w:t>氯丙烷、1,1,1,2-四氯乙烷、1,1,</w:t>
            </w:r>
            <w:r>
              <w:rPr>
                <w:spacing w:val="4"/>
                <w:sz w:val="20"/>
                <w:szCs w:val="20"/>
              </w:rPr>
              <w:t>2,2-四氯乙烷、四氯</w:t>
            </w:r>
            <w:r>
              <w:rPr>
                <w:sz w:val="20"/>
                <w:szCs w:val="20"/>
              </w:rPr>
              <w:t xml:space="preserve"> </w:t>
            </w:r>
            <w:r>
              <w:rPr>
                <w:spacing w:val="7"/>
                <w:sz w:val="20"/>
                <w:szCs w:val="20"/>
              </w:rPr>
              <w:t>乙烯、1,1,1-三氯乙烷、1,1,2-三氯乙烷、三氯乙烯、</w:t>
            </w:r>
            <w:r>
              <w:rPr>
                <w:spacing w:val="10"/>
                <w:sz w:val="20"/>
                <w:szCs w:val="20"/>
              </w:rPr>
              <w:t xml:space="preserve"> </w:t>
            </w:r>
            <w:r>
              <w:rPr>
                <w:spacing w:val="-2"/>
                <w:sz w:val="20"/>
                <w:szCs w:val="20"/>
              </w:rPr>
              <w:t>1,2,3-三氯丙烷、氯乙烯、苯、氯苯、1,2-二氯苯、1,4-</w:t>
            </w:r>
            <w:r>
              <w:rPr>
                <w:spacing w:val="14"/>
                <w:sz w:val="20"/>
                <w:szCs w:val="20"/>
              </w:rPr>
              <w:t xml:space="preserve"> </w:t>
            </w:r>
            <w:r>
              <w:rPr>
                <w:spacing w:val="9"/>
                <w:sz w:val="20"/>
                <w:szCs w:val="20"/>
              </w:rPr>
              <w:t>二氯苯、乙苯、苯乙烯、</w:t>
            </w:r>
            <w:r>
              <w:rPr>
                <w:spacing w:val="-53"/>
                <w:sz w:val="20"/>
                <w:szCs w:val="20"/>
              </w:rPr>
              <w:t xml:space="preserve"> </w:t>
            </w:r>
            <w:r>
              <w:rPr>
                <w:spacing w:val="9"/>
                <w:sz w:val="20"/>
                <w:szCs w:val="20"/>
              </w:rPr>
              <w:t>甲苯、间二甲苯+对二甲苯、</w:t>
            </w:r>
            <w:r>
              <w:rPr>
                <w:sz w:val="20"/>
                <w:szCs w:val="20"/>
              </w:rPr>
              <w:t xml:space="preserve"> </w:t>
            </w:r>
            <w:r>
              <w:rPr>
                <w:spacing w:val="6"/>
                <w:sz w:val="20"/>
                <w:szCs w:val="20"/>
              </w:rPr>
              <w:t>邻二甲苯、硝基苯、苯胺、2-氯酚、苯并</w:t>
            </w:r>
            <w:r>
              <w:rPr>
                <w:spacing w:val="5"/>
                <w:sz w:val="20"/>
                <w:szCs w:val="20"/>
              </w:rPr>
              <w:t>[α]蒽、苯并</w:t>
            </w:r>
            <w:r>
              <w:rPr>
                <w:sz w:val="20"/>
                <w:szCs w:val="20"/>
              </w:rPr>
              <w:t xml:space="preserve"> </w:t>
            </w:r>
            <w:r>
              <w:rPr>
                <w:spacing w:val="-5"/>
                <w:sz w:val="20"/>
                <w:szCs w:val="20"/>
              </w:rPr>
              <w:t>[</w:t>
            </w:r>
            <w:r>
              <w:rPr>
                <w:spacing w:val="-44"/>
                <w:sz w:val="20"/>
                <w:szCs w:val="20"/>
              </w:rPr>
              <w:t xml:space="preserve"> </w:t>
            </w:r>
            <w:r>
              <w:rPr>
                <w:spacing w:val="-5"/>
                <w:sz w:val="20"/>
                <w:szCs w:val="20"/>
              </w:rPr>
              <w:t>α]芘、苯并[</w:t>
            </w:r>
            <w:r>
              <w:rPr>
                <w:spacing w:val="-44"/>
                <w:sz w:val="20"/>
                <w:szCs w:val="20"/>
              </w:rPr>
              <w:t xml:space="preserve"> </w:t>
            </w:r>
            <w:r>
              <w:rPr>
                <w:spacing w:val="-5"/>
                <w:sz w:val="20"/>
                <w:szCs w:val="20"/>
              </w:rPr>
              <w:t>α]荧蒽、苯并[k]荧蒽、䓛、二苯并</w:t>
            </w:r>
            <w:r>
              <w:rPr>
                <w:spacing w:val="-6"/>
                <w:sz w:val="20"/>
                <w:szCs w:val="20"/>
              </w:rPr>
              <w:t>[</w:t>
            </w:r>
            <w:r>
              <w:rPr>
                <w:spacing w:val="-44"/>
                <w:sz w:val="20"/>
                <w:szCs w:val="20"/>
              </w:rPr>
              <w:t xml:space="preserve"> </w:t>
            </w:r>
            <w:r>
              <w:rPr>
                <w:spacing w:val="-6"/>
                <w:sz w:val="20"/>
                <w:szCs w:val="20"/>
              </w:rPr>
              <w:t>α、</w:t>
            </w:r>
            <w:r>
              <w:rPr>
                <w:sz w:val="20"/>
                <w:szCs w:val="20"/>
              </w:rPr>
              <w:t xml:space="preserve"> </w:t>
            </w:r>
            <w:r>
              <w:rPr>
                <w:spacing w:val="7"/>
                <w:sz w:val="20"/>
                <w:szCs w:val="20"/>
              </w:rPr>
              <w:t>h]蒽、茚并[1,2,3-</w:t>
            </w:r>
            <w:r>
              <w:rPr>
                <w:sz w:val="20"/>
                <w:szCs w:val="20"/>
              </w:rPr>
              <w:t>cd</w:t>
            </w:r>
            <w:r>
              <w:rPr>
                <w:spacing w:val="7"/>
                <w:sz w:val="20"/>
                <w:szCs w:val="20"/>
              </w:rPr>
              <w:t>]芘、萘</w:t>
            </w:r>
          </w:p>
        </w:tc>
      </w:tr>
      <w:tr w14:paraId="4E8949E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37" w:hRule="atLeast"/>
        </w:trPr>
        <w:tc>
          <w:tcPr>
            <w:tcW w:w="471" w:type="dxa"/>
            <w:vMerge w:val="continue"/>
            <w:tcBorders>
              <w:top w:val="nil"/>
              <w:left w:val="single" w:color="000000" w:sz="10" w:space="0"/>
              <w:bottom w:val="nil"/>
            </w:tcBorders>
            <w:vAlign w:val="top"/>
          </w:tcPr>
          <w:p w14:paraId="3EF771D8">
            <w:pPr>
              <w:rPr>
                <w:rFonts w:ascii="Arial"/>
                <w:sz w:val="21"/>
              </w:rPr>
            </w:pPr>
          </w:p>
        </w:tc>
        <w:tc>
          <w:tcPr>
            <w:tcW w:w="8877" w:type="dxa"/>
            <w:gridSpan w:val="6"/>
            <w:tcBorders>
              <w:top w:val="single" w:color="000000" w:sz="10" w:space="0"/>
              <w:right w:val="single" w:color="000000" w:sz="10" w:space="0"/>
            </w:tcBorders>
            <w:vAlign w:val="top"/>
          </w:tcPr>
          <w:p w14:paraId="2967C2C5">
            <w:pPr>
              <w:pStyle w:val="6"/>
              <w:spacing w:before="122" w:line="221" w:lineRule="auto"/>
              <w:ind w:left="594"/>
            </w:pPr>
            <w:r>
              <w:rPr>
                <w:spacing w:val="-3"/>
              </w:rPr>
              <w:t>（</w:t>
            </w:r>
            <w:r>
              <w:rPr>
                <w:rFonts w:ascii="Calibri" w:hAnsi="Calibri" w:eastAsia="Calibri" w:cs="Calibri"/>
                <w:spacing w:val="-3"/>
              </w:rPr>
              <w:t>2</w:t>
            </w:r>
            <w:r>
              <w:rPr>
                <w:spacing w:val="-3"/>
              </w:rPr>
              <w:t>）监测时间</w:t>
            </w:r>
          </w:p>
          <w:p w14:paraId="52D3D518">
            <w:pPr>
              <w:pStyle w:val="6"/>
              <w:spacing w:before="180" w:line="219" w:lineRule="auto"/>
              <w:ind w:left="586"/>
            </w:pPr>
            <w:r>
              <w:rPr>
                <w:spacing w:val="-6"/>
              </w:rPr>
              <w:t>取样监测</w:t>
            </w:r>
            <w:r>
              <w:rPr>
                <w:spacing w:val="-32"/>
              </w:rPr>
              <w:t xml:space="preserve"> </w:t>
            </w:r>
            <w:r>
              <w:rPr>
                <w:rFonts w:ascii="Calibri" w:hAnsi="Calibri" w:eastAsia="Calibri" w:cs="Calibri"/>
                <w:spacing w:val="-6"/>
              </w:rPr>
              <w:t>1</w:t>
            </w:r>
            <w:r>
              <w:rPr>
                <w:rFonts w:ascii="Calibri" w:hAnsi="Calibri" w:eastAsia="Calibri" w:cs="Calibri"/>
                <w:spacing w:val="21"/>
              </w:rPr>
              <w:t xml:space="preserve"> </w:t>
            </w:r>
            <w:r>
              <w:rPr>
                <w:spacing w:val="-6"/>
              </w:rPr>
              <w:t>天，</w:t>
            </w:r>
            <w:r>
              <w:rPr>
                <w:rFonts w:ascii="Calibri" w:hAnsi="Calibri" w:eastAsia="Calibri" w:cs="Calibri"/>
                <w:spacing w:val="-6"/>
              </w:rPr>
              <w:t>1</w:t>
            </w:r>
            <w:r>
              <w:rPr>
                <w:rFonts w:ascii="Calibri" w:hAnsi="Calibri" w:eastAsia="Calibri" w:cs="Calibri"/>
                <w:spacing w:val="20"/>
              </w:rPr>
              <w:t xml:space="preserve"> </w:t>
            </w:r>
            <w:r>
              <w:rPr>
                <w:spacing w:val="-6"/>
              </w:rPr>
              <w:t>次采样。</w:t>
            </w:r>
          </w:p>
          <w:p w14:paraId="5BA50F74">
            <w:pPr>
              <w:pStyle w:val="6"/>
              <w:spacing w:before="183" w:line="220" w:lineRule="auto"/>
              <w:ind w:left="594"/>
            </w:pPr>
            <w:r>
              <w:rPr>
                <w:spacing w:val="-3"/>
              </w:rPr>
              <w:t>（</w:t>
            </w:r>
            <w:r>
              <w:rPr>
                <w:rFonts w:ascii="Calibri" w:hAnsi="Calibri" w:eastAsia="Calibri" w:cs="Calibri"/>
                <w:spacing w:val="-3"/>
              </w:rPr>
              <w:t>3</w:t>
            </w:r>
            <w:r>
              <w:rPr>
                <w:spacing w:val="-3"/>
              </w:rPr>
              <w:t>）监测分析方法</w:t>
            </w:r>
          </w:p>
          <w:p w14:paraId="0CCDF539">
            <w:pPr>
              <w:pStyle w:val="6"/>
              <w:spacing w:before="181" w:line="219" w:lineRule="auto"/>
              <w:ind w:left="582"/>
            </w:pPr>
            <w:r>
              <w:rPr>
                <w:spacing w:val="-1"/>
              </w:rPr>
              <w:t>采样分析方法按《土壤分析技术规范》规定的测定方法进行。</w:t>
            </w:r>
          </w:p>
          <w:p w14:paraId="2F563474">
            <w:pPr>
              <w:pStyle w:val="6"/>
              <w:spacing w:before="183" w:line="218" w:lineRule="auto"/>
              <w:ind w:left="594"/>
            </w:pPr>
            <w:r>
              <w:rPr>
                <w:spacing w:val="-3"/>
              </w:rPr>
              <w:t>（</w:t>
            </w:r>
            <w:r>
              <w:rPr>
                <w:rFonts w:ascii="Calibri" w:hAnsi="Calibri" w:eastAsia="Calibri" w:cs="Calibri"/>
                <w:spacing w:val="-3"/>
              </w:rPr>
              <w:t>4</w:t>
            </w:r>
            <w:r>
              <w:rPr>
                <w:spacing w:val="-3"/>
              </w:rPr>
              <w:t>）评价标准</w:t>
            </w:r>
          </w:p>
          <w:p w14:paraId="10361EFF">
            <w:pPr>
              <w:pStyle w:val="6"/>
              <w:spacing w:before="187" w:line="353" w:lineRule="auto"/>
              <w:ind w:left="103" w:right="96" w:firstLine="482"/>
            </w:pPr>
            <w:r>
              <w:rPr>
                <w:spacing w:val="-3"/>
              </w:rPr>
              <w:t>厂址内土壤背景值监测点位执行土壤环境质量评价执行《土壤环境质量 建设用</w:t>
            </w:r>
            <w:r>
              <w:rPr>
                <w:spacing w:val="2"/>
              </w:rPr>
              <w:t xml:space="preserve"> </w:t>
            </w:r>
            <w:r>
              <w:rPr>
                <w:spacing w:val="-1"/>
              </w:rPr>
              <w:t>地土壤污染风险管控标准（试行）》（</w:t>
            </w:r>
            <w:r>
              <w:rPr>
                <w:rFonts w:ascii="Calibri" w:hAnsi="Calibri" w:eastAsia="Calibri" w:cs="Calibri"/>
                <w:spacing w:val="-1"/>
              </w:rPr>
              <w:t>GB36600-2018</w:t>
            </w:r>
            <w:r>
              <w:rPr>
                <w:spacing w:val="-1"/>
              </w:rPr>
              <w:t>）表</w:t>
            </w:r>
            <w:r>
              <w:rPr>
                <w:spacing w:val="-25"/>
              </w:rPr>
              <w:t xml:space="preserve"> </w:t>
            </w:r>
            <w:r>
              <w:rPr>
                <w:rFonts w:ascii="Calibri" w:hAnsi="Calibri" w:eastAsia="Calibri" w:cs="Calibri"/>
                <w:spacing w:val="-1"/>
              </w:rPr>
              <w:t>1</w:t>
            </w:r>
            <w:r>
              <w:rPr>
                <w:rFonts w:ascii="Calibri" w:hAnsi="Calibri" w:eastAsia="Calibri" w:cs="Calibri"/>
                <w:spacing w:val="21"/>
                <w:w w:val="101"/>
              </w:rPr>
              <w:t xml:space="preserve"> </w:t>
            </w:r>
            <w:r>
              <w:rPr>
                <w:spacing w:val="-1"/>
              </w:rPr>
              <w:t>建设用地土壤污染源风</w:t>
            </w:r>
            <w:r>
              <w:t xml:space="preserve"> 险筛选值和管制值（基本项目）筛选值 第二类用地 表</w:t>
            </w:r>
            <w:r>
              <w:rPr>
                <w:spacing w:val="-47"/>
              </w:rPr>
              <w:t xml:space="preserve"> </w:t>
            </w:r>
            <w:r>
              <w:rPr>
                <w:rFonts w:ascii="Calibri" w:hAnsi="Calibri" w:eastAsia="Calibri" w:cs="Calibri"/>
              </w:rPr>
              <w:t>2</w:t>
            </w:r>
            <w:r>
              <w:rPr>
                <w:rFonts w:ascii="Calibri" w:hAnsi="Calibri" w:eastAsia="Calibri" w:cs="Calibri"/>
                <w:spacing w:val="19"/>
              </w:rPr>
              <w:t xml:space="preserve"> </w:t>
            </w:r>
            <w:r>
              <w:t>建</w:t>
            </w:r>
            <w:r>
              <w:rPr>
                <w:spacing w:val="-1"/>
              </w:rPr>
              <w:t>设用地土壤污染源风险</w:t>
            </w:r>
            <w:r>
              <w:t xml:space="preserve"> </w:t>
            </w:r>
            <w:r>
              <w:rPr>
                <w:spacing w:val="-1"/>
              </w:rPr>
              <w:t>筛选值和管制值（其他项目）筛选值 第二类用地要求。</w:t>
            </w:r>
          </w:p>
          <w:p w14:paraId="50144AF7">
            <w:pPr>
              <w:pStyle w:val="6"/>
              <w:spacing w:before="34" w:line="220" w:lineRule="auto"/>
              <w:ind w:left="594"/>
            </w:pPr>
            <w:r>
              <w:rPr>
                <w:spacing w:val="-3"/>
              </w:rPr>
              <w:t>（</w:t>
            </w:r>
            <w:r>
              <w:rPr>
                <w:rFonts w:ascii="Calibri" w:hAnsi="Calibri" w:eastAsia="Calibri" w:cs="Calibri"/>
                <w:spacing w:val="-3"/>
              </w:rPr>
              <w:t>5</w:t>
            </w:r>
            <w:r>
              <w:rPr>
                <w:spacing w:val="-3"/>
              </w:rPr>
              <w:t>）监测及统计结果</w:t>
            </w:r>
          </w:p>
          <w:p w14:paraId="4A3D44B7">
            <w:pPr>
              <w:pStyle w:val="6"/>
              <w:spacing w:before="139" w:line="333" w:lineRule="exact"/>
              <w:ind w:left="1542"/>
            </w:pPr>
            <w:r>
              <w:rPr>
                <w:b/>
                <w:bCs/>
                <w:spacing w:val="-1"/>
                <w:position w:val="2"/>
              </w:rPr>
              <w:t>表</w:t>
            </w:r>
            <w:r>
              <w:rPr>
                <w:spacing w:val="-50"/>
                <w:position w:val="2"/>
              </w:rPr>
              <w:t xml:space="preserve"> </w:t>
            </w:r>
            <w:r>
              <w:rPr>
                <w:rFonts w:ascii="Calibri" w:hAnsi="Calibri" w:eastAsia="Calibri" w:cs="Calibri"/>
                <w:b/>
                <w:bCs/>
                <w:spacing w:val="-1"/>
                <w:position w:val="2"/>
              </w:rPr>
              <w:t xml:space="preserve">3-7         </w:t>
            </w:r>
            <w:r>
              <w:rPr>
                <w:b/>
                <w:bCs/>
                <w:spacing w:val="-1"/>
                <w:position w:val="2"/>
              </w:rPr>
              <w:t>土壤环境质量监测结</w:t>
            </w:r>
            <w:r>
              <w:rPr>
                <w:b/>
                <w:bCs/>
                <w:spacing w:val="-2"/>
                <w:position w:val="2"/>
              </w:rPr>
              <w:t>果</w:t>
            </w:r>
            <w:r>
              <w:rPr>
                <w:spacing w:val="-2"/>
                <w:position w:val="2"/>
              </w:rPr>
              <w:t xml:space="preserve">    </w:t>
            </w:r>
            <w:r>
              <w:rPr>
                <w:b/>
                <w:bCs/>
                <w:spacing w:val="-2"/>
                <w:position w:val="2"/>
              </w:rPr>
              <w:t>单位</w:t>
            </w:r>
            <w:r>
              <w:rPr>
                <w:rFonts w:ascii="Calibri" w:hAnsi="Calibri" w:eastAsia="Calibri" w:cs="Calibri"/>
                <w:b/>
                <w:bCs/>
                <w:spacing w:val="-2"/>
                <w:position w:val="2"/>
              </w:rPr>
              <w:t>:mg/kg(pH</w:t>
            </w:r>
            <w:r>
              <w:rPr>
                <w:rFonts w:ascii="Calibri" w:hAnsi="Calibri" w:eastAsia="Calibri" w:cs="Calibri"/>
                <w:b/>
                <w:bCs/>
                <w:spacing w:val="19"/>
                <w:w w:val="101"/>
                <w:position w:val="2"/>
              </w:rPr>
              <w:t xml:space="preserve"> </w:t>
            </w:r>
            <w:r>
              <w:rPr>
                <w:b/>
                <w:bCs/>
                <w:spacing w:val="-2"/>
                <w:position w:val="2"/>
              </w:rPr>
              <w:t>无量纲）</w:t>
            </w:r>
          </w:p>
        </w:tc>
      </w:tr>
      <w:tr w14:paraId="41CE8B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471" w:type="dxa"/>
            <w:vMerge w:val="continue"/>
            <w:tcBorders>
              <w:top w:val="nil"/>
              <w:left w:val="single" w:color="000000" w:sz="10" w:space="0"/>
              <w:bottom w:val="nil"/>
            </w:tcBorders>
            <w:vAlign w:val="top"/>
          </w:tcPr>
          <w:p w14:paraId="128213BB">
            <w:pPr>
              <w:rPr>
                <w:rFonts w:ascii="Arial"/>
                <w:sz w:val="21"/>
              </w:rPr>
            </w:pPr>
          </w:p>
        </w:tc>
        <w:tc>
          <w:tcPr>
            <w:tcW w:w="2163" w:type="dxa"/>
            <w:gridSpan w:val="2"/>
            <w:vMerge w:val="restart"/>
            <w:tcBorders>
              <w:bottom w:val="nil"/>
            </w:tcBorders>
            <w:vAlign w:val="top"/>
          </w:tcPr>
          <w:p w14:paraId="04C0B035">
            <w:pPr>
              <w:pStyle w:val="6"/>
              <w:spacing w:before="54" w:line="229" w:lineRule="auto"/>
              <w:ind w:left="755"/>
              <w:rPr>
                <w:sz w:val="20"/>
                <w:szCs w:val="20"/>
              </w:rPr>
            </w:pPr>
            <w:r>
              <w:rPr>
                <w:spacing w:val="7"/>
                <w:sz w:val="20"/>
                <w:szCs w:val="20"/>
              </w:rPr>
              <w:t>监测时间</w:t>
            </w:r>
          </w:p>
          <w:p w14:paraId="09F832FA">
            <w:pPr>
              <w:spacing w:line="253" w:lineRule="auto"/>
              <w:rPr>
                <w:rFonts w:ascii="Arial"/>
                <w:sz w:val="21"/>
              </w:rPr>
            </w:pPr>
          </w:p>
          <w:p w14:paraId="10979274">
            <w:pPr>
              <w:spacing w:line="254" w:lineRule="auto"/>
              <w:rPr>
                <w:rFonts w:ascii="Arial"/>
                <w:sz w:val="21"/>
              </w:rPr>
            </w:pPr>
          </w:p>
          <w:p w14:paraId="7AF10451">
            <w:pPr>
              <w:pStyle w:val="6"/>
              <w:spacing w:before="65" w:line="228" w:lineRule="auto"/>
              <w:ind w:left="755"/>
              <w:rPr>
                <w:sz w:val="20"/>
                <w:szCs w:val="20"/>
              </w:rPr>
            </w:pPr>
            <w:r>
              <w:rPr>
                <w:spacing w:val="7"/>
                <w:sz w:val="20"/>
                <w:szCs w:val="20"/>
              </w:rPr>
              <w:t>监测项目</w:t>
            </w:r>
          </w:p>
        </w:tc>
        <w:tc>
          <w:tcPr>
            <w:tcW w:w="2557" w:type="dxa"/>
            <w:gridSpan w:val="3"/>
            <w:vAlign w:val="top"/>
          </w:tcPr>
          <w:p w14:paraId="4ADD2428">
            <w:pPr>
              <w:spacing w:before="95" w:line="168" w:lineRule="auto"/>
              <w:ind w:left="861"/>
              <w:rPr>
                <w:rFonts w:ascii="Calibri" w:hAnsi="Calibri" w:eastAsia="Calibri" w:cs="Calibri"/>
                <w:sz w:val="20"/>
                <w:szCs w:val="20"/>
              </w:rPr>
            </w:pPr>
            <w:r>
              <w:rPr>
                <w:rFonts w:ascii="Calibri" w:hAnsi="Calibri" w:eastAsia="Calibri" w:cs="Calibri"/>
                <w:spacing w:val="2"/>
                <w:sz w:val="20"/>
                <w:szCs w:val="20"/>
              </w:rPr>
              <w:t>2024.7.22</w:t>
            </w:r>
          </w:p>
        </w:tc>
        <w:tc>
          <w:tcPr>
            <w:tcW w:w="4157" w:type="dxa"/>
            <w:vMerge w:val="restart"/>
            <w:tcBorders>
              <w:bottom w:val="nil"/>
              <w:right w:val="single" w:color="000000" w:sz="10" w:space="0"/>
            </w:tcBorders>
            <w:vAlign w:val="top"/>
          </w:tcPr>
          <w:p w14:paraId="139BD638">
            <w:pPr>
              <w:pStyle w:val="6"/>
              <w:spacing w:before="52" w:line="247" w:lineRule="auto"/>
              <w:ind w:left="114" w:right="293" w:firstLine="38"/>
              <w:jc w:val="both"/>
              <w:rPr>
                <w:sz w:val="20"/>
                <w:szCs w:val="20"/>
              </w:rPr>
            </w:pPr>
            <w:r>
              <w:rPr>
                <w:spacing w:val="8"/>
                <w:sz w:val="20"/>
                <w:szCs w:val="20"/>
              </w:rPr>
              <w:t>《土壤环境质量 建设用地土壤污染风险</w:t>
            </w:r>
            <w:r>
              <w:rPr>
                <w:spacing w:val="16"/>
                <w:sz w:val="20"/>
                <w:szCs w:val="20"/>
              </w:rPr>
              <w:t xml:space="preserve"> </w:t>
            </w:r>
            <w:r>
              <w:rPr>
                <w:spacing w:val="5"/>
                <w:sz w:val="20"/>
                <w:szCs w:val="20"/>
              </w:rPr>
              <w:t>管控标准（试行）》（</w:t>
            </w:r>
            <w:r>
              <w:rPr>
                <w:rFonts w:ascii="Calibri" w:hAnsi="Calibri" w:eastAsia="Calibri" w:cs="Calibri"/>
                <w:sz w:val="20"/>
                <w:szCs w:val="20"/>
              </w:rPr>
              <w:t>GB</w:t>
            </w:r>
            <w:r>
              <w:rPr>
                <w:rFonts w:ascii="Calibri" w:hAnsi="Calibri" w:eastAsia="Calibri" w:cs="Calibri"/>
                <w:spacing w:val="5"/>
                <w:sz w:val="20"/>
                <w:szCs w:val="20"/>
              </w:rPr>
              <w:t>36600-2018</w:t>
            </w:r>
            <w:r>
              <w:rPr>
                <w:spacing w:val="5"/>
                <w:sz w:val="20"/>
                <w:szCs w:val="20"/>
              </w:rPr>
              <w:t>）表</w:t>
            </w:r>
            <w:r>
              <w:rPr>
                <w:spacing w:val="14"/>
                <w:sz w:val="20"/>
                <w:szCs w:val="20"/>
              </w:rPr>
              <w:t xml:space="preserve"> </w:t>
            </w:r>
            <w:r>
              <w:rPr>
                <w:rFonts w:ascii="Calibri" w:hAnsi="Calibri" w:eastAsia="Calibri" w:cs="Calibri"/>
                <w:spacing w:val="8"/>
                <w:sz w:val="20"/>
                <w:szCs w:val="20"/>
              </w:rPr>
              <w:t>1</w:t>
            </w:r>
            <w:r>
              <w:rPr>
                <w:rFonts w:ascii="Calibri" w:hAnsi="Calibri" w:eastAsia="Calibri" w:cs="Calibri"/>
                <w:spacing w:val="34"/>
                <w:w w:val="101"/>
                <w:sz w:val="20"/>
                <w:szCs w:val="20"/>
              </w:rPr>
              <w:t xml:space="preserve"> </w:t>
            </w:r>
            <w:r>
              <w:rPr>
                <w:spacing w:val="8"/>
                <w:sz w:val="20"/>
                <w:szCs w:val="20"/>
              </w:rPr>
              <w:t>建设用地土壤污染源风险筛选值和管制</w:t>
            </w:r>
            <w:r>
              <w:rPr>
                <w:sz w:val="20"/>
                <w:szCs w:val="20"/>
              </w:rPr>
              <w:t xml:space="preserve"> </w:t>
            </w:r>
            <w:r>
              <w:rPr>
                <w:spacing w:val="8"/>
                <w:sz w:val="20"/>
                <w:szCs w:val="20"/>
              </w:rPr>
              <w:t>值（基本项目）筛选值 第二类用地 表</w:t>
            </w:r>
            <w:r>
              <w:rPr>
                <w:spacing w:val="-36"/>
                <w:sz w:val="20"/>
                <w:szCs w:val="20"/>
              </w:rPr>
              <w:t xml:space="preserve"> </w:t>
            </w:r>
            <w:r>
              <w:rPr>
                <w:rFonts w:ascii="Calibri" w:hAnsi="Calibri" w:eastAsia="Calibri" w:cs="Calibri"/>
                <w:spacing w:val="8"/>
                <w:sz w:val="20"/>
                <w:szCs w:val="20"/>
              </w:rPr>
              <w:t>2</w:t>
            </w:r>
            <w:r>
              <w:rPr>
                <w:rFonts w:ascii="Calibri" w:hAnsi="Calibri" w:eastAsia="Calibri" w:cs="Calibri"/>
                <w:sz w:val="20"/>
                <w:szCs w:val="20"/>
              </w:rPr>
              <w:t xml:space="preserve"> </w:t>
            </w:r>
            <w:r>
              <w:rPr>
                <w:spacing w:val="14"/>
                <w:sz w:val="20"/>
                <w:szCs w:val="20"/>
              </w:rPr>
              <w:t>建设用地土壤污染源风险筛选值和管制</w:t>
            </w:r>
          </w:p>
          <w:p w14:paraId="4C87E961">
            <w:pPr>
              <w:pStyle w:val="6"/>
              <w:spacing w:before="27" w:line="192" w:lineRule="auto"/>
              <w:ind w:left="359"/>
              <w:rPr>
                <w:sz w:val="20"/>
                <w:szCs w:val="20"/>
              </w:rPr>
            </w:pPr>
            <w:r>
              <w:rPr>
                <w:spacing w:val="9"/>
                <w:sz w:val="20"/>
                <w:szCs w:val="20"/>
              </w:rPr>
              <w:t>值（其他项目）筛选值 第二类用地</w:t>
            </w:r>
          </w:p>
        </w:tc>
      </w:tr>
      <w:tr w14:paraId="08CC2C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55" w:hRule="atLeast"/>
        </w:trPr>
        <w:tc>
          <w:tcPr>
            <w:tcW w:w="471" w:type="dxa"/>
            <w:vMerge w:val="continue"/>
            <w:tcBorders>
              <w:top w:val="nil"/>
              <w:left w:val="single" w:color="000000" w:sz="10" w:space="0"/>
              <w:bottom w:val="nil"/>
            </w:tcBorders>
            <w:vAlign w:val="top"/>
          </w:tcPr>
          <w:p w14:paraId="7213DA7D">
            <w:pPr>
              <w:rPr>
                <w:rFonts w:ascii="Arial"/>
                <w:sz w:val="21"/>
              </w:rPr>
            </w:pPr>
          </w:p>
        </w:tc>
        <w:tc>
          <w:tcPr>
            <w:tcW w:w="2163" w:type="dxa"/>
            <w:gridSpan w:val="2"/>
            <w:vMerge w:val="continue"/>
            <w:tcBorders>
              <w:top w:val="nil"/>
            </w:tcBorders>
            <w:vAlign w:val="top"/>
          </w:tcPr>
          <w:p w14:paraId="2A99E7A2">
            <w:pPr>
              <w:rPr>
                <w:rFonts w:ascii="Arial"/>
                <w:sz w:val="21"/>
              </w:rPr>
            </w:pPr>
          </w:p>
        </w:tc>
        <w:tc>
          <w:tcPr>
            <w:tcW w:w="2557" w:type="dxa"/>
            <w:gridSpan w:val="3"/>
            <w:vAlign w:val="top"/>
          </w:tcPr>
          <w:p w14:paraId="62FA3FEF">
            <w:pPr>
              <w:spacing w:line="391" w:lineRule="auto"/>
              <w:rPr>
                <w:rFonts w:ascii="Arial"/>
                <w:sz w:val="21"/>
              </w:rPr>
            </w:pPr>
          </w:p>
          <w:p w14:paraId="1A1482EB">
            <w:pPr>
              <w:pStyle w:val="6"/>
              <w:spacing w:before="65" w:line="228" w:lineRule="auto"/>
              <w:ind w:left="207"/>
              <w:rPr>
                <w:rFonts w:ascii="Calibri" w:hAnsi="Calibri" w:eastAsia="Calibri" w:cs="Calibri"/>
                <w:sz w:val="20"/>
                <w:szCs w:val="20"/>
              </w:rPr>
            </w:pPr>
            <w:r>
              <w:rPr>
                <w:spacing w:val="6"/>
                <w:sz w:val="20"/>
                <w:szCs w:val="20"/>
              </w:rPr>
              <w:t>厂址内背景值监测点</w:t>
            </w:r>
            <w:r>
              <w:rPr>
                <w:spacing w:val="-28"/>
                <w:sz w:val="20"/>
                <w:szCs w:val="20"/>
              </w:rPr>
              <w:t xml:space="preserve"> </w:t>
            </w:r>
            <w:r>
              <w:rPr>
                <w:rFonts w:ascii="Calibri" w:hAnsi="Calibri" w:eastAsia="Calibri" w:cs="Calibri"/>
                <w:spacing w:val="6"/>
                <w:sz w:val="20"/>
                <w:szCs w:val="20"/>
              </w:rPr>
              <w:t>1#</w:t>
            </w:r>
          </w:p>
          <w:p w14:paraId="6A81FCC9">
            <w:pPr>
              <w:pStyle w:val="6"/>
              <w:spacing w:before="24"/>
              <w:ind w:left="781"/>
              <w:rPr>
                <w:sz w:val="20"/>
                <w:szCs w:val="20"/>
              </w:rPr>
            </w:pPr>
            <w:r>
              <w:rPr>
                <w:spacing w:val="2"/>
                <w:sz w:val="20"/>
                <w:szCs w:val="20"/>
              </w:rPr>
              <w:t>（</w:t>
            </w:r>
            <w:r>
              <w:rPr>
                <w:rFonts w:ascii="Calibri" w:hAnsi="Calibri" w:eastAsia="Calibri" w:cs="Calibri"/>
                <w:spacing w:val="2"/>
                <w:sz w:val="20"/>
                <w:szCs w:val="20"/>
              </w:rPr>
              <w:t>0-0.2m</w:t>
            </w:r>
            <w:r>
              <w:rPr>
                <w:spacing w:val="2"/>
                <w:sz w:val="20"/>
                <w:szCs w:val="20"/>
              </w:rPr>
              <w:t>）</w:t>
            </w:r>
          </w:p>
        </w:tc>
        <w:tc>
          <w:tcPr>
            <w:tcW w:w="4157" w:type="dxa"/>
            <w:vMerge w:val="continue"/>
            <w:tcBorders>
              <w:top w:val="nil"/>
              <w:right w:val="single" w:color="000000" w:sz="10" w:space="0"/>
            </w:tcBorders>
            <w:vAlign w:val="top"/>
          </w:tcPr>
          <w:p w14:paraId="315A365A">
            <w:pPr>
              <w:rPr>
                <w:rFonts w:ascii="Arial"/>
                <w:sz w:val="21"/>
              </w:rPr>
            </w:pPr>
          </w:p>
        </w:tc>
      </w:tr>
      <w:tr w14:paraId="063D95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5FC5A4D0">
            <w:pPr>
              <w:rPr>
                <w:rFonts w:ascii="Arial"/>
                <w:sz w:val="21"/>
              </w:rPr>
            </w:pPr>
          </w:p>
        </w:tc>
        <w:tc>
          <w:tcPr>
            <w:tcW w:w="2163" w:type="dxa"/>
            <w:gridSpan w:val="2"/>
            <w:vAlign w:val="top"/>
          </w:tcPr>
          <w:p w14:paraId="38463C66">
            <w:pPr>
              <w:pStyle w:val="6"/>
              <w:spacing w:before="56" w:line="194" w:lineRule="auto"/>
              <w:ind w:left="590"/>
              <w:rPr>
                <w:sz w:val="20"/>
                <w:szCs w:val="20"/>
              </w:rPr>
            </w:pPr>
            <w:r>
              <w:rPr>
                <w:spacing w:val="9"/>
                <w:sz w:val="20"/>
                <w:szCs w:val="20"/>
              </w:rPr>
              <w:t>镉（</w:t>
            </w:r>
            <w:r>
              <w:rPr>
                <w:rFonts w:ascii="Times New Roman" w:hAnsi="Times New Roman" w:eastAsia="Times New Roman" w:cs="Times New Roman"/>
                <w:sz w:val="20"/>
                <w:szCs w:val="20"/>
              </w:rPr>
              <w:t>mg</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kg</w:t>
            </w:r>
            <w:r>
              <w:rPr>
                <w:spacing w:val="9"/>
                <w:sz w:val="20"/>
                <w:szCs w:val="20"/>
              </w:rPr>
              <w:t>）</w:t>
            </w:r>
          </w:p>
        </w:tc>
        <w:tc>
          <w:tcPr>
            <w:tcW w:w="2557" w:type="dxa"/>
            <w:gridSpan w:val="3"/>
            <w:vAlign w:val="top"/>
          </w:tcPr>
          <w:p w14:paraId="0009B2D4">
            <w:pPr>
              <w:spacing w:before="93" w:line="181" w:lineRule="auto"/>
              <w:ind w:left="109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0.29</w:t>
            </w:r>
          </w:p>
        </w:tc>
        <w:tc>
          <w:tcPr>
            <w:tcW w:w="4157" w:type="dxa"/>
            <w:tcBorders>
              <w:right w:val="single" w:color="000000" w:sz="10" w:space="0"/>
            </w:tcBorders>
            <w:vAlign w:val="top"/>
          </w:tcPr>
          <w:p w14:paraId="7E7EB530">
            <w:pPr>
              <w:spacing w:before="93" w:line="181" w:lineRule="auto"/>
              <w:ind w:left="1882"/>
              <w:rPr>
                <w:rFonts w:ascii="Times New Roman" w:hAnsi="Times New Roman" w:eastAsia="Times New Roman" w:cs="Times New Roman"/>
                <w:sz w:val="20"/>
                <w:szCs w:val="20"/>
              </w:rPr>
            </w:pPr>
            <w:r>
              <w:rPr>
                <w:rFonts w:ascii="Times New Roman" w:hAnsi="Times New Roman" w:eastAsia="Times New Roman" w:cs="Times New Roman"/>
                <w:sz w:val="20"/>
                <w:szCs w:val="20"/>
              </w:rPr>
              <w:t>65</w:t>
            </w:r>
          </w:p>
        </w:tc>
      </w:tr>
      <w:tr w14:paraId="3B0F211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1" w:hRule="atLeast"/>
        </w:trPr>
        <w:tc>
          <w:tcPr>
            <w:tcW w:w="471" w:type="dxa"/>
            <w:vMerge w:val="continue"/>
            <w:tcBorders>
              <w:top w:val="nil"/>
              <w:left w:val="single" w:color="000000" w:sz="10" w:space="0"/>
              <w:bottom w:val="single" w:color="000000" w:sz="10" w:space="0"/>
            </w:tcBorders>
            <w:vAlign w:val="top"/>
          </w:tcPr>
          <w:p w14:paraId="597A5CFC">
            <w:pPr>
              <w:rPr>
                <w:rFonts w:ascii="Arial"/>
                <w:sz w:val="21"/>
              </w:rPr>
            </w:pPr>
          </w:p>
        </w:tc>
        <w:tc>
          <w:tcPr>
            <w:tcW w:w="2163" w:type="dxa"/>
            <w:gridSpan w:val="2"/>
            <w:tcBorders>
              <w:bottom w:val="single" w:color="000000" w:sz="10" w:space="0"/>
            </w:tcBorders>
            <w:vAlign w:val="top"/>
          </w:tcPr>
          <w:p w14:paraId="56628CAD">
            <w:pPr>
              <w:pStyle w:val="6"/>
              <w:spacing w:before="58" w:line="215" w:lineRule="auto"/>
              <w:ind w:left="590"/>
              <w:rPr>
                <w:sz w:val="20"/>
                <w:szCs w:val="20"/>
              </w:rPr>
            </w:pPr>
            <w:r>
              <w:rPr>
                <w:spacing w:val="8"/>
                <w:sz w:val="20"/>
                <w:szCs w:val="20"/>
              </w:rPr>
              <w:t>砷（</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gridSpan w:val="3"/>
            <w:tcBorders>
              <w:bottom w:val="single" w:color="000000" w:sz="10" w:space="0"/>
            </w:tcBorders>
            <w:vAlign w:val="top"/>
          </w:tcPr>
          <w:p w14:paraId="3AF8F654">
            <w:pPr>
              <w:spacing w:before="94" w:line="195" w:lineRule="auto"/>
              <w:ind w:left="109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3.96</w:t>
            </w:r>
          </w:p>
        </w:tc>
        <w:tc>
          <w:tcPr>
            <w:tcW w:w="4157" w:type="dxa"/>
            <w:tcBorders>
              <w:bottom w:val="single" w:color="000000" w:sz="10" w:space="0"/>
              <w:right w:val="single" w:color="000000" w:sz="10" w:space="0"/>
            </w:tcBorders>
            <w:vAlign w:val="top"/>
          </w:tcPr>
          <w:p w14:paraId="4F75C332">
            <w:pPr>
              <w:spacing w:before="94" w:line="195" w:lineRule="auto"/>
              <w:ind w:left="1882"/>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r>
    </w:tbl>
    <w:p w14:paraId="2B094C94">
      <w:pPr>
        <w:pStyle w:val="2"/>
        <w:spacing w:line="163" w:lineRule="exact"/>
        <w:rPr>
          <w:sz w:val="14"/>
        </w:rPr>
      </w:pPr>
    </w:p>
    <w:p w14:paraId="699B6297">
      <w:pPr>
        <w:spacing w:line="163" w:lineRule="exact"/>
        <w:rPr>
          <w:sz w:val="14"/>
          <w:szCs w:val="14"/>
        </w:rPr>
        <w:sectPr>
          <w:footerReference r:id="rId60" w:type="default"/>
          <w:pgSz w:w="11906" w:h="16839"/>
          <w:pgMar w:top="1270" w:right="1266" w:bottom="1263" w:left="1265" w:header="0" w:footer="1097" w:gutter="0"/>
          <w:cols w:space="720" w:num="1"/>
        </w:sectPr>
      </w:pPr>
    </w:p>
    <w:tbl>
      <w:tblPr>
        <w:tblStyle w:val="5"/>
        <w:tblW w:w="9348"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1"/>
        <w:gridCol w:w="2163"/>
        <w:gridCol w:w="2557"/>
        <w:gridCol w:w="4157"/>
      </w:tblGrid>
      <w:tr w14:paraId="450EA7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1" w:hRule="atLeast"/>
        </w:trPr>
        <w:tc>
          <w:tcPr>
            <w:tcW w:w="471" w:type="dxa"/>
            <w:vMerge w:val="restart"/>
            <w:tcBorders>
              <w:top w:val="single" w:color="000000" w:sz="10" w:space="0"/>
              <w:left w:val="single" w:color="000000" w:sz="10" w:space="0"/>
              <w:bottom w:val="nil"/>
            </w:tcBorders>
            <w:vAlign w:val="top"/>
          </w:tcPr>
          <w:p w14:paraId="53B38691">
            <w:pPr>
              <w:rPr>
                <w:rFonts w:ascii="Arial"/>
                <w:sz w:val="21"/>
              </w:rPr>
            </w:pPr>
          </w:p>
        </w:tc>
        <w:tc>
          <w:tcPr>
            <w:tcW w:w="2163" w:type="dxa"/>
            <w:tcBorders>
              <w:top w:val="single" w:color="000000" w:sz="10" w:space="0"/>
            </w:tcBorders>
            <w:vAlign w:val="top"/>
          </w:tcPr>
          <w:p w14:paraId="6FEA15FB">
            <w:pPr>
              <w:pStyle w:val="6"/>
              <w:spacing w:before="45" w:line="217" w:lineRule="auto"/>
              <w:ind w:left="591"/>
              <w:rPr>
                <w:sz w:val="20"/>
                <w:szCs w:val="20"/>
              </w:rPr>
            </w:pPr>
            <w:r>
              <w:rPr>
                <w:spacing w:val="8"/>
                <w:sz w:val="20"/>
                <w:szCs w:val="20"/>
              </w:rPr>
              <w:t>铅（</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tcBorders>
              <w:top w:val="single" w:color="000000" w:sz="10" w:space="0"/>
            </w:tcBorders>
            <w:vAlign w:val="top"/>
          </w:tcPr>
          <w:p w14:paraId="3146FC94">
            <w:pPr>
              <w:spacing w:before="81" w:line="195" w:lineRule="auto"/>
              <w:ind w:left="109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21.4</w:t>
            </w:r>
          </w:p>
        </w:tc>
        <w:tc>
          <w:tcPr>
            <w:tcW w:w="4157" w:type="dxa"/>
            <w:tcBorders>
              <w:top w:val="single" w:color="000000" w:sz="10" w:space="0"/>
              <w:right w:val="single" w:color="000000" w:sz="10" w:space="0"/>
            </w:tcBorders>
            <w:vAlign w:val="top"/>
          </w:tcPr>
          <w:p w14:paraId="77A1DC97">
            <w:pPr>
              <w:spacing w:before="81" w:line="195" w:lineRule="auto"/>
              <w:ind w:left="1833"/>
              <w:rPr>
                <w:rFonts w:ascii="Times New Roman" w:hAnsi="Times New Roman" w:eastAsia="Times New Roman" w:cs="Times New Roman"/>
                <w:sz w:val="20"/>
                <w:szCs w:val="20"/>
              </w:rPr>
            </w:pPr>
            <w:r>
              <w:rPr>
                <w:rFonts w:ascii="Times New Roman" w:hAnsi="Times New Roman" w:eastAsia="Times New Roman" w:cs="Times New Roman"/>
                <w:sz w:val="20"/>
                <w:szCs w:val="20"/>
              </w:rPr>
              <w:t>800</w:t>
            </w:r>
          </w:p>
        </w:tc>
      </w:tr>
      <w:tr w14:paraId="557B84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4269BE69">
            <w:pPr>
              <w:rPr>
                <w:rFonts w:ascii="Arial"/>
                <w:sz w:val="21"/>
              </w:rPr>
            </w:pPr>
          </w:p>
        </w:tc>
        <w:tc>
          <w:tcPr>
            <w:tcW w:w="2163" w:type="dxa"/>
            <w:vAlign w:val="top"/>
          </w:tcPr>
          <w:p w14:paraId="7D148082">
            <w:pPr>
              <w:pStyle w:val="6"/>
              <w:spacing w:before="32" w:line="216" w:lineRule="auto"/>
              <w:ind w:right="19"/>
              <w:jc w:val="right"/>
              <w:rPr>
                <w:sz w:val="20"/>
                <w:szCs w:val="20"/>
              </w:rPr>
            </w:pPr>
            <w:r>
              <w:rPr>
                <w:sz w:val="20"/>
                <w:szCs w:val="20"/>
              </w:rPr>
              <w:t>铬（六价</w:t>
            </w:r>
            <w:r>
              <w:rPr>
                <w:spacing w:val="-35"/>
                <w:sz w:val="20"/>
                <w:szCs w:val="20"/>
              </w:rPr>
              <w:t>）（</w:t>
            </w:r>
            <w:r>
              <w:rPr>
                <w:rFonts w:ascii="Times New Roman" w:hAnsi="Times New Roman" w:eastAsia="Times New Roman" w:cs="Times New Roman"/>
                <w:sz w:val="20"/>
                <w:szCs w:val="20"/>
              </w:rPr>
              <w:t>mg/kg</w:t>
            </w:r>
            <w:r>
              <w:rPr>
                <w:sz w:val="20"/>
                <w:szCs w:val="20"/>
              </w:rPr>
              <w:t>）</w:t>
            </w:r>
          </w:p>
        </w:tc>
        <w:tc>
          <w:tcPr>
            <w:tcW w:w="2557" w:type="dxa"/>
            <w:vAlign w:val="top"/>
          </w:tcPr>
          <w:p w14:paraId="14817828">
            <w:pPr>
              <w:spacing w:before="68" w:line="195" w:lineRule="auto"/>
              <w:ind w:left="108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0.5L</w:t>
            </w:r>
          </w:p>
        </w:tc>
        <w:tc>
          <w:tcPr>
            <w:tcW w:w="4157" w:type="dxa"/>
            <w:tcBorders>
              <w:right w:val="single" w:color="000000" w:sz="10" w:space="0"/>
            </w:tcBorders>
            <w:vAlign w:val="top"/>
          </w:tcPr>
          <w:p w14:paraId="24E927AB">
            <w:pPr>
              <w:spacing w:before="71" w:line="192" w:lineRule="auto"/>
              <w:ind w:left="1856"/>
              <w:rPr>
                <w:rFonts w:ascii="Times New Roman" w:hAnsi="Times New Roman" w:eastAsia="Times New Roman" w:cs="Times New Roman"/>
                <w:sz w:val="20"/>
                <w:szCs w:val="20"/>
              </w:rPr>
            </w:pPr>
            <w:r>
              <w:rPr>
                <w:rFonts w:ascii="Times New Roman" w:hAnsi="Times New Roman" w:eastAsia="Times New Roman" w:cs="Times New Roman"/>
                <w:sz w:val="20"/>
                <w:szCs w:val="20"/>
              </w:rPr>
              <w:t>5.7</w:t>
            </w:r>
          </w:p>
        </w:tc>
      </w:tr>
      <w:tr w14:paraId="3887A9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471" w:type="dxa"/>
            <w:vMerge w:val="continue"/>
            <w:tcBorders>
              <w:top w:val="nil"/>
              <w:left w:val="single" w:color="000000" w:sz="10" w:space="0"/>
              <w:bottom w:val="nil"/>
            </w:tcBorders>
            <w:vAlign w:val="top"/>
          </w:tcPr>
          <w:p w14:paraId="6C7510A5">
            <w:pPr>
              <w:rPr>
                <w:rFonts w:ascii="Arial"/>
                <w:sz w:val="21"/>
              </w:rPr>
            </w:pPr>
          </w:p>
        </w:tc>
        <w:tc>
          <w:tcPr>
            <w:tcW w:w="2163" w:type="dxa"/>
            <w:vAlign w:val="top"/>
          </w:tcPr>
          <w:p w14:paraId="4FEE6511">
            <w:pPr>
              <w:pStyle w:val="6"/>
              <w:spacing w:before="31" w:line="216" w:lineRule="auto"/>
              <w:ind w:left="591"/>
              <w:rPr>
                <w:sz w:val="20"/>
                <w:szCs w:val="20"/>
              </w:rPr>
            </w:pPr>
            <w:r>
              <w:rPr>
                <w:spacing w:val="8"/>
                <w:sz w:val="20"/>
                <w:szCs w:val="20"/>
              </w:rPr>
              <w:t>铜（</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12A5194A">
            <w:pPr>
              <w:spacing w:before="67" w:line="195" w:lineRule="auto"/>
              <w:ind w:left="117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23</w:t>
            </w:r>
          </w:p>
        </w:tc>
        <w:tc>
          <w:tcPr>
            <w:tcW w:w="4157" w:type="dxa"/>
            <w:tcBorders>
              <w:right w:val="single" w:color="000000" w:sz="10" w:space="0"/>
            </w:tcBorders>
            <w:vAlign w:val="top"/>
          </w:tcPr>
          <w:p w14:paraId="09F011E7">
            <w:pPr>
              <w:spacing w:before="67" w:line="195" w:lineRule="auto"/>
              <w:ind w:left="1741"/>
              <w:rPr>
                <w:rFonts w:ascii="Times New Roman" w:hAnsi="Times New Roman" w:eastAsia="Times New Roman" w:cs="Times New Roman"/>
                <w:sz w:val="20"/>
                <w:szCs w:val="20"/>
              </w:rPr>
            </w:pPr>
            <w:r>
              <w:rPr>
                <w:rFonts w:ascii="Times New Roman" w:hAnsi="Times New Roman" w:eastAsia="Times New Roman" w:cs="Times New Roman"/>
                <w:sz w:val="20"/>
                <w:szCs w:val="20"/>
              </w:rPr>
              <w:t>18000</w:t>
            </w:r>
          </w:p>
        </w:tc>
      </w:tr>
      <w:tr w14:paraId="43FD44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384352D1">
            <w:pPr>
              <w:rPr>
                <w:rFonts w:ascii="Arial"/>
                <w:sz w:val="21"/>
              </w:rPr>
            </w:pPr>
          </w:p>
        </w:tc>
        <w:tc>
          <w:tcPr>
            <w:tcW w:w="2163" w:type="dxa"/>
            <w:vAlign w:val="top"/>
          </w:tcPr>
          <w:p w14:paraId="51A6362C">
            <w:pPr>
              <w:pStyle w:val="6"/>
              <w:spacing w:before="34" w:line="215" w:lineRule="auto"/>
              <w:ind w:left="590"/>
              <w:rPr>
                <w:sz w:val="20"/>
                <w:szCs w:val="20"/>
              </w:rPr>
            </w:pPr>
            <w:r>
              <w:rPr>
                <w:spacing w:val="8"/>
                <w:sz w:val="20"/>
                <w:szCs w:val="20"/>
              </w:rPr>
              <w:t>镍（</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1241E0FA">
            <w:pPr>
              <w:spacing w:before="69" w:line="195" w:lineRule="auto"/>
              <w:ind w:left="117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27</w:t>
            </w:r>
          </w:p>
        </w:tc>
        <w:tc>
          <w:tcPr>
            <w:tcW w:w="4157" w:type="dxa"/>
            <w:tcBorders>
              <w:right w:val="single" w:color="000000" w:sz="10" w:space="0"/>
            </w:tcBorders>
            <w:vAlign w:val="top"/>
          </w:tcPr>
          <w:p w14:paraId="7CF9B912">
            <w:pPr>
              <w:spacing w:before="69" w:line="195" w:lineRule="auto"/>
              <w:ind w:left="182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900</w:t>
            </w:r>
          </w:p>
        </w:tc>
      </w:tr>
      <w:tr w14:paraId="32BF39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5D84BA69">
            <w:pPr>
              <w:rPr>
                <w:rFonts w:ascii="Arial"/>
                <w:sz w:val="21"/>
              </w:rPr>
            </w:pPr>
          </w:p>
        </w:tc>
        <w:tc>
          <w:tcPr>
            <w:tcW w:w="2163" w:type="dxa"/>
            <w:vAlign w:val="top"/>
          </w:tcPr>
          <w:p w14:paraId="6A671479">
            <w:pPr>
              <w:pStyle w:val="6"/>
              <w:spacing w:before="35" w:line="228" w:lineRule="auto"/>
              <w:ind w:left="340"/>
              <w:rPr>
                <w:sz w:val="20"/>
                <w:szCs w:val="20"/>
              </w:rPr>
            </w:pPr>
            <w:r>
              <w:rPr>
                <w:spacing w:val="5"/>
                <w:sz w:val="20"/>
                <w:szCs w:val="20"/>
              </w:rPr>
              <w:t>石油烃（</w:t>
            </w:r>
            <w:r>
              <w:rPr>
                <w:rFonts w:ascii="Times New Roman" w:hAnsi="Times New Roman" w:eastAsia="Times New Roman" w:cs="Times New Roman"/>
                <w:spacing w:val="5"/>
                <w:sz w:val="20"/>
                <w:szCs w:val="20"/>
              </w:rPr>
              <w:t>C</w:t>
            </w:r>
            <w:r>
              <w:rPr>
                <w:rFonts w:ascii="Times New Roman" w:hAnsi="Times New Roman" w:eastAsia="Times New Roman" w:cs="Times New Roman"/>
                <w:spacing w:val="5"/>
                <w:sz w:val="13"/>
                <w:szCs w:val="13"/>
              </w:rPr>
              <w:t>10</w:t>
            </w:r>
            <w:r>
              <w:rPr>
                <w:rFonts w:ascii="Times New Roman" w:hAnsi="Times New Roman" w:eastAsia="Times New Roman" w:cs="Times New Roman"/>
                <w:spacing w:val="5"/>
                <w:sz w:val="20"/>
                <w:szCs w:val="20"/>
              </w:rPr>
              <w:t>-C</w:t>
            </w:r>
            <w:r>
              <w:rPr>
                <w:rFonts w:ascii="Times New Roman" w:hAnsi="Times New Roman" w:eastAsia="Times New Roman" w:cs="Times New Roman"/>
                <w:spacing w:val="5"/>
                <w:position w:val="-1"/>
                <w:sz w:val="13"/>
                <w:szCs w:val="13"/>
              </w:rPr>
              <w:t>40</w:t>
            </w:r>
            <w:r>
              <w:rPr>
                <w:spacing w:val="5"/>
                <w:sz w:val="20"/>
                <w:szCs w:val="20"/>
              </w:rPr>
              <w:t>）</w:t>
            </w:r>
          </w:p>
          <w:p w14:paraId="26DF076B">
            <w:pPr>
              <w:pStyle w:val="6"/>
              <w:spacing w:before="23" w:line="215"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44D859CE">
            <w:pPr>
              <w:spacing w:before="205" w:line="195" w:lineRule="auto"/>
              <w:ind w:left="1165"/>
              <w:rPr>
                <w:rFonts w:ascii="Times New Roman" w:hAnsi="Times New Roman" w:eastAsia="Times New Roman" w:cs="Times New Roman"/>
                <w:sz w:val="20"/>
                <w:szCs w:val="20"/>
              </w:rPr>
            </w:pPr>
            <w:r>
              <w:rPr>
                <w:rFonts w:ascii="Times New Roman" w:hAnsi="Times New Roman" w:eastAsia="Times New Roman" w:cs="Times New Roman"/>
                <w:sz w:val="20"/>
                <w:szCs w:val="20"/>
              </w:rPr>
              <w:t>6L</w:t>
            </w:r>
          </w:p>
        </w:tc>
        <w:tc>
          <w:tcPr>
            <w:tcW w:w="4157" w:type="dxa"/>
            <w:tcBorders>
              <w:right w:val="single" w:color="000000" w:sz="10" w:space="0"/>
            </w:tcBorders>
            <w:vAlign w:val="top"/>
          </w:tcPr>
          <w:p w14:paraId="195213CB">
            <w:pPr>
              <w:spacing w:before="205" w:line="195" w:lineRule="auto"/>
              <w:ind w:left="177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4500</w:t>
            </w:r>
          </w:p>
        </w:tc>
      </w:tr>
      <w:tr w14:paraId="1DB827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0FABB0BF">
            <w:pPr>
              <w:rPr>
                <w:rFonts w:ascii="Arial"/>
                <w:sz w:val="21"/>
              </w:rPr>
            </w:pPr>
          </w:p>
        </w:tc>
        <w:tc>
          <w:tcPr>
            <w:tcW w:w="2163" w:type="dxa"/>
            <w:vAlign w:val="top"/>
          </w:tcPr>
          <w:p w14:paraId="02E08F4C">
            <w:pPr>
              <w:pStyle w:val="6"/>
              <w:spacing w:before="35" w:line="228" w:lineRule="auto"/>
              <w:ind w:left="386"/>
              <w:rPr>
                <w:sz w:val="20"/>
                <w:szCs w:val="20"/>
              </w:rPr>
            </w:pPr>
            <w:r>
              <w:rPr>
                <w:spacing w:val="5"/>
                <w:sz w:val="20"/>
                <w:szCs w:val="20"/>
              </w:rPr>
              <w:t>石油烃（</w:t>
            </w:r>
            <w:r>
              <w:rPr>
                <w:rFonts w:ascii="Times New Roman" w:hAnsi="Times New Roman" w:eastAsia="Times New Roman" w:cs="Times New Roman"/>
                <w:spacing w:val="5"/>
                <w:sz w:val="20"/>
                <w:szCs w:val="20"/>
              </w:rPr>
              <w:t>C</w:t>
            </w:r>
            <w:r>
              <w:rPr>
                <w:rFonts w:ascii="Times New Roman" w:hAnsi="Times New Roman" w:eastAsia="Times New Roman" w:cs="Times New Roman"/>
                <w:spacing w:val="5"/>
                <w:position w:val="-1"/>
                <w:sz w:val="13"/>
                <w:szCs w:val="13"/>
              </w:rPr>
              <w:t>6</w:t>
            </w:r>
            <w:r>
              <w:rPr>
                <w:rFonts w:ascii="Times New Roman" w:hAnsi="Times New Roman" w:eastAsia="Times New Roman" w:cs="Times New Roman"/>
                <w:spacing w:val="5"/>
                <w:sz w:val="20"/>
                <w:szCs w:val="20"/>
              </w:rPr>
              <w:t>~C</w:t>
            </w:r>
            <w:r>
              <w:rPr>
                <w:rFonts w:ascii="Times New Roman" w:hAnsi="Times New Roman" w:eastAsia="Times New Roman" w:cs="Times New Roman"/>
                <w:spacing w:val="5"/>
                <w:position w:val="-1"/>
                <w:sz w:val="13"/>
                <w:szCs w:val="13"/>
              </w:rPr>
              <w:t>9</w:t>
            </w:r>
            <w:r>
              <w:rPr>
                <w:spacing w:val="5"/>
                <w:sz w:val="20"/>
                <w:szCs w:val="20"/>
              </w:rPr>
              <w:t>）</w:t>
            </w:r>
          </w:p>
          <w:p w14:paraId="13284941">
            <w:pPr>
              <w:pStyle w:val="6"/>
              <w:spacing w:before="24" w:line="214"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2A7AA717">
            <w:pPr>
              <w:spacing w:before="208" w:line="195" w:lineRule="auto"/>
              <w:ind w:left="103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0.04L</w:t>
            </w:r>
          </w:p>
        </w:tc>
        <w:tc>
          <w:tcPr>
            <w:tcW w:w="4157" w:type="dxa"/>
            <w:tcBorders>
              <w:right w:val="single" w:color="000000" w:sz="10" w:space="0"/>
            </w:tcBorders>
            <w:vAlign w:val="top"/>
          </w:tcPr>
          <w:p w14:paraId="75E53D77">
            <w:pPr>
              <w:spacing w:before="204" w:line="199" w:lineRule="auto"/>
              <w:ind w:left="195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r>
      <w:tr w14:paraId="448BD3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1F960432">
            <w:pPr>
              <w:rPr>
                <w:rFonts w:ascii="Arial"/>
                <w:sz w:val="21"/>
              </w:rPr>
            </w:pPr>
          </w:p>
        </w:tc>
        <w:tc>
          <w:tcPr>
            <w:tcW w:w="2163" w:type="dxa"/>
            <w:vAlign w:val="top"/>
          </w:tcPr>
          <w:p w14:paraId="14257666">
            <w:pPr>
              <w:pStyle w:val="6"/>
              <w:spacing w:before="36" w:line="213" w:lineRule="auto"/>
              <w:ind w:left="583"/>
              <w:rPr>
                <w:rFonts w:ascii="Times New Roman" w:hAnsi="Times New Roman" w:eastAsia="Times New Roman" w:cs="Times New Roman"/>
                <w:sz w:val="20"/>
                <w:szCs w:val="20"/>
              </w:rPr>
            </w:pPr>
            <w:r>
              <w:rPr>
                <w:rFonts w:ascii="Times New Roman" w:hAnsi="Times New Roman" w:eastAsia="Times New Roman" w:cs="Times New Roman"/>
                <w:sz w:val="20"/>
                <w:szCs w:val="20"/>
              </w:rPr>
              <w:t>pH</w:t>
            </w:r>
            <w:r>
              <w:rPr>
                <w:spacing w:val="11"/>
                <w:sz w:val="20"/>
                <w:szCs w:val="20"/>
              </w:rPr>
              <w:t>（无量纲</w:t>
            </w:r>
            <w:r>
              <w:rPr>
                <w:rFonts w:ascii="Times New Roman" w:hAnsi="Times New Roman" w:eastAsia="Times New Roman" w:cs="Times New Roman"/>
                <w:spacing w:val="11"/>
                <w:sz w:val="20"/>
                <w:szCs w:val="20"/>
              </w:rPr>
              <w:t>)</w:t>
            </w:r>
          </w:p>
        </w:tc>
        <w:tc>
          <w:tcPr>
            <w:tcW w:w="2557" w:type="dxa"/>
            <w:vAlign w:val="top"/>
          </w:tcPr>
          <w:p w14:paraId="385DB0A5">
            <w:pPr>
              <w:spacing w:before="71" w:line="195" w:lineRule="auto"/>
              <w:ind w:left="115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8.4</w:t>
            </w:r>
          </w:p>
        </w:tc>
        <w:tc>
          <w:tcPr>
            <w:tcW w:w="4157" w:type="dxa"/>
            <w:tcBorders>
              <w:right w:val="single" w:color="000000" w:sz="10" w:space="0"/>
            </w:tcBorders>
            <w:vAlign w:val="top"/>
          </w:tcPr>
          <w:p w14:paraId="3642BD3B">
            <w:pPr>
              <w:spacing w:before="67" w:line="199" w:lineRule="auto"/>
              <w:ind w:left="195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r>
      <w:tr w14:paraId="06F949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471" w:type="dxa"/>
            <w:vMerge w:val="continue"/>
            <w:tcBorders>
              <w:top w:val="nil"/>
              <w:left w:val="single" w:color="000000" w:sz="10" w:space="0"/>
              <w:bottom w:val="nil"/>
            </w:tcBorders>
            <w:vAlign w:val="top"/>
          </w:tcPr>
          <w:p w14:paraId="471C807A">
            <w:pPr>
              <w:rPr>
                <w:rFonts w:ascii="Arial"/>
                <w:sz w:val="21"/>
              </w:rPr>
            </w:pPr>
          </w:p>
        </w:tc>
        <w:tc>
          <w:tcPr>
            <w:tcW w:w="2163" w:type="dxa"/>
            <w:vAlign w:val="top"/>
          </w:tcPr>
          <w:p w14:paraId="3DC04416">
            <w:pPr>
              <w:pStyle w:val="6"/>
              <w:spacing w:before="37" w:line="211" w:lineRule="auto"/>
              <w:ind w:left="592"/>
              <w:rPr>
                <w:sz w:val="20"/>
                <w:szCs w:val="20"/>
              </w:rPr>
            </w:pPr>
            <w:r>
              <w:rPr>
                <w:spacing w:val="8"/>
                <w:sz w:val="20"/>
                <w:szCs w:val="20"/>
              </w:rPr>
              <w:t>汞（</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42042DDA">
            <w:pPr>
              <w:spacing w:before="72" w:line="195" w:lineRule="auto"/>
              <w:ind w:left="104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0.017</w:t>
            </w:r>
          </w:p>
        </w:tc>
        <w:tc>
          <w:tcPr>
            <w:tcW w:w="4157" w:type="dxa"/>
            <w:tcBorders>
              <w:right w:val="single" w:color="000000" w:sz="10" w:space="0"/>
            </w:tcBorders>
            <w:vAlign w:val="top"/>
          </w:tcPr>
          <w:p w14:paraId="6D78471E">
            <w:pPr>
              <w:spacing w:before="72" w:line="195" w:lineRule="auto"/>
              <w:ind w:left="1881"/>
              <w:rPr>
                <w:rFonts w:ascii="Times New Roman" w:hAnsi="Times New Roman" w:eastAsia="Times New Roman" w:cs="Times New Roman"/>
                <w:sz w:val="20"/>
                <w:szCs w:val="20"/>
              </w:rPr>
            </w:pPr>
            <w:r>
              <w:rPr>
                <w:rFonts w:ascii="Times New Roman" w:hAnsi="Times New Roman" w:eastAsia="Times New Roman" w:cs="Times New Roman"/>
                <w:sz w:val="20"/>
                <w:szCs w:val="20"/>
              </w:rPr>
              <w:t>38</w:t>
            </w:r>
          </w:p>
        </w:tc>
      </w:tr>
      <w:tr w14:paraId="79C121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0313D1C8">
            <w:pPr>
              <w:rPr>
                <w:rFonts w:ascii="Arial"/>
                <w:sz w:val="21"/>
              </w:rPr>
            </w:pPr>
          </w:p>
        </w:tc>
        <w:tc>
          <w:tcPr>
            <w:tcW w:w="2163" w:type="dxa"/>
            <w:vAlign w:val="top"/>
          </w:tcPr>
          <w:p w14:paraId="421F0D3A">
            <w:pPr>
              <w:pStyle w:val="6"/>
              <w:spacing w:before="37" w:line="212" w:lineRule="auto"/>
              <w:ind w:left="316"/>
              <w:rPr>
                <w:sz w:val="20"/>
                <w:szCs w:val="20"/>
              </w:rPr>
            </w:pPr>
            <w:r>
              <w:rPr>
                <w:spacing w:val="6"/>
                <w:sz w:val="20"/>
                <w:szCs w:val="20"/>
              </w:rPr>
              <w:t>四氯化碳（</w:t>
            </w:r>
            <w:r>
              <w:rPr>
                <w:rFonts w:ascii="Times New Roman" w:hAnsi="Times New Roman" w:eastAsia="Times New Roman" w:cs="Times New Roman"/>
                <w:sz w:val="20"/>
                <w:szCs w:val="20"/>
              </w:rPr>
              <w:t>mg</w:t>
            </w:r>
            <w:r>
              <w:rPr>
                <w:rFonts w:ascii="Times New Roman" w:hAnsi="Times New Roman" w:eastAsia="Times New Roman" w:cs="Times New Roman"/>
                <w:spacing w:val="6"/>
                <w:sz w:val="20"/>
                <w:szCs w:val="20"/>
              </w:rPr>
              <w:t>/</w:t>
            </w:r>
            <w:r>
              <w:rPr>
                <w:rFonts w:ascii="Times New Roman" w:hAnsi="Times New Roman" w:eastAsia="Times New Roman" w:cs="Times New Roman"/>
                <w:sz w:val="20"/>
                <w:szCs w:val="20"/>
              </w:rPr>
              <w:t>kg</w:t>
            </w:r>
            <w:r>
              <w:rPr>
                <w:spacing w:val="6"/>
                <w:sz w:val="20"/>
                <w:szCs w:val="20"/>
              </w:rPr>
              <w:t>）</w:t>
            </w:r>
          </w:p>
        </w:tc>
        <w:tc>
          <w:tcPr>
            <w:tcW w:w="2557" w:type="dxa"/>
            <w:vAlign w:val="top"/>
          </w:tcPr>
          <w:p w14:paraId="6CAF94D6">
            <w:pPr>
              <w:spacing w:before="52"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1.3×10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30F3CDB5">
            <w:pPr>
              <w:spacing w:before="72" w:line="195" w:lineRule="auto"/>
              <w:ind w:left="185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2.8</w:t>
            </w:r>
          </w:p>
        </w:tc>
      </w:tr>
      <w:tr w14:paraId="433960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471" w:type="dxa"/>
            <w:vMerge w:val="continue"/>
            <w:tcBorders>
              <w:top w:val="nil"/>
              <w:left w:val="single" w:color="000000" w:sz="10" w:space="0"/>
              <w:bottom w:val="nil"/>
            </w:tcBorders>
            <w:vAlign w:val="top"/>
          </w:tcPr>
          <w:p w14:paraId="55F459B3">
            <w:pPr>
              <w:rPr>
                <w:rFonts w:ascii="Arial"/>
                <w:sz w:val="21"/>
              </w:rPr>
            </w:pPr>
          </w:p>
        </w:tc>
        <w:tc>
          <w:tcPr>
            <w:tcW w:w="2163" w:type="dxa"/>
            <w:vAlign w:val="top"/>
          </w:tcPr>
          <w:p w14:paraId="168448DD">
            <w:pPr>
              <w:pStyle w:val="6"/>
              <w:spacing w:before="38" w:line="210" w:lineRule="auto"/>
              <w:ind w:left="491"/>
              <w:rPr>
                <w:sz w:val="20"/>
                <w:szCs w:val="20"/>
              </w:rPr>
            </w:pPr>
            <w:r>
              <w:rPr>
                <w:spacing w:val="8"/>
                <w:sz w:val="20"/>
                <w:szCs w:val="20"/>
              </w:rPr>
              <w:t>氯仿（</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75E0E612">
            <w:pPr>
              <w:spacing w:before="53"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21"/>
                <w:sz w:val="20"/>
                <w:szCs w:val="20"/>
              </w:rPr>
              <w:t xml:space="preserve"> </w:t>
            </w:r>
            <w:r>
              <w:rPr>
                <w:rFonts w:ascii="Times New Roman" w:hAnsi="Times New Roman" w:eastAsia="Times New Roman" w:cs="Times New Roman"/>
                <w:spacing w:val="-2"/>
                <w:sz w:val="20"/>
                <w:szCs w:val="20"/>
              </w:rPr>
              <w:t>1×10</w:t>
            </w:r>
            <w:r>
              <w:rPr>
                <w:rFonts w:ascii="Times New Roman" w:hAnsi="Times New Roman" w:eastAsia="Times New Roman" w:cs="Times New Roman"/>
                <w:spacing w:val="-2"/>
                <w:position w:val="6"/>
                <w:sz w:val="13"/>
                <w:szCs w:val="13"/>
              </w:rPr>
              <w:t>-3</w:t>
            </w:r>
            <w:r>
              <w:rPr>
                <w:rFonts w:ascii="Times New Roman" w:hAnsi="Times New Roman" w:eastAsia="Times New Roman" w:cs="Times New Roman"/>
                <w:spacing w:val="-2"/>
                <w:sz w:val="20"/>
                <w:szCs w:val="20"/>
              </w:rPr>
              <w:t>L</w:t>
            </w:r>
          </w:p>
        </w:tc>
        <w:tc>
          <w:tcPr>
            <w:tcW w:w="4157" w:type="dxa"/>
            <w:tcBorders>
              <w:right w:val="single" w:color="000000" w:sz="10" w:space="0"/>
            </w:tcBorders>
            <w:vAlign w:val="top"/>
          </w:tcPr>
          <w:p w14:paraId="4F9405D8">
            <w:pPr>
              <w:spacing w:before="73" w:line="195" w:lineRule="auto"/>
              <w:ind w:left="185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0.9</w:t>
            </w:r>
          </w:p>
        </w:tc>
      </w:tr>
      <w:tr w14:paraId="1EC4AD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471" w:type="dxa"/>
            <w:vMerge w:val="continue"/>
            <w:tcBorders>
              <w:top w:val="nil"/>
              <w:left w:val="single" w:color="000000" w:sz="10" w:space="0"/>
              <w:bottom w:val="nil"/>
            </w:tcBorders>
            <w:vAlign w:val="top"/>
          </w:tcPr>
          <w:p w14:paraId="6867589C">
            <w:pPr>
              <w:rPr>
                <w:rFonts w:ascii="Arial"/>
                <w:sz w:val="21"/>
              </w:rPr>
            </w:pPr>
          </w:p>
        </w:tc>
        <w:tc>
          <w:tcPr>
            <w:tcW w:w="2163" w:type="dxa"/>
            <w:vAlign w:val="top"/>
          </w:tcPr>
          <w:p w14:paraId="45C9717B">
            <w:pPr>
              <w:pStyle w:val="6"/>
              <w:spacing w:before="40" w:line="208" w:lineRule="auto"/>
              <w:ind w:left="386"/>
              <w:rPr>
                <w:sz w:val="20"/>
                <w:szCs w:val="20"/>
              </w:rPr>
            </w:pPr>
            <w:r>
              <w:rPr>
                <w:spacing w:val="8"/>
                <w:sz w:val="20"/>
                <w:szCs w:val="20"/>
              </w:rPr>
              <w:t>氯甲烷（</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7A33F57E">
            <w:pPr>
              <w:spacing w:before="56"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1.0×10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40E2B2BC">
            <w:pPr>
              <w:spacing w:before="76" w:line="195" w:lineRule="auto"/>
              <w:ind w:left="1881"/>
              <w:rPr>
                <w:rFonts w:ascii="Times New Roman" w:hAnsi="Times New Roman" w:eastAsia="Times New Roman" w:cs="Times New Roman"/>
                <w:sz w:val="20"/>
                <w:szCs w:val="20"/>
              </w:rPr>
            </w:pPr>
            <w:r>
              <w:rPr>
                <w:rFonts w:ascii="Times New Roman" w:hAnsi="Times New Roman" w:eastAsia="Times New Roman" w:cs="Times New Roman"/>
                <w:sz w:val="20"/>
                <w:szCs w:val="20"/>
              </w:rPr>
              <w:t>37</w:t>
            </w:r>
          </w:p>
        </w:tc>
      </w:tr>
      <w:tr w14:paraId="1F3FA2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4A8E8229">
            <w:pPr>
              <w:rPr>
                <w:rFonts w:ascii="Arial"/>
                <w:sz w:val="21"/>
              </w:rPr>
            </w:pPr>
          </w:p>
        </w:tc>
        <w:tc>
          <w:tcPr>
            <w:tcW w:w="2163" w:type="dxa"/>
            <w:vAlign w:val="top"/>
          </w:tcPr>
          <w:p w14:paraId="0BB34571">
            <w:pPr>
              <w:pStyle w:val="6"/>
              <w:spacing w:before="40" w:line="230" w:lineRule="auto"/>
              <w:ind w:left="706" w:right="407" w:hanging="101"/>
              <w:rPr>
                <w:sz w:val="20"/>
                <w:szCs w:val="20"/>
              </w:rPr>
            </w:pPr>
            <w:r>
              <w:rPr>
                <w:rFonts w:ascii="Times New Roman" w:hAnsi="Times New Roman" w:eastAsia="Times New Roman" w:cs="Times New Roman"/>
                <w:sz w:val="20"/>
                <w:szCs w:val="20"/>
              </w:rPr>
              <w:t>1,</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z w:val="20"/>
                <w:szCs w:val="20"/>
              </w:rPr>
              <w:t>1-</w:t>
            </w:r>
            <w:r>
              <w:rPr>
                <w:sz w:val="20"/>
                <w:szCs w:val="20"/>
              </w:rPr>
              <w:t xml:space="preserve">二氯乙烷 </w:t>
            </w: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678C28A6">
            <w:pPr>
              <w:spacing w:before="192"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4FF238F2">
            <w:pPr>
              <w:spacing w:before="212" w:line="195" w:lineRule="auto"/>
              <w:ind w:left="1934"/>
              <w:rPr>
                <w:rFonts w:ascii="Times New Roman" w:hAnsi="Times New Roman" w:eastAsia="Times New Roman" w:cs="Times New Roman"/>
                <w:sz w:val="20"/>
                <w:szCs w:val="20"/>
              </w:rPr>
            </w:pPr>
            <w:r>
              <w:rPr>
                <w:rFonts w:ascii="Times New Roman" w:hAnsi="Times New Roman" w:eastAsia="Times New Roman" w:cs="Times New Roman"/>
                <w:sz w:val="20"/>
                <w:szCs w:val="20"/>
              </w:rPr>
              <w:t>9</w:t>
            </w:r>
          </w:p>
        </w:tc>
      </w:tr>
      <w:tr w14:paraId="4655B87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2B2E0BDC">
            <w:pPr>
              <w:rPr>
                <w:rFonts w:ascii="Arial"/>
                <w:sz w:val="21"/>
              </w:rPr>
            </w:pPr>
          </w:p>
        </w:tc>
        <w:tc>
          <w:tcPr>
            <w:tcW w:w="2163" w:type="dxa"/>
            <w:vAlign w:val="top"/>
          </w:tcPr>
          <w:p w14:paraId="3ECFCC57">
            <w:pPr>
              <w:pStyle w:val="6"/>
              <w:spacing w:before="40" w:line="230" w:lineRule="auto"/>
              <w:ind w:left="706" w:right="407" w:hanging="101"/>
              <w:rPr>
                <w:sz w:val="20"/>
                <w:szCs w:val="20"/>
              </w:rPr>
            </w:pPr>
            <w:r>
              <w:rPr>
                <w:rFonts w:ascii="Times New Roman" w:hAnsi="Times New Roman" w:eastAsia="Times New Roman" w:cs="Times New Roman"/>
                <w:spacing w:val="3"/>
                <w:sz w:val="20"/>
                <w:szCs w:val="20"/>
              </w:rPr>
              <w:t>1,2-</w:t>
            </w:r>
            <w:r>
              <w:rPr>
                <w:spacing w:val="3"/>
                <w:sz w:val="20"/>
                <w:szCs w:val="20"/>
              </w:rPr>
              <w:t>二氯乙烷</w:t>
            </w:r>
            <w:r>
              <w:rPr>
                <w:spacing w:val="2"/>
                <w:sz w:val="20"/>
                <w:szCs w:val="20"/>
              </w:rPr>
              <w:t xml:space="preserve"> </w:t>
            </w: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1ED78263">
            <w:pPr>
              <w:spacing w:before="193"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1.3×10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384C2E69">
            <w:pPr>
              <w:spacing w:before="216" w:line="192" w:lineRule="auto"/>
              <w:ind w:left="1936"/>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r>
      <w:tr w14:paraId="59376E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2C3B1711">
            <w:pPr>
              <w:rPr>
                <w:rFonts w:ascii="Arial"/>
                <w:sz w:val="21"/>
              </w:rPr>
            </w:pPr>
          </w:p>
        </w:tc>
        <w:tc>
          <w:tcPr>
            <w:tcW w:w="2163" w:type="dxa"/>
            <w:vAlign w:val="top"/>
          </w:tcPr>
          <w:p w14:paraId="789B5734">
            <w:pPr>
              <w:pStyle w:val="6"/>
              <w:spacing w:before="40" w:line="230" w:lineRule="auto"/>
              <w:ind w:left="706" w:right="407" w:hanging="101"/>
              <w:rPr>
                <w:sz w:val="20"/>
                <w:szCs w:val="20"/>
              </w:rPr>
            </w:pPr>
            <w:r>
              <w:rPr>
                <w:rFonts w:ascii="Times New Roman" w:hAnsi="Times New Roman" w:eastAsia="Times New Roman" w:cs="Times New Roman"/>
                <w:sz w:val="20"/>
                <w:szCs w:val="20"/>
              </w:rPr>
              <w:t>1,</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z w:val="20"/>
                <w:szCs w:val="20"/>
              </w:rPr>
              <w:t>1-</w:t>
            </w:r>
            <w:r>
              <w:rPr>
                <w:sz w:val="20"/>
                <w:szCs w:val="20"/>
              </w:rPr>
              <w:t xml:space="preserve">二氯乙烯 </w:t>
            </w: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663DBDE9">
            <w:pPr>
              <w:spacing w:before="193"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1.0×10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42D57C19">
            <w:pPr>
              <w:spacing w:before="213" w:line="195" w:lineRule="auto"/>
              <w:ind w:left="1882"/>
              <w:rPr>
                <w:rFonts w:ascii="Times New Roman" w:hAnsi="Times New Roman" w:eastAsia="Times New Roman" w:cs="Times New Roman"/>
                <w:sz w:val="20"/>
                <w:szCs w:val="20"/>
              </w:rPr>
            </w:pPr>
            <w:r>
              <w:rPr>
                <w:rFonts w:ascii="Times New Roman" w:hAnsi="Times New Roman" w:eastAsia="Times New Roman" w:cs="Times New Roman"/>
                <w:sz w:val="20"/>
                <w:szCs w:val="20"/>
              </w:rPr>
              <w:t>66</w:t>
            </w:r>
          </w:p>
        </w:tc>
      </w:tr>
      <w:tr w14:paraId="3B4675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71" w:type="dxa"/>
            <w:vMerge w:val="continue"/>
            <w:tcBorders>
              <w:top w:val="nil"/>
              <w:left w:val="single" w:color="000000" w:sz="10" w:space="0"/>
              <w:bottom w:val="nil"/>
            </w:tcBorders>
            <w:vAlign w:val="top"/>
          </w:tcPr>
          <w:p w14:paraId="2CBF560B">
            <w:pPr>
              <w:rPr>
                <w:rFonts w:ascii="Arial"/>
                <w:sz w:val="21"/>
              </w:rPr>
            </w:pPr>
          </w:p>
        </w:tc>
        <w:tc>
          <w:tcPr>
            <w:tcW w:w="2163" w:type="dxa"/>
            <w:vAlign w:val="top"/>
          </w:tcPr>
          <w:p w14:paraId="67598BB6">
            <w:pPr>
              <w:pStyle w:val="6"/>
              <w:spacing w:before="40" w:line="221" w:lineRule="auto"/>
              <w:ind w:left="450"/>
              <w:rPr>
                <w:sz w:val="20"/>
                <w:szCs w:val="20"/>
              </w:rPr>
            </w:pPr>
            <w:r>
              <w:rPr>
                <w:spacing w:val="5"/>
                <w:sz w:val="20"/>
                <w:szCs w:val="20"/>
              </w:rPr>
              <w:t>顺</w:t>
            </w:r>
            <w:r>
              <w:rPr>
                <w:rFonts w:ascii="Times New Roman" w:hAnsi="Times New Roman" w:eastAsia="Times New Roman" w:cs="Times New Roman"/>
                <w:spacing w:val="5"/>
                <w:sz w:val="20"/>
                <w:szCs w:val="20"/>
              </w:rPr>
              <w:t>-1,2-</w:t>
            </w:r>
            <w:r>
              <w:rPr>
                <w:spacing w:val="5"/>
                <w:sz w:val="20"/>
                <w:szCs w:val="20"/>
              </w:rPr>
              <w:t>二氯乙烯</w:t>
            </w:r>
          </w:p>
          <w:p w14:paraId="623B67FC">
            <w:pPr>
              <w:pStyle w:val="6"/>
              <w:spacing w:before="34" w:line="206"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00379B05">
            <w:pPr>
              <w:spacing w:before="193"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1.3×10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577D5286">
            <w:pPr>
              <w:spacing w:before="213" w:line="195" w:lineRule="auto"/>
              <w:ind w:left="183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596</w:t>
            </w:r>
          </w:p>
        </w:tc>
      </w:tr>
      <w:tr w14:paraId="7E6EC9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0CD7E66E">
            <w:pPr>
              <w:rPr>
                <w:rFonts w:ascii="Arial"/>
                <w:sz w:val="21"/>
              </w:rPr>
            </w:pPr>
          </w:p>
        </w:tc>
        <w:tc>
          <w:tcPr>
            <w:tcW w:w="2163" w:type="dxa"/>
            <w:vAlign w:val="top"/>
          </w:tcPr>
          <w:p w14:paraId="5ACEE885">
            <w:pPr>
              <w:pStyle w:val="6"/>
              <w:spacing w:before="44" w:line="221" w:lineRule="auto"/>
              <w:ind w:left="450"/>
              <w:rPr>
                <w:sz w:val="20"/>
                <w:szCs w:val="20"/>
              </w:rPr>
            </w:pPr>
            <w:r>
              <w:rPr>
                <w:spacing w:val="5"/>
                <w:sz w:val="20"/>
                <w:szCs w:val="20"/>
              </w:rPr>
              <w:t>反</w:t>
            </w:r>
            <w:r>
              <w:rPr>
                <w:rFonts w:ascii="Times New Roman" w:hAnsi="Times New Roman" w:eastAsia="Times New Roman" w:cs="Times New Roman"/>
                <w:spacing w:val="5"/>
                <w:sz w:val="20"/>
                <w:szCs w:val="20"/>
              </w:rPr>
              <w:t>-1,2-</w:t>
            </w:r>
            <w:r>
              <w:rPr>
                <w:spacing w:val="5"/>
                <w:sz w:val="20"/>
                <w:szCs w:val="20"/>
              </w:rPr>
              <w:t>二氯乙烯</w:t>
            </w:r>
          </w:p>
          <w:p w14:paraId="6CC86F70">
            <w:pPr>
              <w:pStyle w:val="6"/>
              <w:spacing w:before="31" w:line="206"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6178BE97">
            <w:pPr>
              <w:spacing w:before="198" w:line="213"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65C6DE6B">
            <w:pPr>
              <w:spacing w:before="215" w:line="195" w:lineRule="auto"/>
              <w:ind w:left="1883"/>
              <w:rPr>
                <w:rFonts w:ascii="Times New Roman" w:hAnsi="Times New Roman" w:eastAsia="Times New Roman" w:cs="Times New Roman"/>
                <w:sz w:val="20"/>
                <w:szCs w:val="20"/>
              </w:rPr>
            </w:pPr>
            <w:r>
              <w:rPr>
                <w:rFonts w:ascii="Times New Roman" w:hAnsi="Times New Roman" w:eastAsia="Times New Roman" w:cs="Times New Roman"/>
                <w:sz w:val="20"/>
                <w:szCs w:val="20"/>
              </w:rPr>
              <w:t>54</w:t>
            </w:r>
          </w:p>
        </w:tc>
      </w:tr>
      <w:tr w14:paraId="71D9FC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55AE9314">
            <w:pPr>
              <w:rPr>
                <w:rFonts w:ascii="Arial"/>
                <w:sz w:val="21"/>
              </w:rPr>
            </w:pPr>
          </w:p>
        </w:tc>
        <w:tc>
          <w:tcPr>
            <w:tcW w:w="2163" w:type="dxa"/>
            <w:vAlign w:val="top"/>
          </w:tcPr>
          <w:p w14:paraId="00A0C067">
            <w:pPr>
              <w:pStyle w:val="6"/>
              <w:spacing w:before="46" w:line="204" w:lineRule="auto"/>
              <w:ind w:left="299"/>
              <w:rPr>
                <w:sz w:val="20"/>
                <w:szCs w:val="20"/>
              </w:rPr>
            </w:pPr>
            <w:r>
              <w:rPr>
                <w:spacing w:val="8"/>
                <w:sz w:val="20"/>
                <w:szCs w:val="20"/>
              </w:rPr>
              <w:t>二氯甲烷（</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2B7A6ECF">
            <w:pPr>
              <w:spacing w:before="60" w:line="215"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1.5×10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24D95CE0">
            <w:pPr>
              <w:spacing w:before="82" w:line="193" w:lineRule="auto"/>
              <w:ind w:left="182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616</w:t>
            </w:r>
          </w:p>
        </w:tc>
      </w:tr>
      <w:tr w14:paraId="64B7D07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3E556BEA">
            <w:pPr>
              <w:rPr>
                <w:rFonts w:ascii="Arial"/>
                <w:sz w:val="21"/>
              </w:rPr>
            </w:pPr>
          </w:p>
        </w:tc>
        <w:tc>
          <w:tcPr>
            <w:tcW w:w="2163" w:type="dxa"/>
            <w:vAlign w:val="top"/>
          </w:tcPr>
          <w:p w14:paraId="3D7A5F86">
            <w:pPr>
              <w:pStyle w:val="6"/>
              <w:spacing w:before="45" w:line="228" w:lineRule="auto"/>
              <w:ind w:left="706" w:right="407" w:hanging="101"/>
              <w:rPr>
                <w:sz w:val="20"/>
                <w:szCs w:val="20"/>
              </w:rPr>
            </w:pPr>
            <w:r>
              <w:rPr>
                <w:rFonts w:ascii="Times New Roman" w:hAnsi="Times New Roman" w:eastAsia="Times New Roman" w:cs="Times New Roman"/>
                <w:spacing w:val="3"/>
                <w:sz w:val="20"/>
                <w:szCs w:val="20"/>
              </w:rPr>
              <w:t>1,2-</w:t>
            </w:r>
            <w:r>
              <w:rPr>
                <w:spacing w:val="3"/>
                <w:sz w:val="20"/>
                <w:szCs w:val="20"/>
              </w:rPr>
              <w:t>二氯丙烷</w:t>
            </w:r>
            <w:r>
              <w:rPr>
                <w:spacing w:val="2"/>
                <w:sz w:val="20"/>
                <w:szCs w:val="20"/>
              </w:rPr>
              <w:t xml:space="preserve"> </w:t>
            </w: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5E7A8CA2">
            <w:pPr>
              <w:spacing w:before="196"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21"/>
                <w:sz w:val="20"/>
                <w:szCs w:val="20"/>
              </w:rPr>
              <w:t xml:space="preserve"> </w:t>
            </w:r>
            <w:r>
              <w:rPr>
                <w:rFonts w:ascii="Times New Roman" w:hAnsi="Times New Roman" w:eastAsia="Times New Roman" w:cs="Times New Roman"/>
                <w:spacing w:val="-2"/>
                <w:sz w:val="20"/>
                <w:szCs w:val="20"/>
              </w:rPr>
              <w:t>1×10</w:t>
            </w:r>
            <w:r>
              <w:rPr>
                <w:rFonts w:ascii="Times New Roman" w:hAnsi="Times New Roman" w:eastAsia="Times New Roman" w:cs="Times New Roman"/>
                <w:spacing w:val="-2"/>
                <w:position w:val="6"/>
                <w:sz w:val="13"/>
                <w:szCs w:val="13"/>
              </w:rPr>
              <w:t>-3</w:t>
            </w:r>
            <w:r>
              <w:rPr>
                <w:rFonts w:ascii="Times New Roman" w:hAnsi="Times New Roman" w:eastAsia="Times New Roman" w:cs="Times New Roman"/>
                <w:spacing w:val="-2"/>
                <w:sz w:val="20"/>
                <w:szCs w:val="20"/>
              </w:rPr>
              <w:t>L</w:t>
            </w:r>
          </w:p>
        </w:tc>
        <w:tc>
          <w:tcPr>
            <w:tcW w:w="4157" w:type="dxa"/>
            <w:tcBorders>
              <w:right w:val="single" w:color="000000" w:sz="10" w:space="0"/>
            </w:tcBorders>
            <w:vAlign w:val="top"/>
          </w:tcPr>
          <w:p w14:paraId="6A05DA2D">
            <w:pPr>
              <w:spacing w:before="219" w:line="192" w:lineRule="auto"/>
              <w:ind w:left="1936"/>
              <w:rPr>
                <w:rFonts w:ascii="Times New Roman" w:hAnsi="Times New Roman" w:eastAsia="Times New Roman" w:cs="Times New Roman"/>
                <w:sz w:val="20"/>
                <w:szCs w:val="20"/>
              </w:rPr>
            </w:pPr>
            <w:r>
              <w:rPr>
                <w:rFonts w:ascii="Times New Roman" w:hAnsi="Times New Roman" w:eastAsia="Times New Roman" w:cs="Times New Roman"/>
                <w:sz w:val="20"/>
                <w:szCs w:val="20"/>
              </w:rPr>
              <w:t>5</w:t>
            </w:r>
          </w:p>
        </w:tc>
      </w:tr>
      <w:tr w14:paraId="48C4F7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78B87568">
            <w:pPr>
              <w:rPr>
                <w:rFonts w:ascii="Arial"/>
                <w:sz w:val="21"/>
              </w:rPr>
            </w:pPr>
          </w:p>
        </w:tc>
        <w:tc>
          <w:tcPr>
            <w:tcW w:w="2163" w:type="dxa"/>
            <w:vAlign w:val="top"/>
          </w:tcPr>
          <w:p w14:paraId="0C05AAFD">
            <w:pPr>
              <w:pStyle w:val="6"/>
              <w:spacing w:before="44" w:line="221" w:lineRule="auto"/>
              <w:ind w:left="449"/>
              <w:rPr>
                <w:sz w:val="20"/>
                <w:szCs w:val="20"/>
              </w:rPr>
            </w:pPr>
            <w:r>
              <w:rPr>
                <w:rFonts w:ascii="Times New Roman" w:hAnsi="Times New Roman" w:eastAsia="Times New Roman" w:cs="Times New Roman"/>
                <w:spacing w:val="-1"/>
                <w:sz w:val="20"/>
                <w:szCs w:val="20"/>
              </w:rPr>
              <w:t>1,</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1"/>
                <w:sz w:val="20"/>
                <w:szCs w:val="20"/>
              </w:rPr>
              <w:t>1,</w:t>
            </w:r>
            <w:r>
              <w:rPr>
                <w:rFonts w:ascii="Times New Roman" w:hAnsi="Times New Roman" w:eastAsia="Times New Roman" w:cs="Times New Roman"/>
                <w:spacing w:val="-27"/>
                <w:sz w:val="20"/>
                <w:szCs w:val="20"/>
              </w:rPr>
              <w:t xml:space="preserve"> </w:t>
            </w:r>
            <w:r>
              <w:rPr>
                <w:rFonts w:ascii="Times New Roman" w:hAnsi="Times New Roman" w:eastAsia="Times New Roman" w:cs="Times New Roman"/>
                <w:spacing w:val="-1"/>
                <w:sz w:val="20"/>
                <w:szCs w:val="20"/>
              </w:rPr>
              <w:t>1,2-</w:t>
            </w:r>
            <w:r>
              <w:rPr>
                <w:spacing w:val="-1"/>
                <w:sz w:val="20"/>
                <w:szCs w:val="20"/>
              </w:rPr>
              <w:t>四氯乙烷</w:t>
            </w:r>
          </w:p>
          <w:p w14:paraId="29D6C13F">
            <w:pPr>
              <w:pStyle w:val="6"/>
              <w:spacing w:before="34" w:line="204"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793B7D96">
            <w:pPr>
              <w:spacing w:before="197"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5C457E69">
            <w:pPr>
              <w:spacing w:before="217" w:line="195" w:lineRule="auto"/>
              <w:ind w:left="1897"/>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r>
      <w:tr w14:paraId="108A5F9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71" w:type="dxa"/>
            <w:vMerge w:val="continue"/>
            <w:tcBorders>
              <w:top w:val="nil"/>
              <w:left w:val="single" w:color="000000" w:sz="10" w:space="0"/>
              <w:bottom w:val="nil"/>
            </w:tcBorders>
            <w:vAlign w:val="top"/>
          </w:tcPr>
          <w:p w14:paraId="7C677418">
            <w:pPr>
              <w:rPr>
                <w:rFonts w:ascii="Arial"/>
                <w:sz w:val="21"/>
              </w:rPr>
            </w:pPr>
          </w:p>
        </w:tc>
        <w:tc>
          <w:tcPr>
            <w:tcW w:w="2163" w:type="dxa"/>
            <w:vAlign w:val="top"/>
          </w:tcPr>
          <w:p w14:paraId="31CB7AB8">
            <w:pPr>
              <w:pStyle w:val="6"/>
              <w:spacing w:before="47" w:line="221" w:lineRule="auto"/>
              <w:ind w:left="449"/>
              <w:rPr>
                <w:sz w:val="20"/>
                <w:szCs w:val="20"/>
              </w:rPr>
            </w:pPr>
            <w:r>
              <w:rPr>
                <w:rFonts w:ascii="Times New Roman" w:hAnsi="Times New Roman" w:eastAsia="Times New Roman" w:cs="Times New Roman"/>
                <w:spacing w:val="1"/>
                <w:sz w:val="20"/>
                <w:szCs w:val="20"/>
              </w:rPr>
              <w:t>1,</w:t>
            </w:r>
            <w:r>
              <w:rPr>
                <w:rFonts w:ascii="Times New Roman" w:hAnsi="Times New Roman" w:eastAsia="Times New Roman" w:cs="Times New Roman"/>
                <w:spacing w:val="-21"/>
                <w:sz w:val="20"/>
                <w:szCs w:val="20"/>
              </w:rPr>
              <w:t xml:space="preserve"> </w:t>
            </w:r>
            <w:r>
              <w:rPr>
                <w:rFonts w:ascii="Times New Roman" w:hAnsi="Times New Roman" w:eastAsia="Times New Roman" w:cs="Times New Roman"/>
                <w:spacing w:val="1"/>
                <w:sz w:val="20"/>
                <w:szCs w:val="20"/>
              </w:rPr>
              <w:t>1,2,2-</w:t>
            </w:r>
            <w:r>
              <w:rPr>
                <w:spacing w:val="1"/>
                <w:sz w:val="20"/>
                <w:szCs w:val="20"/>
              </w:rPr>
              <w:t>四氯乙烷</w:t>
            </w:r>
          </w:p>
          <w:p w14:paraId="73749E38">
            <w:pPr>
              <w:pStyle w:val="6"/>
              <w:spacing w:before="32" w:line="202"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7F0E6E41">
            <w:pPr>
              <w:spacing w:before="197"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0BA2D551">
            <w:pPr>
              <w:spacing w:before="217" w:line="195" w:lineRule="auto"/>
              <w:ind w:left="1855"/>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6.8</w:t>
            </w:r>
          </w:p>
        </w:tc>
      </w:tr>
      <w:tr w14:paraId="6582A3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767128B5">
            <w:pPr>
              <w:rPr>
                <w:rFonts w:ascii="Arial"/>
                <w:sz w:val="21"/>
              </w:rPr>
            </w:pPr>
          </w:p>
        </w:tc>
        <w:tc>
          <w:tcPr>
            <w:tcW w:w="2163" w:type="dxa"/>
            <w:vAlign w:val="top"/>
          </w:tcPr>
          <w:p w14:paraId="129F01C3">
            <w:pPr>
              <w:pStyle w:val="6"/>
              <w:spacing w:before="49" w:line="201" w:lineRule="auto"/>
              <w:ind w:left="316"/>
              <w:rPr>
                <w:sz w:val="20"/>
                <w:szCs w:val="20"/>
              </w:rPr>
            </w:pPr>
            <w:r>
              <w:rPr>
                <w:spacing w:val="6"/>
                <w:sz w:val="20"/>
                <w:szCs w:val="20"/>
              </w:rPr>
              <w:t>四氯乙烯（</w:t>
            </w:r>
            <w:r>
              <w:rPr>
                <w:rFonts w:ascii="Times New Roman" w:hAnsi="Times New Roman" w:eastAsia="Times New Roman" w:cs="Times New Roman"/>
                <w:sz w:val="20"/>
                <w:szCs w:val="20"/>
              </w:rPr>
              <w:t>mg</w:t>
            </w:r>
            <w:r>
              <w:rPr>
                <w:rFonts w:ascii="Times New Roman" w:hAnsi="Times New Roman" w:eastAsia="Times New Roman" w:cs="Times New Roman"/>
                <w:spacing w:val="6"/>
                <w:sz w:val="20"/>
                <w:szCs w:val="20"/>
              </w:rPr>
              <w:t>/</w:t>
            </w:r>
            <w:r>
              <w:rPr>
                <w:rFonts w:ascii="Times New Roman" w:hAnsi="Times New Roman" w:eastAsia="Times New Roman" w:cs="Times New Roman"/>
                <w:sz w:val="20"/>
                <w:szCs w:val="20"/>
              </w:rPr>
              <w:t>kg</w:t>
            </w:r>
            <w:r>
              <w:rPr>
                <w:spacing w:val="6"/>
                <w:sz w:val="20"/>
                <w:szCs w:val="20"/>
              </w:rPr>
              <w:t>）</w:t>
            </w:r>
          </w:p>
        </w:tc>
        <w:tc>
          <w:tcPr>
            <w:tcW w:w="2557" w:type="dxa"/>
            <w:vAlign w:val="top"/>
          </w:tcPr>
          <w:p w14:paraId="74AE814A">
            <w:pPr>
              <w:spacing w:before="64" w:line="211"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1.4×10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4090F682">
            <w:pPr>
              <w:spacing w:before="84" w:line="190" w:lineRule="auto"/>
              <w:ind w:left="1883"/>
              <w:rPr>
                <w:rFonts w:ascii="Times New Roman" w:hAnsi="Times New Roman" w:eastAsia="Times New Roman" w:cs="Times New Roman"/>
                <w:sz w:val="20"/>
                <w:szCs w:val="20"/>
              </w:rPr>
            </w:pPr>
            <w:r>
              <w:rPr>
                <w:rFonts w:ascii="Times New Roman" w:hAnsi="Times New Roman" w:eastAsia="Times New Roman" w:cs="Times New Roman"/>
                <w:sz w:val="20"/>
                <w:szCs w:val="20"/>
              </w:rPr>
              <w:t>53</w:t>
            </w:r>
          </w:p>
        </w:tc>
      </w:tr>
      <w:tr w14:paraId="420F42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471" w:type="dxa"/>
            <w:vMerge w:val="continue"/>
            <w:tcBorders>
              <w:top w:val="nil"/>
              <w:left w:val="single" w:color="000000" w:sz="10" w:space="0"/>
              <w:bottom w:val="nil"/>
            </w:tcBorders>
            <w:vAlign w:val="top"/>
          </w:tcPr>
          <w:p w14:paraId="75555438">
            <w:pPr>
              <w:rPr>
                <w:rFonts w:ascii="Arial"/>
                <w:sz w:val="21"/>
              </w:rPr>
            </w:pPr>
          </w:p>
        </w:tc>
        <w:tc>
          <w:tcPr>
            <w:tcW w:w="2163" w:type="dxa"/>
            <w:vAlign w:val="top"/>
          </w:tcPr>
          <w:p w14:paraId="2DD7781D">
            <w:pPr>
              <w:pStyle w:val="6"/>
              <w:spacing w:before="47" w:line="221" w:lineRule="auto"/>
              <w:ind w:left="526"/>
              <w:rPr>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20"/>
                <w:sz w:val="20"/>
                <w:szCs w:val="20"/>
              </w:rPr>
              <w:t xml:space="preserve"> </w:t>
            </w:r>
            <w:r>
              <w:rPr>
                <w:rFonts w:ascii="Times New Roman" w:hAnsi="Times New Roman" w:eastAsia="Times New Roman" w:cs="Times New Roman"/>
                <w:spacing w:val="-2"/>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2"/>
                <w:sz w:val="20"/>
                <w:szCs w:val="20"/>
              </w:rPr>
              <w:t>1-</w:t>
            </w:r>
            <w:r>
              <w:rPr>
                <w:spacing w:val="-2"/>
                <w:sz w:val="20"/>
                <w:szCs w:val="20"/>
              </w:rPr>
              <w:t>三氯乙烷</w:t>
            </w:r>
          </w:p>
          <w:p w14:paraId="4D1DD26C">
            <w:pPr>
              <w:pStyle w:val="6"/>
              <w:spacing w:before="34" w:line="200"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2CE0616A">
            <w:pPr>
              <w:spacing w:before="200"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1.3×10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004612FD">
            <w:pPr>
              <w:spacing w:before="220" w:line="195" w:lineRule="auto"/>
              <w:ind w:left="1833"/>
              <w:rPr>
                <w:rFonts w:ascii="Times New Roman" w:hAnsi="Times New Roman" w:eastAsia="Times New Roman" w:cs="Times New Roman"/>
                <w:sz w:val="20"/>
                <w:szCs w:val="20"/>
              </w:rPr>
            </w:pPr>
            <w:r>
              <w:rPr>
                <w:rFonts w:ascii="Times New Roman" w:hAnsi="Times New Roman" w:eastAsia="Times New Roman" w:cs="Times New Roman"/>
                <w:sz w:val="20"/>
                <w:szCs w:val="20"/>
              </w:rPr>
              <w:t>840</w:t>
            </w:r>
          </w:p>
        </w:tc>
      </w:tr>
      <w:tr w14:paraId="6DC299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7F1AE48F">
            <w:pPr>
              <w:rPr>
                <w:rFonts w:ascii="Arial"/>
                <w:sz w:val="21"/>
              </w:rPr>
            </w:pPr>
          </w:p>
        </w:tc>
        <w:tc>
          <w:tcPr>
            <w:tcW w:w="2163" w:type="dxa"/>
            <w:vAlign w:val="top"/>
          </w:tcPr>
          <w:p w14:paraId="19DCDE04">
            <w:pPr>
              <w:pStyle w:val="6"/>
              <w:spacing w:before="51" w:line="221" w:lineRule="auto"/>
              <w:ind w:left="526"/>
              <w:rPr>
                <w:sz w:val="20"/>
                <w:szCs w:val="20"/>
              </w:rPr>
            </w:pPr>
            <w:r>
              <w:rPr>
                <w:rFonts w:ascii="Times New Roman" w:hAnsi="Times New Roman" w:eastAsia="Times New Roman" w:cs="Times New Roman"/>
                <w:spacing w:val="1"/>
                <w:sz w:val="20"/>
                <w:szCs w:val="20"/>
              </w:rPr>
              <w:t>1,</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1,2-</w:t>
            </w:r>
            <w:r>
              <w:rPr>
                <w:spacing w:val="1"/>
                <w:sz w:val="20"/>
                <w:szCs w:val="20"/>
              </w:rPr>
              <w:t>三氯乙烷</w:t>
            </w:r>
          </w:p>
          <w:p w14:paraId="308697E0">
            <w:pPr>
              <w:pStyle w:val="6"/>
              <w:spacing w:before="31" w:line="200"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1158401D">
            <w:pPr>
              <w:spacing w:before="201"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2CCECD25">
            <w:pPr>
              <w:spacing w:before="221" w:line="195" w:lineRule="auto"/>
              <w:ind w:left="185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2.8</w:t>
            </w:r>
          </w:p>
        </w:tc>
      </w:tr>
      <w:tr w14:paraId="485196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4FA230C1">
            <w:pPr>
              <w:rPr>
                <w:rFonts w:ascii="Arial"/>
                <w:sz w:val="21"/>
              </w:rPr>
            </w:pPr>
          </w:p>
        </w:tc>
        <w:tc>
          <w:tcPr>
            <w:tcW w:w="2163" w:type="dxa"/>
            <w:vAlign w:val="top"/>
          </w:tcPr>
          <w:p w14:paraId="3DB1CF1D">
            <w:pPr>
              <w:pStyle w:val="6"/>
              <w:spacing w:before="51" w:line="199" w:lineRule="auto"/>
              <w:ind w:left="296"/>
              <w:rPr>
                <w:sz w:val="20"/>
                <w:szCs w:val="20"/>
              </w:rPr>
            </w:pPr>
            <w:r>
              <w:rPr>
                <w:spacing w:val="9"/>
                <w:sz w:val="20"/>
                <w:szCs w:val="20"/>
              </w:rPr>
              <w:t>三氯乙烯（</w:t>
            </w:r>
            <w:r>
              <w:rPr>
                <w:rFonts w:ascii="Times New Roman" w:hAnsi="Times New Roman" w:eastAsia="Times New Roman" w:cs="Times New Roman"/>
                <w:sz w:val="20"/>
                <w:szCs w:val="20"/>
              </w:rPr>
              <w:t>mg</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kg</w:t>
            </w:r>
            <w:r>
              <w:rPr>
                <w:spacing w:val="9"/>
                <w:sz w:val="20"/>
                <w:szCs w:val="20"/>
              </w:rPr>
              <w:t>）</w:t>
            </w:r>
          </w:p>
        </w:tc>
        <w:tc>
          <w:tcPr>
            <w:tcW w:w="2557" w:type="dxa"/>
            <w:vAlign w:val="top"/>
          </w:tcPr>
          <w:p w14:paraId="43050837">
            <w:pPr>
              <w:spacing w:before="67" w:line="208"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4C6D7845">
            <w:pPr>
              <w:spacing w:before="87" w:line="187" w:lineRule="auto"/>
              <w:ind w:left="185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2.8</w:t>
            </w:r>
          </w:p>
        </w:tc>
      </w:tr>
      <w:tr w14:paraId="084A646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480F172D">
            <w:pPr>
              <w:rPr>
                <w:rFonts w:ascii="Arial"/>
                <w:sz w:val="21"/>
              </w:rPr>
            </w:pPr>
          </w:p>
        </w:tc>
        <w:tc>
          <w:tcPr>
            <w:tcW w:w="2163" w:type="dxa"/>
            <w:vAlign w:val="top"/>
          </w:tcPr>
          <w:p w14:paraId="618B7107">
            <w:pPr>
              <w:pStyle w:val="6"/>
              <w:spacing w:before="50" w:line="221" w:lineRule="auto"/>
              <w:ind w:left="526"/>
              <w:rPr>
                <w:sz w:val="20"/>
                <w:szCs w:val="20"/>
              </w:rPr>
            </w:pPr>
            <w:r>
              <w:rPr>
                <w:rFonts w:ascii="Times New Roman" w:hAnsi="Times New Roman" w:eastAsia="Times New Roman" w:cs="Times New Roman"/>
                <w:spacing w:val="3"/>
                <w:sz w:val="20"/>
                <w:szCs w:val="20"/>
              </w:rPr>
              <w:t>1,2,3-</w:t>
            </w:r>
            <w:r>
              <w:rPr>
                <w:spacing w:val="3"/>
                <w:sz w:val="20"/>
                <w:szCs w:val="20"/>
              </w:rPr>
              <w:t>三氯丙烷</w:t>
            </w:r>
          </w:p>
          <w:p w14:paraId="7D94AE1C">
            <w:pPr>
              <w:pStyle w:val="6"/>
              <w:spacing w:before="34" w:line="198" w:lineRule="auto"/>
              <w:ind w:left="70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0F17D71E">
            <w:pPr>
              <w:spacing w:before="203"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4472D4DD">
            <w:pPr>
              <w:spacing w:before="223" w:line="195" w:lineRule="auto"/>
              <w:ind w:left="1854"/>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0.5</w:t>
            </w:r>
          </w:p>
        </w:tc>
      </w:tr>
      <w:tr w14:paraId="47A8736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6B474CD8">
            <w:pPr>
              <w:rPr>
                <w:rFonts w:ascii="Arial"/>
                <w:sz w:val="21"/>
              </w:rPr>
            </w:pPr>
          </w:p>
        </w:tc>
        <w:tc>
          <w:tcPr>
            <w:tcW w:w="2163" w:type="dxa"/>
            <w:vAlign w:val="top"/>
          </w:tcPr>
          <w:p w14:paraId="2B1DD2B5">
            <w:pPr>
              <w:pStyle w:val="6"/>
              <w:spacing w:before="53" w:line="197" w:lineRule="auto"/>
              <w:ind w:left="386"/>
              <w:rPr>
                <w:sz w:val="20"/>
                <w:szCs w:val="20"/>
              </w:rPr>
            </w:pPr>
            <w:r>
              <w:rPr>
                <w:spacing w:val="8"/>
                <w:sz w:val="20"/>
                <w:szCs w:val="20"/>
              </w:rPr>
              <w:t>氯乙烯（</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3A761658">
            <w:pPr>
              <w:spacing w:before="69" w:line="20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1.0×10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5CA9B40B">
            <w:pPr>
              <w:spacing w:before="89" w:line="185" w:lineRule="auto"/>
              <w:ind w:left="1801"/>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0.43</w:t>
            </w:r>
          </w:p>
        </w:tc>
      </w:tr>
      <w:tr w14:paraId="3F1151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4C1706C0">
            <w:pPr>
              <w:rPr>
                <w:rFonts w:ascii="Arial"/>
                <w:sz w:val="21"/>
              </w:rPr>
            </w:pPr>
          </w:p>
        </w:tc>
        <w:tc>
          <w:tcPr>
            <w:tcW w:w="2163" w:type="dxa"/>
            <w:vAlign w:val="top"/>
          </w:tcPr>
          <w:p w14:paraId="05AB33F3">
            <w:pPr>
              <w:pStyle w:val="6"/>
              <w:spacing w:before="52" w:line="198" w:lineRule="auto"/>
              <w:ind w:left="594"/>
              <w:rPr>
                <w:sz w:val="20"/>
                <w:szCs w:val="20"/>
              </w:rPr>
            </w:pPr>
            <w:r>
              <w:rPr>
                <w:spacing w:val="8"/>
                <w:sz w:val="20"/>
                <w:szCs w:val="20"/>
              </w:rPr>
              <w:t>苯（</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664B8669">
            <w:pPr>
              <w:spacing w:before="68" w:line="207"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1.9×10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1640654B">
            <w:pPr>
              <w:spacing w:before="88" w:line="186" w:lineRule="auto"/>
              <w:ind w:left="1929"/>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r>
      <w:tr w14:paraId="45139B0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471" w:type="dxa"/>
            <w:vMerge w:val="continue"/>
            <w:tcBorders>
              <w:top w:val="nil"/>
              <w:left w:val="single" w:color="000000" w:sz="10" w:space="0"/>
              <w:bottom w:val="nil"/>
            </w:tcBorders>
            <w:vAlign w:val="top"/>
          </w:tcPr>
          <w:p w14:paraId="0B5E1DEC">
            <w:pPr>
              <w:rPr>
                <w:rFonts w:ascii="Arial"/>
                <w:sz w:val="21"/>
              </w:rPr>
            </w:pPr>
          </w:p>
        </w:tc>
        <w:tc>
          <w:tcPr>
            <w:tcW w:w="2163" w:type="dxa"/>
            <w:vAlign w:val="top"/>
          </w:tcPr>
          <w:p w14:paraId="53B3A86A">
            <w:pPr>
              <w:pStyle w:val="6"/>
              <w:spacing w:before="53" w:line="196" w:lineRule="auto"/>
              <w:ind w:left="491"/>
              <w:rPr>
                <w:sz w:val="20"/>
                <w:szCs w:val="20"/>
              </w:rPr>
            </w:pPr>
            <w:r>
              <w:rPr>
                <w:spacing w:val="8"/>
                <w:sz w:val="20"/>
                <w:szCs w:val="20"/>
              </w:rPr>
              <w:t>氯苯（</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36635AFB">
            <w:pPr>
              <w:spacing w:before="69" w:line="205"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348F40AC">
            <w:pPr>
              <w:spacing w:before="89" w:line="184" w:lineRule="auto"/>
              <w:ind w:left="1824"/>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270</w:t>
            </w:r>
          </w:p>
        </w:tc>
      </w:tr>
      <w:tr w14:paraId="0F4EF1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21700AC4">
            <w:pPr>
              <w:rPr>
                <w:rFonts w:ascii="Arial"/>
                <w:sz w:val="21"/>
              </w:rPr>
            </w:pPr>
          </w:p>
        </w:tc>
        <w:tc>
          <w:tcPr>
            <w:tcW w:w="2163" w:type="dxa"/>
            <w:vAlign w:val="top"/>
          </w:tcPr>
          <w:p w14:paraId="2855676B">
            <w:pPr>
              <w:pStyle w:val="6"/>
              <w:spacing w:before="53" w:line="197" w:lineRule="auto"/>
              <w:ind w:right="19"/>
              <w:jc w:val="right"/>
              <w:rPr>
                <w:sz w:val="20"/>
                <w:szCs w:val="20"/>
              </w:rPr>
            </w:pPr>
            <w:r>
              <w:rPr>
                <w:rFonts w:ascii="Times New Roman" w:hAnsi="Times New Roman" w:eastAsia="Times New Roman" w:cs="Times New Roman"/>
                <w:spacing w:val="-1"/>
                <w:sz w:val="20"/>
                <w:szCs w:val="20"/>
              </w:rPr>
              <w:t>1,2-</w:t>
            </w:r>
            <w:r>
              <w:rPr>
                <w:spacing w:val="-1"/>
                <w:sz w:val="20"/>
                <w:szCs w:val="20"/>
              </w:rPr>
              <w:t>二氯苯（</w:t>
            </w:r>
            <w:r>
              <w:rPr>
                <w:rFonts w:ascii="Times New Roman" w:hAnsi="Times New Roman" w:eastAsia="Times New Roman" w:cs="Times New Roman"/>
                <w:spacing w:val="-1"/>
                <w:sz w:val="20"/>
                <w:szCs w:val="20"/>
              </w:rPr>
              <w:t>mg/kg</w:t>
            </w:r>
            <w:r>
              <w:rPr>
                <w:spacing w:val="-1"/>
                <w:sz w:val="20"/>
                <w:szCs w:val="20"/>
              </w:rPr>
              <w:t>）</w:t>
            </w:r>
          </w:p>
        </w:tc>
        <w:tc>
          <w:tcPr>
            <w:tcW w:w="2557" w:type="dxa"/>
            <w:vAlign w:val="top"/>
          </w:tcPr>
          <w:p w14:paraId="57BCCC37">
            <w:pPr>
              <w:spacing w:before="71" w:line="204"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1.5×10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545E3C97">
            <w:pPr>
              <w:spacing w:before="89" w:line="185" w:lineRule="auto"/>
              <w:ind w:left="183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560</w:t>
            </w:r>
          </w:p>
        </w:tc>
      </w:tr>
      <w:tr w14:paraId="06F062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471" w:type="dxa"/>
            <w:vMerge w:val="continue"/>
            <w:tcBorders>
              <w:top w:val="nil"/>
              <w:left w:val="single" w:color="000000" w:sz="10" w:space="0"/>
              <w:bottom w:val="nil"/>
            </w:tcBorders>
            <w:vAlign w:val="top"/>
          </w:tcPr>
          <w:p w14:paraId="56A33A9D">
            <w:pPr>
              <w:rPr>
                <w:rFonts w:ascii="Arial"/>
                <w:sz w:val="21"/>
              </w:rPr>
            </w:pPr>
          </w:p>
        </w:tc>
        <w:tc>
          <w:tcPr>
            <w:tcW w:w="2163" w:type="dxa"/>
            <w:vAlign w:val="top"/>
          </w:tcPr>
          <w:p w14:paraId="53902CF8">
            <w:pPr>
              <w:pStyle w:val="6"/>
              <w:spacing w:before="54" w:line="197" w:lineRule="auto"/>
              <w:ind w:right="19"/>
              <w:jc w:val="right"/>
              <w:rPr>
                <w:sz w:val="20"/>
                <w:szCs w:val="20"/>
              </w:rPr>
            </w:pPr>
            <w:r>
              <w:rPr>
                <w:rFonts w:ascii="Times New Roman" w:hAnsi="Times New Roman" w:eastAsia="Times New Roman" w:cs="Times New Roman"/>
                <w:spacing w:val="-1"/>
                <w:sz w:val="20"/>
                <w:szCs w:val="20"/>
              </w:rPr>
              <w:t>1,4-</w:t>
            </w:r>
            <w:r>
              <w:rPr>
                <w:spacing w:val="-1"/>
                <w:sz w:val="20"/>
                <w:szCs w:val="20"/>
              </w:rPr>
              <w:t>二氯苯（</w:t>
            </w:r>
            <w:r>
              <w:rPr>
                <w:rFonts w:ascii="Times New Roman" w:hAnsi="Times New Roman" w:eastAsia="Times New Roman" w:cs="Times New Roman"/>
                <w:spacing w:val="-1"/>
                <w:sz w:val="20"/>
                <w:szCs w:val="20"/>
              </w:rPr>
              <w:t>mg/kg</w:t>
            </w:r>
            <w:r>
              <w:rPr>
                <w:spacing w:val="-1"/>
                <w:sz w:val="20"/>
                <w:szCs w:val="20"/>
              </w:rPr>
              <w:t>）</w:t>
            </w:r>
          </w:p>
        </w:tc>
        <w:tc>
          <w:tcPr>
            <w:tcW w:w="2557" w:type="dxa"/>
            <w:vAlign w:val="top"/>
          </w:tcPr>
          <w:p w14:paraId="11977DA0">
            <w:pPr>
              <w:spacing w:before="70" w:line="20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1.5×10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22777195">
            <w:pPr>
              <w:spacing w:before="90" w:line="185" w:lineRule="auto"/>
              <w:ind w:left="187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20</w:t>
            </w:r>
          </w:p>
        </w:tc>
      </w:tr>
      <w:tr w14:paraId="0AF40F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48EEC7A8">
            <w:pPr>
              <w:rPr>
                <w:rFonts w:ascii="Arial"/>
                <w:sz w:val="21"/>
              </w:rPr>
            </w:pPr>
          </w:p>
        </w:tc>
        <w:tc>
          <w:tcPr>
            <w:tcW w:w="2163" w:type="dxa"/>
            <w:vAlign w:val="top"/>
          </w:tcPr>
          <w:p w14:paraId="0BF52167">
            <w:pPr>
              <w:pStyle w:val="6"/>
              <w:spacing w:before="52" w:line="198" w:lineRule="auto"/>
              <w:ind w:left="509"/>
              <w:rPr>
                <w:sz w:val="20"/>
                <w:szCs w:val="20"/>
              </w:rPr>
            </w:pPr>
            <w:r>
              <w:rPr>
                <w:spacing w:val="4"/>
                <w:sz w:val="20"/>
                <w:szCs w:val="20"/>
              </w:rPr>
              <w:t>乙苯（</w:t>
            </w:r>
            <w:r>
              <w:rPr>
                <w:rFonts w:ascii="Times New Roman" w:hAnsi="Times New Roman" w:eastAsia="Times New Roman" w:cs="Times New Roman"/>
                <w:sz w:val="20"/>
                <w:szCs w:val="20"/>
              </w:rPr>
              <w:t>mg</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kg</w:t>
            </w:r>
            <w:r>
              <w:rPr>
                <w:spacing w:val="4"/>
                <w:sz w:val="20"/>
                <w:szCs w:val="20"/>
              </w:rPr>
              <w:t>）</w:t>
            </w:r>
          </w:p>
        </w:tc>
        <w:tc>
          <w:tcPr>
            <w:tcW w:w="2557" w:type="dxa"/>
            <w:vAlign w:val="top"/>
          </w:tcPr>
          <w:p w14:paraId="67F04AED">
            <w:pPr>
              <w:spacing w:before="70" w:line="205"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22DCD2F7">
            <w:pPr>
              <w:spacing w:before="88" w:line="186" w:lineRule="auto"/>
              <w:ind w:left="187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28</w:t>
            </w:r>
          </w:p>
        </w:tc>
      </w:tr>
      <w:tr w14:paraId="51A97D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3DA5CA9A">
            <w:pPr>
              <w:rPr>
                <w:rFonts w:ascii="Arial"/>
                <w:sz w:val="21"/>
              </w:rPr>
            </w:pPr>
          </w:p>
        </w:tc>
        <w:tc>
          <w:tcPr>
            <w:tcW w:w="2163" w:type="dxa"/>
            <w:vAlign w:val="top"/>
          </w:tcPr>
          <w:p w14:paraId="1AC6FE2C">
            <w:pPr>
              <w:pStyle w:val="6"/>
              <w:spacing w:before="53" w:line="197" w:lineRule="auto"/>
              <w:ind w:left="385"/>
              <w:rPr>
                <w:sz w:val="20"/>
                <w:szCs w:val="20"/>
              </w:rPr>
            </w:pPr>
            <w:r>
              <w:rPr>
                <w:spacing w:val="8"/>
                <w:sz w:val="20"/>
                <w:szCs w:val="20"/>
              </w:rPr>
              <w:t>苯乙烯（</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vAlign w:val="top"/>
          </w:tcPr>
          <w:p w14:paraId="3F7DB3CE">
            <w:pPr>
              <w:spacing w:before="71" w:line="204"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w:t>
            </w:r>
            <w:r>
              <w:rPr>
                <w:rFonts w:ascii="Times New Roman" w:hAnsi="Times New Roman" w:eastAsia="Times New Roman" w:cs="Times New Roman"/>
                <w:spacing w:val="-21"/>
                <w:sz w:val="20"/>
                <w:szCs w:val="20"/>
              </w:rPr>
              <w:t xml:space="preserve"> </w:t>
            </w:r>
            <w:r>
              <w:rPr>
                <w:rFonts w:ascii="Times New Roman" w:hAnsi="Times New Roman" w:eastAsia="Times New Roman" w:cs="Times New Roman"/>
                <w:spacing w:val="-2"/>
                <w:sz w:val="20"/>
                <w:szCs w:val="20"/>
              </w:rPr>
              <w:t>1×10</w:t>
            </w:r>
            <w:r>
              <w:rPr>
                <w:rFonts w:ascii="Times New Roman" w:hAnsi="Times New Roman" w:eastAsia="Times New Roman" w:cs="Times New Roman"/>
                <w:spacing w:val="-2"/>
                <w:position w:val="6"/>
                <w:sz w:val="13"/>
                <w:szCs w:val="13"/>
              </w:rPr>
              <w:t>-3</w:t>
            </w:r>
            <w:r>
              <w:rPr>
                <w:rFonts w:ascii="Times New Roman" w:hAnsi="Times New Roman" w:eastAsia="Times New Roman" w:cs="Times New Roman"/>
                <w:spacing w:val="-2"/>
                <w:sz w:val="20"/>
                <w:szCs w:val="20"/>
              </w:rPr>
              <w:t>L</w:t>
            </w:r>
          </w:p>
        </w:tc>
        <w:tc>
          <w:tcPr>
            <w:tcW w:w="4157" w:type="dxa"/>
            <w:tcBorders>
              <w:right w:val="single" w:color="000000" w:sz="10" w:space="0"/>
            </w:tcBorders>
            <w:vAlign w:val="top"/>
          </w:tcPr>
          <w:p w14:paraId="2CEB0C67">
            <w:pPr>
              <w:spacing w:before="89" w:line="185" w:lineRule="auto"/>
              <w:ind w:left="179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1290</w:t>
            </w:r>
          </w:p>
        </w:tc>
      </w:tr>
      <w:tr w14:paraId="5819B0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1784E2B6">
            <w:pPr>
              <w:rPr>
                <w:rFonts w:ascii="Arial"/>
                <w:sz w:val="21"/>
              </w:rPr>
            </w:pPr>
          </w:p>
        </w:tc>
        <w:tc>
          <w:tcPr>
            <w:tcW w:w="2163" w:type="dxa"/>
            <w:vAlign w:val="top"/>
          </w:tcPr>
          <w:p w14:paraId="754BB0AD">
            <w:pPr>
              <w:pStyle w:val="6"/>
              <w:spacing w:before="54" w:line="196" w:lineRule="auto"/>
              <w:ind w:left="515"/>
              <w:rPr>
                <w:sz w:val="20"/>
                <w:szCs w:val="20"/>
              </w:rPr>
            </w:pPr>
            <w:r>
              <w:rPr>
                <w:spacing w:val="3"/>
                <w:sz w:val="20"/>
                <w:szCs w:val="20"/>
              </w:rPr>
              <w:t>甲苯（</w:t>
            </w:r>
            <w:r>
              <w:rPr>
                <w:rFonts w:ascii="Times New Roman" w:hAnsi="Times New Roman" w:eastAsia="Times New Roman" w:cs="Times New Roman"/>
                <w:sz w:val="20"/>
                <w:szCs w:val="20"/>
              </w:rPr>
              <w:t>mg</w:t>
            </w:r>
            <w:r>
              <w:rPr>
                <w:rFonts w:ascii="Times New Roman" w:hAnsi="Times New Roman" w:eastAsia="Times New Roman" w:cs="Times New Roman"/>
                <w:spacing w:val="3"/>
                <w:sz w:val="20"/>
                <w:szCs w:val="20"/>
              </w:rPr>
              <w:t>/</w:t>
            </w:r>
            <w:r>
              <w:rPr>
                <w:rFonts w:ascii="Times New Roman" w:hAnsi="Times New Roman" w:eastAsia="Times New Roman" w:cs="Times New Roman"/>
                <w:sz w:val="20"/>
                <w:szCs w:val="20"/>
              </w:rPr>
              <w:t>kg</w:t>
            </w:r>
            <w:r>
              <w:rPr>
                <w:spacing w:val="3"/>
                <w:sz w:val="20"/>
                <w:szCs w:val="20"/>
              </w:rPr>
              <w:t>）</w:t>
            </w:r>
          </w:p>
        </w:tc>
        <w:tc>
          <w:tcPr>
            <w:tcW w:w="2557" w:type="dxa"/>
            <w:vAlign w:val="top"/>
          </w:tcPr>
          <w:p w14:paraId="6804C9BB">
            <w:pPr>
              <w:spacing w:before="70" w:line="205"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1.3×10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3B11A265">
            <w:pPr>
              <w:spacing w:before="90" w:line="184" w:lineRule="auto"/>
              <w:ind w:left="179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1200</w:t>
            </w:r>
          </w:p>
        </w:tc>
      </w:tr>
      <w:tr w14:paraId="4151A1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471" w:type="dxa"/>
            <w:vMerge w:val="continue"/>
            <w:tcBorders>
              <w:top w:val="nil"/>
              <w:left w:val="single" w:color="000000" w:sz="10" w:space="0"/>
              <w:bottom w:val="nil"/>
            </w:tcBorders>
            <w:vAlign w:val="top"/>
          </w:tcPr>
          <w:p w14:paraId="0E6AC508">
            <w:pPr>
              <w:rPr>
                <w:rFonts w:ascii="Arial"/>
                <w:sz w:val="21"/>
              </w:rPr>
            </w:pPr>
          </w:p>
        </w:tc>
        <w:tc>
          <w:tcPr>
            <w:tcW w:w="2163" w:type="dxa"/>
            <w:vAlign w:val="top"/>
          </w:tcPr>
          <w:p w14:paraId="6B99C3FB">
            <w:pPr>
              <w:pStyle w:val="6"/>
              <w:spacing w:before="53" w:line="224" w:lineRule="auto"/>
              <w:ind w:left="707" w:right="407" w:hanging="99"/>
              <w:rPr>
                <w:sz w:val="20"/>
                <w:szCs w:val="20"/>
              </w:rPr>
            </w:pPr>
            <w:r>
              <w:rPr>
                <w:spacing w:val="4"/>
                <w:sz w:val="20"/>
                <w:szCs w:val="20"/>
              </w:rPr>
              <w:t>间</w:t>
            </w:r>
            <w:r>
              <w:rPr>
                <w:rFonts w:ascii="Times New Roman" w:hAnsi="Times New Roman" w:eastAsia="Times New Roman" w:cs="Times New Roman"/>
                <w:spacing w:val="4"/>
                <w:sz w:val="20"/>
                <w:szCs w:val="20"/>
              </w:rPr>
              <w:t>+</w:t>
            </w:r>
            <w:r>
              <w:rPr>
                <w:spacing w:val="4"/>
                <w:sz w:val="20"/>
                <w:szCs w:val="20"/>
              </w:rPr>
              <w:t xml:space="preserve">对二甲苯 </w:t>
            </w: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57" w:type="dxa"/>
            <w:vAlign w:val="top"/>
          </w:tcPr>
          <w:p w14:paraId="3702B030">
            <w:pPr>
              <w:spacing w:before="206" w:line="216"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1F699955">
            <w:pPr>
              <w:spacing w:before="226" w:line="195" w:lineRule="auto"/>
              <w:ind w:left="183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570</w:t>
            </w:r>
          </w:p>
        </w:tc>
      </w:tr>
      <w:tr w14:paraId="3304D0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471" w:type="dxa"/>
            <w:vMerge w:val="continue"/>
            <w:tcBorders>
              <w:top w:val="nil"/>
              <w:left w:val="single" w:color="000000" w:sz="10" w:space="0"/>
              <w:bottom w:val="nil"/>
            </w:tcBorders>
            <w:vAlign w:val="top"/>
          </w:tcPr>
          <w:p w14:paraId="59EE1C92">
            <w:pPr>
              <w:rPr>
                <w:rFonts w:ascii="Arial"/>
                <w:sz w:val="21"/>
              </w:rPr>
            </w:pPr>
          </w:p>
        </w:tc>
        <w:tc>
          <w:tcPr>
            <w:tcW w:w="2163" w:type="dxa"/>
            <w:vAlign w:val="top"/>
          </w:tcPr>
          <w:p w14:paraId="6FFCDB6D">
            <w:pPr>
              <w:pStyle w:val="6"/>
              <w:spacing w:before="55" w:line="195" w:lineRule="auto"/>
              <w:ind w:left="295"/>
              <w:rPr>
                <w:sz w:val="20"/>
                <w:szCs w:val="20"/>
              </w:rPr>
            </w:pPr>
            <w:r>
              <w:rPr>
                <w:spacing w:val="9"/>
                <w:sz w:val="20"/>
                <w:szCs w:val="20"/>
              </w:rPr>
              <w:t>邻二甲苯（</w:t>
            </w:r>
            <w:r>
              <w:rPr>
                <w:rFonts w:ascii="Times New Roman" w:hAnsi="Times New Roman" w:eastAsia="Times New Roman" w:cs="Times New Roman"/>
                <w:sz w:val="20"/>
                <w:szCs w:val="20"/>
              </w:rPr>
              <w:t>mg</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kg</w:t>
            </w:r>
            <w:r>
              <w:rPr>
                <w:spacing w:val="9"/>
                <w:sz w:val="20"/>
                <w:szCs w:val="20"/>
              </w:rPr>
              <w:t>）</w:t>
            </w:r>
          </w:p>
        </w:tc>
        <w:tc>
          <w:tcPr>
            <w:tcW w:w="2557" w:type="dxa"/>
            <w:vAlign w:val="top"/>
          </w:tcPr>
          <w:p w14:paraId="2B54F2CC">
            <w:pPr>
              <w:spacing w:before="72" w:line="203" w:lineRule="auto"/>
              <w:ind w:left="88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1.2×10</w:t>
            </w:r>
            <w:r>
              <w:rPr>
                <w:rFonts w:ascii="Times New Roman" w:hAnsi="Times New Roman" w:eastAsia="Times New Roman" w:cs="Times New Roman"/>
                <w:spacing w:val="1"/>
                <w:position w:val="6"/>
                <w:sz w:val="13"/>
                <w:szCs w:val="13"/>
              </w:rPr>
              <w:t>-3</w:t>
            </w:r>
            <w:r>
              <w:rPr>
                <w:rFonts w:ascii="Times New Roman" w:hAnsi="Times New Roman" w:eastAsia="Times New Roman" w:cs="Times New Roman"/>
                <w:spacing w:val="1"/>
                <w:sz w:val="20"/>
                <w:szCs w:val="20"/>
              </w:rPr>
              <w:t>L</w:t>
            </w:r>
          </w:p>
        </w:tc>
        <w:tc>
          <w:tcPr>
            <w:tcW w:w="4157" w:type="dxa"/>
            <w:tcBorders>
              <w:right w:val="single" w:color="000000" w:sz="10" w:space="0"/>
            </w:tcBorders>
            <w:vAlign w:val="top"/>
          </w:tcPr>
          <w:p w14:paraId="6B8DE72E">
            <w:pPr>
              <w:spacing w:before="92" w:line="182" w:lineRule="auto"/>
              <w:ind w:left="182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640</w:t>
            </w:r>
          </w:p>
        </w:tc>
      </w:tr>
      <w:tr w14:paraId="550C1A4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471" w:type="dxa"/>
            <w:vMerge w:val="continue"/>
            <w:tcBorders>
              <w:top w:val="nil"/>
              <w:left w:val="single" w:color="000000" w:sz="10" w:space="0"/>
              <w:bottom w:val="single" w:color="000000" w:sz="10" w:space="0"/>
            </w:tcBorders>
            <w:vAlign w:val="top"/>
          </w:tcPr>
          <w:p w14:paraId="591FE20D">
            <w:pPr>
              <w:rPr>
                <w:rFonts w:ascii="Arial"/>
                <w:sz w:val="21"/>
              </w:rPr>
            </w:pPr>
          </w:p>
        </w:tc>
        <w:tc>
          <w:tcPr>
            <w:tcW w:w="2163" w:type="dxa"/>
            <w:tcBorders>
              <w:bottom w:val="single" w:color="000000" w:sz="10" w:space="0"/>
            </w:tcBorders>
            <w:vAlign w:val="top"/>
          </w:tcPr>
          <w:p w14:paraId="5B0D346B">
            <w:pPr>
              <w:pStyle w:val="6"/>
              <w:spacing w:before="55" w:line="215" w:lineRule="auto"/>
              <w:ind w:left="384"/>
              <w:rPr>
                <w:sz w:val="20"/>
                <w:szCs w:val="20"/>
              </w:rPr>
            </w:pPr>
            <w:r>
              <w:rPr>
                <w:spacing w:val="8"/>
                <w:sz w:val="20"/>
                <w:szCs w:val="20"/>
              </w:rPr>
              <w:t>硝基苯（</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57" w:type="dxa"/>
            <w:tcBorders>
              <w:bottom w:val="single" w:color="000000" w:sz="10" w:space="0"/>
            </w:tcBorders>
            <w:vAlign w:val="top"/>
          </w:tcPr>
          <w:p w14:paraId="123AD355">
            <w:pPr>
              <w:spacing w:before="90" w:line="195" w:lineRule="auto"/>
              <w:ind w:left="1034"/>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0.09L</w:t>
            </w:r>
          </w:p>
        </w:tc>
        <w:tc>
          <w:tcPr>
            <w:tcW w:w="4157" w:type="dxa"/>
            <w:tcBorders>
              <w:bottom w:val="single" w:color="000000" w:sz="10" w:space="0"/>
              <w:right w:val="single" w:color="000000" w:sz="10" w:space="0"/>
            </w:tcBorders>
            <w:vAlign w:val="top"/>
          </w:tcPr>
          <w:p w14:paraId="32FC60C9">
            <w:pPr>
              <w:spacing w:before="90" w:line="195" w:lineRule="auto"/>
              <w:ind w:left="188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76</w:t>
            </w:r>
          </w:p>
        </w:tc>
      </w:tr>
    </w:tbl>
    <w:p w14:paraId="0B710F4F">
      <w:pPr>
        <w:pStyle w:val="2"/>
      </w:pPr>
    </w:p>
    <w:p w14:paraId="0BC615C6">
      <w:pPr>
        <w:sectPr>
          <w:footerReference r:id="rId61" w:type="default"/>
          <w:pgSz w:w="11906" w:h="16839"/>
          <w:pgMar w:top="1270" w:right="1266" w:bottom="1261" w:left="1265" w:header="0" w:footer="1097" w:gutter="0"/>
          <w:cols w:space="720" w:num="1"/>
        </w:sectPr>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5856A024">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8956" w:hRule="atLeast"/>
        </w:trPr>
        <w:tc>
          <w:tcPr>
            <w:tcW w:w="471" w:type="dxa"/>
            <w:tcBorders>
              <w:bottom w:val="single" w:color="000000" w:sz="2" w:space="0"/>
              <w:right w:val="single" w:color="000000" w:sz="2" w:space="0"/>
            </w:tcBorders>
            <w:vAlign w:val="top"/>
          </w:tcPr>
          <w:p w14:paraId="386B7598">
            <w:pPr>
              <w:rPr>
                <w:rFonts w:ascii="Arial"/>
                <w:sz w:val="21"/>
              </w:rPr>
            </w:pPr>
          </w:p>
        </w:tc>
        <w:tc>
          <w:tcPr>
            <w:tcW w:w="8877" w:type="dxa"/>
            <w:tcBorders>
              <w:left w:val="single" w:color="000000" w:sz="2" w:space="0"/>
              <w:bottom w:val="single" w:color="000000" w:sz="2" w:space="0"/>
            </w:tcBorders>
            <w:vAlign w:val="top"/>
          </w:tcPr>
          <w:p w14:paraId="09ECB16E">
            <w:pPr>
              <w:spacing w:line="52" w:lineRule="auto"/>
              <w:rPr>
                <w:rFonts w:ascii="Arial"/>
                <w:sz w:val="2"/>
              </w:rPr>
            </w:pPr>
          </w:p>
          <w:tbl>
            <w:tblPr>
              <w:tblStyle w:val="5"/>
              <w:tblW w:w="8498" w:type="dxa"/>
              <w:tblInd w:w="18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75"/>
              <w:gridCol w:w="2564"/>
              <w:gridCol w:w="3959"/>
            </w:tblGrid>
            <w:tr w14:paraId="2825FB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6" w:hRule="atLeast"/>
              </w:trPr>
              <w:tc>
                <w:tcPr>
                  <w:tcW w:w="1975" w:type="dxa"/>
                  <w:tcBorders>
                    <w:top w:val="nil"/>
                    <w:left w:val="nil"/>
                  </w:tcBorders>
                  <w:vAlign w:val="top"/>
                </w:tcPr>
                <w:p w14:paraId="7E76750F">
                  <w:pPr>
                    <w:pStyle w:val="6"/>
                    <w:spacing w:before="40" w:line="217" w:lineRule="auto"/>
                    <w:ind w:left="310"/>
                    <w:rPr>
                      <w:sz w:val="20"/>
                      <w:szCs w:val="20"/>
                    </w:rPr>
                  </w:pPr>
                  <w:r>
                    <w:rPr>
                      <w:spacing w:val="8"/>
                      <w:sz w:val="20"/>
                      <w:szCs w:val="20"/>
                    </w:rPr>
                    <w:t>苯胺（</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64" w:type="dxa"/>
                  <w:tcBorders>
                    <w:top w:val="nil"/>
                  </w:tcBorders>
                  <w:vAlign w:val="top"/>
                </w:tcPr>
                <w:p w14:paraId="6B2CC8D1">
                  <w:pPr>
                    <w:spacing w:before="76"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4"/>
                      <w:sz w:val="20"/>
                      <w:szCs w:val="20"/>
                    </w:rPr>
                    <w:t>1L</w:t>
                  </w:r>
                </w:p>
              </w:tc>
              <w:tc>
                <w:tcPr>
                  <w:tcW w:w="3959" w:type="dxa"/>
                  <w:tcBorders>
                    <w:top w:val="nil"/>
                    <w:right w:val="nil"/>
                  </w:tcBorders>
                  <w:vAlign w:val="top"/>
                </w:tcPr>
                <w:p w14:paraId="7F731FD1">
                  <w:pPr>
                    <w:spacing w:before="76" w:line="195" w:lineRule="auto"/>
                    <w:ind w:left="182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260</w:t>
                  </w:r>
                </w:p>
              </w:tc>
            </w:tr>
            <w:tr w14:paraId="137C3B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8" w:hRule="atLeast"/>
              </w:trPr>
              <w:tc>
                <w:tcPr>
                  <w:tcW w:w="1975" w:type="dxa"/>
                  <w:tcBorders>
                    <w:left w:val="nil"/>
                  </w:tcBorders>
                  <w:vAlign w:val="top"/>
                </w:tcPr>
                <w:p w14:paraId="22A95EDB">
                  <w:pPr>
                    <w:pStyle w:val="6"/>
                    <w:spacing w:before="32" w:line="217" w:lineRule="auto"/>
                    <w:ind w:left="215"/>
                    <w:rPr>
                      <w:sz w:val="20"/>
                      <w:szCs w:val="20"/>
                    </w:rPr>
                  </w:pPr>
                  <w:r>
                    <w:rPr>
                      <w:rFonts w:ascii="Times New Roman" w:hAnsi="Times New Roman" w:eastAsia="Times New Roman" w:cs="Times New Roman"/>
                      <w:spacing w:val="7"/>
                      <w:sz w:val="20"/>
                      <w:szCs w:val="20"/>
                    </w:rPr>
                    <w:t>2-</w:t>
                  </w:r>
                  <w:r>
                    <w:rPr>
                      <w:spacing w:val="7"/>
                      <w:sz w:val="20"/>
                      <w:szCs w:val="20"/>
                    </w:rPr>
                    <w:t>氯酚（</w:t>
                  </w:r>
                  <w:r>
                    <w:rPr>
                      <w:rFonts w:ascii="Times New Roman" w:hAnsi="Times New Roman" w:eastAsia="Times New Roman" w:cs="Times New Roman"/>
                      <w:sz w:val="20"/>
                      <w:szCs w:val="20"/>
                    </w:rPr>
                    <w:t>mg</w:t>
                  </w:r>
                  <w:r>
                    <w:rPr>
                      <w:rFonts w:ascii="Times New Roman" w:hAnsi="Times New Roman" w:eastAsia="Times New Roman" w:cs="Times New Roman"/>
                      <w:spacing w:val="7"/>
                      <w:sz w:val="20"/>
                      <w:szCs w:val="20"/>
                    </w:rPr>
                    <w:t>/</w:t>
                  </w:r>
                  <w:r>
                    <w:rPr>
                      <w:rFonts w:ascii="Times New Roman" w:hAnsi="Times New Roman" w:eastAsia="Times New Roman" w:cs="Times New Roman"/>
                      <w:sz w:val="20"/>
                      <w:szCs w:val="20"/>
                    </w:rPr>
                    <w:t>kg</w:t>
                  </w:r>
                  <w:r>
                    <w:rPr>
                      <w:spacing w:val="7"/>
                      <w:sz w:val="20"/>
                      <w:szCs w:val="20"/>
                    </w:rPr>
                    <w:t>）</w:t>
                  </w:r>
                </w:p>
              </w:tc>
              <w:tc>
                <w:tcPr>
                  <w:tcW w:w="2564" w:type="dxa"/>
                  <w:vAlign w:val="top"/>
                </w:tcPr>
                <w:p w14:paraId="32B381D6">
                  <w:pPr>
                    <w:spacing w:before="68" w:line="195" w:lineRule="auto"/>
                    <w:ind w:left="103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0.04L</w:t>
                  </w:r>
                </w:p>
              </w:tc>
              <w:tc>
                <w:tcPr>
                  <w:tcW w:w="3959" w:type="dxa"/>
                  <w:tcBorders>
                    <w:right w:val="nil"/>
                  </w:tcBorders>
                  <w:vAlign w:val="top"/>
                </w:tcPr>
                <w:p w14:paraId="04C4B74D">
                  <w:pPr>
                    <w:spacing w:before="68" w:line="195" w:lineRule="auto"/>
                    <w:ind w:left="177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2256</w:t>
                  </w:r>
                </w:p>
              </w:tc>
            </w:tr>
            <w:tr w14:paraId="339AC8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975" w:type="dxa"/>
                  <w:tcBorders>
                    <w:left w:val="nil"/>
                  </w:tcBorders>
                  <w:vAlign w:val="top"/>
                </w:tcPr>
                <w:p w14:paraId="453A7229">
                  <w:pPr>
                    <w:pStyle w:val="6"/>
                    <w:spacing w:before="30" w:line="218" w:lineRule="auto"/>
                    <w:ind w:left="118"/>
                    <w:rPr>
                      <w:sz w:val="20"/>
                      <w:szCs w:val="20"/>
                    </w:rPr>
                  </w:pPr>
                  <w:r>
                    <w:rPr>
                      <w:spacing w:val="7"/>
                      <w:sz w:val="20"/>
                      <w:szCs w:val="20"/>
                    </w:rPr>
                    <w:t>苯并</w:t>
                  </w:r>
                  <w:r>
                    <w:rPr>
                      <w:rFonts w:ascii="Times New Roman" w:hAnsi="Times New Roman" w:eastAsia="Times New Roman" w:cs="Times New Roman"/>
                      <w:spacing w:val="7"/>
                      <w:sz w:val="20"/>
                      <w:szCs w:val="20"/>
                    </w:rPr>
                    <w:t>[a]</w:t>
                  </w:r>
                  <w:r>
                    <w:rPr>
                      <w:spacing w:val="7"/>
                      <w:sz w:val="20"/>
                      <w:szCs w:val="20"/>
                    </w:rPr>
                    <w:t>蒽（</w:t>
                  </w:r>
                  <w:r>
                    <w:rPr>
                      <w:rFonts w:ascii="Times New Roman" w:hAnsi="Times New Roman" w:eastAsia="Times New Roman" w:cs="Times New Roman"/>
                      <w:sz w:val="20"/>
                      <w:szCs w:val="20"/>
                    </w:rPr>
                    <w:t>mg</w:t>
                  </w:r>
                  <w:r>
                    <w:rPr>
                      <w:rFonts w:ascii="Times New Roman" w:hAnsi="Times New Roman" w:eastAsia="Times New Roman" w:cs="Times New Roman"/>
                      <w:spacing w:val="7"/>
                      <w:sz w:val="20"/>
                      <w:szCs w:val="20"/>
                    </w:rPr>
                    <w:t>/</w:t>
                  </w:r>
                  <w:r>
                    <w:rPr>
                      <w:rFonts w:ascii="Times New Roman" w:hAnsi="Times New Roman" w:eastAsia="Times New Roman" w:cs="Times New Roman"/>
                      <w:sz w:val="20"/>
                      <w:szCs w:val="20"/>
                    </w:rPr>
                    <w:t>kg</w:t>
                  </w:r>
                  <w:r>
                    <w:rPr>
                      <w:spacing w:val="7"/>
                      <w:sz w:val="20"/>
                      <w:szCs w:val="20"/>
                    </w:rPr>
                    <w:t>）</w:t>
                  </w:r>
                </w:p>
              </w:tc>
              <w:tc>
                <w:tcPr>
                  <w:tcW w:w="2564" w:type="dxa"/>
                  <w:vAlign w:val="top"/>
                </w:tcPr>
                <w:p w14:paraId="22491734">
                  <w:pPr>
                    <w:spacing w:before="66"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4"/>
                      <w:sz w:val="20"/>
                      <w:szCs w:val="20"/>
                    </w:rPr>
                    <w:t>1L</w:t>
                  </w:r>
                </w:p>
              </w:tc>
              <w:tc>
                <w:tcPr>
                  <w:tcW w:w="3959" w:type="dxa"/>
                  <w:tcBorders>
                    <w:right w:val="nil"/>
                  </w:tcBorders>
                  <w:vAlign w:val="top"/>
                </w:tcPr>
                <w:p w14:paraId="636F59BB">
                  <w:pPr>
                    <w:spacing w:before="66" w:line="195" w:lineRule="auto"/>
                    <w:ind w:left="189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15</w:t>
                  </w:r>
                </w:p>
              </w:tc>
            </w:tr>
            <w:tr w14:paraId="130C67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975" w:type="dxa"/>
                  <w:tcBorders>
                    <w:left w:val="nil"/>
                  </w:tcBorders>
                  <w:vAlign w:val="top"/>
                </w:tcPr>
                <w:p w14:paraId="731E8826">
                  <w:pPr>
                    <w:pStyle w:val="6"/>
                    <w:spacing w:before="31" w:line="217" w:lineRule="auto"/>
                    <w:ind w:left="118"/>
                    <w:rPr>
                      <w:sz w:val="20"/>
                      <w:szCs w:val="20"/>
                    </w:rPr>
                  </w:pPr>
                  <w:r>
                    <w:rPr>
                      <w:spacing w:val="7"/>
                      <w:sz w:val="20"/>
                      <w:szCs w:val="20"/>
                    </w:rPr>
                    <w:t>苯并</w:t>
                  </w:r>
                  <w:r>
                    <w:rPr>
                      <w:rFonts w:ascii="Times New Roman" w:hAnsi="Times New Roman" w:eastAsia="Times New Roman" w:cs="Times New Roman"/>
                      <w:spacing w:val="7"/>
                      <w:sz w:val="20"/>
                      <w:szCs w:val="20"/>
                    </w:rPr>
                    <w:t>[a]</w:t>
                  </w:r>
                  <w:r>
                    <w:rPr>
                      <w:spacing w:val="7"/>
                      <w:sz w:val="20"/>
                      <w:szCs w:val="20"/>
                    </w:rPr>
                    <w:t>芘（</w:t>
                  </w:r>
                  <w:r>
                    <w:rPr>
                      <w:rFonts w:ascii="Times New Roman" w:hAnsi="Times New Roman" w:eastAsia="Times New Roman" w:cs="Times New Roman"/>
                      <w:sz w:val="20"/>
                      <w:szCs w:val="20"/>
                    </w:rPr>
                    <w:t>mg</w:t>
                  </w:r>
                  <w:r>
                    <w:rPr>
                      <w:rFonts w:ascii="Times New Roman" w:hAnsi="Times New Roman" w:eastAsia="Times New Roman" w:cs="Times New Roman"/>
                      <w:spacing w:val="7"/>
                      <w:sz w:val="20"/>
                      <w:szCs w:val="20"/>
                    </w:rPr>
                    <w:t>/</w:t>
                  </w:r>
                  <w:r>
                    <w:rPr>
                      <w:rFonts w:ascii="Times New Roman" w:hAnsi="Times New Roman" w:eastAsia="Times New Roman" w:cs="Times New Roman"/>
                      <w:sz w:val="20"/>
                      <w:szCs w:val="20"/>
                    </w:rPr>
                    <w:t>kg</w:t>
                  </w:r>
                  <w:r>
                    <w:rPr>
                      <w:spacing w:val="7"/>
                      <w:sz w:val="20"/>
                      <w:szCs w:val="20"/>
                    </w:rPr>
                    <w:t>）</w:t>
                  </w:r>
                </w:p>
              </w:tc>
              <w:tc>
                <w:tcPr>
                  <w:tcW w:w="2564" w:type="dxa"/>
                  <w:vAlign w:val="top"/>
                </w:tcPr>
                <w:p w14:paraId="7FBDDC30">
                  <w:pPr>
                    <w:spacing w:before="67"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4"/>
                      <w:sz w:val="20"/>
                      <w:szCs w:val="20"/>
                    </w:rPr>
                    <w:t>1L</w:t>
                  </w:r>
                </w:p>
              </w:tc>
              <w:tc>
                <w:tcPr>
                  <w:tcW w:w="3959" w:type="dxa"/>
                  <w:tcBorders>
                    <w:right w:val="nil"/>
                  </w:tcBorders>
                  <w:vAlign w:val="top"/>
                </w:tcPr>
                <w:p w14:paraId="71C0D8DF">
                  <w:pPr>
                    <w:spacing w:before="67" w:line="195" w:lineRule="auto"/>
                    <w:ind w:left="186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1.5</w:t>
                  </w:r>
                </w:p>
              </w:tc>
            </w:tr>
            <w:tr w14:paraId="02EDA7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975" w:type="dxa"/>
                  <w:tcBorders>
                    <w:left w:val="nil"/>
                  </w:tcBorders>
                  <w:vAlign w:val="top"/>
                </w:tcPr>
                <w:p w14:paraId="4E937F08">
                  <w:pPr>
                    <w:pStyle w:val="6"/>
                    <w:spacing w:before="32" w:line="234" w:lineRule="auto"/>
                    <w:ind w:left="526" w:right="445" w:hanging="72"/>
                    <w:rPr>
                      <w:sz w:val="20"/>
                      <w:szCs w:val="20"/>
                    </w:rPr>
                  </w:pPr>
                  <w:r>
                    <w:rPr>
                      <w:spacing w:val="5"/>
                      <w:sz w:val="20"/>
                      <w:szCs w:val="20"/>
                    </w:rPr>
                    <w:t>苯并</w:t>
                  </w:r>
                  <w:r>
                    <w:rPr>
                      <w:rFonts w:ascii="Times New Roman" w:hAnsi="Times New Roman" w:eastAsia="Times New Roman" w:cs="Times New Roman"/>
                      <w:spacing w:val="5"/>
                      <w:sz w:val="20"/>
                      <w:szCs w:val="20"/>
                    </w:rPr>
                    <w:t>[b]</w:t>
                  </w:r>
                  <w:r>
                    <w:rPr>
                      <w:spacing w:val="5"/>
                      <w:sz w:val="20"/>
                      <w:szCs w:val="20"/>
                    </w:rPr>
                    <w:t>荧蒽</w:t>
                  </w:r>
                  <w:r>
                    <w:rPr>
                      <w:spacing w:val="2"/>
                      <w:sz w:val="20"/>
                      <w:szCs w:val="20"/>
                    </w:rPr>
                    <w:t xml:space="preserve"> </w:t>
                  </w: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64" w:type="dxa"/>
                  <w:vAlign w:val="top"/>
                </w:tcPr>
                <w:p w14:paraId="307E0BA3">
                  <w:pPr>
                    <w:spacing w:before="203"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0.2L</w:t>
                  </w:r>
                </w:p>
              </w:tc>
              <w:tc>
                <w:tcPr>
                  <w:tcW w:w="3959" w:type="dxa"/>
                  <w:tcBorders>
                    <w:right w:val="nil"/>
                  </w:tcBorders>
                  <w:vAlign w:val="top"/>
                </w:tcPr>
                <w:p w14:paraId="5B218A6B">
                  <w:pPr>
                    <w:spacing w:before="203" w:line="195" w:lineRule="auto"/>
                    <w:ind w:left="189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15</w:t>
                  </w:r>
                </w:p>
              </w:tc>
            </w:tr>
            <w:tr w14:paraId="64E5084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975" w:type="dxa"/>
                  <w:tcBorders>
                    <w:left w:val="nil"/>
                  </w:tcBorders>
                  <w:vAlign w:val="top"/>
                </w:tcPr>
                <w:p w14:paraId="2E29360E">
                  <w:pPr>
                    <w:pStyle w:val="6"/>
                    <w:spacing w:before="34" w:line="233" w:lineRule="auto"/>
                    <w:ind w:left="526" w:right="445" w:hanging="72"/>
                    <w:rPr>
                      <w:sz w:val="20"/>
                      <w:szCs w:val="20"/>
                    </w:rPr>
                  </w:pPr>
                  <w:r>
                    <w:rPr>
                      <w:spacing w:val="5"/>
                      <w:sz w:val="20"/>
                      <w:szCs w:val="20"/>
                    </w:rPr>
                    <w:t>苯并</w:t>
                  </w:r>
                  <w:r>
                    <w:rPr>
                      <w:rFonts w:ascii="Times New Roman" w:hAnsi="Times New Roman" w:eastAsia="Times New Roman" w:cs="Times New Roman"/>
                      <w:spacing w:val="5"/>
                      <w:sz w:val="20"/>
                      <w:szCs w:val="20"/>
                    </w:rPr>
                    <w:t>[k]</w:t>
                  </w:r>
                  <w:r>
                    <w:rPr>
                      <w:spacing w:val="5"/>
                      <w:sz w:val="20"/>
                      <w:szCs w:val="20"/>
                    </w:rPr>
                    <w:t>荧蒽</w:t>
                  </w:r>
                  <w:r>
                    <w:rPr>
                      <w:spacing w:val="2"/>
                      <w:sz w:val="20"/>
                      <w:szCs w:val="20"/>
                    </w:rPr>
                    <w:t xml:space="preserve"> </w:t>
                  </w: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64" w:type="dxa"/>
                  <w:vAlign w:val="top"/>
                </w:tcPr>
                <w:p w14:paraId="1FBECB6D">
                  <w:pPr>
                    <w:spacing w:before="206"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4"/>
                      <w:sz w:val="20"/>
                      <w:szCs w:val="20"/>
                    </w:rPr>
                    <w:t>1L</w:t>
                  </w:r>
                </w:p>
              </w:tc>
              <w:tc>
                <w:tcPr>
                  <w:tcW w:w="3959" w:type="dxa"/>
                  <w:tcBorders>
                    <w:right w:val="nil"/>
                  </w:tcBorders>
                  <w:vAlign w:val="top"/>
                </w:tcPr>
                <w:p w14:paraId="3F6BCDA4">
                  <w:pPr>
                    <w:spacing w:before="206" w:line="195" w:lineRule="auto"/>
                    <w:ind w:left="184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151</w:t>
                  </w:r>
                </w:p>
              </w:tc>
            </w:tr>
            <w:tr w14:paraId="2E88CC8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975" w:type="dxa"/>
                  <w:tcBorders>
                    <w:left w:val="nil"/>
                  </w:tcBorders>
                  <w:vAlign w:val="top"/>
                </w:tcPr>
                <w:p w14:paraId="3A31B30E">
                  <w:pPr>
                    <w:pStyle w:val="6"/>
                    <w:spacing w:before="34" w:line="215" w:lineRule="auto"/>
                    <w:ind w:left="409"/>
                    <w:rPr>
                      <w:sz w:val="20"/>
                      <w:szCs w:val="20"/>
                    </w:rPr>
                  </w:pPr>
                  <w:r>
                    <w:rPr>
                      <w:spacing w:val="9"/>
                      <w:sz w:val="20"/>
                      <w:szCs w:val="20"/>
                    </w:rPr>
                    <w:t>䓛（</w:t>
                  </w:r>
                  <w:r>
                    <w:rPr>
                      <w:rFonts w:ascii="Times New Roman" w:hAnsi="Times New Roman" w:eastAsia="Times New Roman" w:cs="Times New Roman"/>
                      <w:sz w:val="20"/>
                      <w:szCs w:val="20"/>
                    </w:rPr>
                    <w:t>mg</w:t>
                  </w:r>
                  <w:r>
                    <w:rPr>
                      <w:rFonts w:ascii="Times New Roman" w:hAnsi="Times New Roman" w:eastAsia="Times New Roman" w:cs="Times New Roman"/>
                      <w:spacing w:val="9"/>
                      <w:sz w:val="20"/>
                      <w:szCs w:val="20"/>
                    </w:rPr>
                    <w:t>/</w:t>
                  </w:r>
                  <w:r>
                    <w:rPr>
                      <w:rFonts w:ascii="Times New Roman" w:hAnsi="Times New Roman" w:eastAsia="Times New Roman" w:cs="Times New Roman"/>
                      <w:sz w:val="20"/>
                      <w:szCs w:val="20"/>
                    </w:rPr>
                    <w:t>kg</w:t>
                  </w:r>
                  <w:r>
                    <w:rPr>
                      <w:spacing w:val="9"/>
                      <w:sz w:val="20"/>
                      <w:szCs w:val="20"/>
                    </w:rPr>
                    <w:t>）</w:t>
                  </w:r>
                </w:p>
              </w:tc>
              <w:tc>
                <w:tcPr>
                  <w:tcW w:w="2564" w:type="dxa"/>
                  <w:vAlign w:val="top"/>
                </w:tcPr>
                <w:p w14:paraId="4F50BF31">
                  <w:pPr>
                    <w:spacing w:before="69"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4"/>
                      <w:sz w:val="20"/>
                      <w:szCs w:val="20"/>
                    </w:rPr>
                    <w:t>1L</w:t>
                  </w:r>
                </w:p>
              </w:tc>
              <w:tc>
                <w:tcPr>
                  <w:tcW w:w="3959" w:type="dxa"/>
                  <w:tcBorders>
                    <w:right w:val="nil"/>
                  </w:tcBorders>
                  <w:vAlign w:val="top"/>
                </w:tcPr>
                <w:p w14:paraId="04EBEB6D">
                  <w:pPr>
                    <w:spacing w:before="69" w:line="195" w:lineRule="auto"/>
                    <w:ind w:left="179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1293</w:t>
                  </w:r>
                </w:p>
              </w:tc>
            </w:tr>
            <w:tr w14:paraId="00174D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975" w:type="dxa"/>
                  <w:tcBorders>
                    <w:left w:val="nil"/>
                  </w:tcBorders>
                  <w:vAlign w:val="top"/>
                </w:tcPr>
                <w:p w14:paraId="74B1D12B">
                  <w:pPr>
                    <w:pStyle w:val="6"/>
                    <w:spacing w:before="34" w:line="221" w:lineRule="auto"/>
                    <w:ind w:left="304"/>
                    <w:rPr>
                      <w:sz w:val="20"/>
                      <w:szCs w:val="20"/>
                    </w:rPr>
                  </w:pPr>
                  <w:r>
                    <w:rPr>
                      <w:spacing w:val="3"/>
                      <w:sz w:val="20"/>
                      <w:szCs w:val="20"/>
                    </w:rPr>
                    <w:t>二苯并</w:t>
                  </w:r>
                  <w:r>
                    <w:rPr>
                      <w:rFonts w:ascii="Times New Roman" w:hAnsi="Times New Roman" w:eastAsia="Times New Roman" w:cs="Times New Roman"/>
                      <w:spacing w:val="3"/>
                      <w:sz w:val="20"/>
                      <w:szCs w:val="20"/>
                    </w:rPr>
                    <w:t>[a</w:t>
                  </w:r>
                  <w:r>
                    <w:rPr>
                      <w:rFonts w:ascii="Times New Roman" w:hAnsi="Times New Roman" w:eastAsia="Times New Roman" w:cs="Times New Roman"/>
                      <w:spacing w:val="-25"/>
                      <w:sz w:val="20"/>
                      <w:szCs w:val="20"/>
                    </w:rPr>
                    <w:t xml:space="preserve"> </w:t>
                  </w:r>
                  <w:r>
                    <w:rPr>
                      <w:spacing w:val="3"/>
                      <w:sz w:val="20"/>
                      <w:szCs w:val="20"/>
                    </w:rPr>
                    <w:t>，</w:t>
                  </w:r>
                  <w:r>
                    <w:rPr>
                      <w:rFonts w:ascii="Times New Roman" w:hAnsi="Times New Roman" w:eastAsia="Times New Roman" w:cs="Times New Roman"/>
                      <w:spacing w:val="3"/>
                      <w:sz w:val="20"/>
                      <w:szCs w:val="20"/>
                    </w:rPr>
                    <w:t>h]</w:t>
                  </w:r>
                  <w:r>
                    <w:rPr>
                      <w:spacing w:val="3"/>
                      <w:sz w:val="20"/>
                      <w:szCs w:val="20"/>
                    </w:rPr>
                    <w:t>蒽</w:t>
                  </w:r>
                </w:p>
                <w:p w14:paraId="43396B28">
                  <w:pPr>
                    <w:pStyle w:val="6"/>
                    <w:spacing w:before="31" w:line="215" w:lineRule="auto"/>
                    <w:ind w:left="52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64" w:type="dxa"/>
                  <w:vAlign w:val="top"/>
                </w:tcPr>
                <w:p w14:paraId="17544F6B">
                  <w:pPr>
                    <w:spacing w:before="205"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4"/>
                      <w:sz w:val="20"/>
                      <w:szCs w:val="20"/>
                    </w:rPr>
                    <w:t>1L</w:t>
                  </w:r>
                </w:p>
              </w:tc>
              <w:tc>
                <w:tcPr>
                  <w:tcW w:w="3959" w:type="dxa"/>
                  <w:tcBorders>
                    <w:right w:val="nil"/>
                  </w:tcBorders>
                  <w:vAlign w:val="top"/>
                </w:tcPr>
                <w:p w14:paraId="3047BCF4">
                  <w:pPr>
                    <w:spacing w:before="205" w:line="195" w:lineRule="auto"/>
                    <w:ind w:left="1869"/>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1.5</w:t>
                  </w:r>
                </w:p>
              </w:tc>
            </w:tr>
            <w:tr w14:paraId="79569E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1975" w:type="dxa"/>
                  <w:tcBorders>
                    <w:left w:val="nil"/>
                  </w:tcBorders>
                  <w:vAlign w:val="top"/>
                </w:tcPr>
                <w:p w14:paraId="6A396BDB">
                  <w:pPr>
                    <w:pStyle w:val="6"/>
                    <w:spacing w:before="54" w:line="221" w:lineRule="auto"/>
                    <w:ind w:left="165"/>
                    <w:rPr>
                      <w:sz w:val="20"/>
                      <w:szCs w:val="20"/>
                    </w:rPr>
                  </w:pPr>
                  <w:r>
                    <w:rPr>
                      <w:spacing w:val="2"/>
                      <w:sz w:val="20"/>
                      <w:szCs w:val="20"/>
                    </w:rPr>
                    <w:t>茚并</w:t>
                  </w:r>
                  <w:r>
                    <w:rPr>
                      <w:rFonts w:ascii="Times New Roman" w:hAnsi="Times New Roman" w:eastAsia="Times New Roman" w:cs="Times New Roman"/>
                      <w:spacing w:val="2"/>
                      <w:sz w:val="20"/>
                      <w:szCs w:val="20"/>
                    </w:rPr>
                    <w:t>[1,2,3-c</w:t>
                  </w:r>
                  <w:r>
                    <w:rPr>
                      <w:rFonts w:ascii="Times New Roman" w:hAnsi="Times New Roman" w:eastAsia="Times New Roman" w:cs="Times New Roman"/>
                      <w:spacing w:val="-15"/>
                      <w:sz w:val="20"/>
                      <w:szCs w:val="20"/>
                    </w:rPr>
                    <w:t xml:space="preserve"> </w:t>
                  </w:r>
                  <w:r>
                    <w:rPr>
                      <w:spacing w:val="2"/>
                      <w:sz w:val="20"/>
                      <w:szCs w:val="20"/>
                    </w:rPr>
                    <w:t>，</w:t>
                  </w:r>
                  <w:r>
                    <w:rPr>
                      <w:rFonts w:ascii="Times New Roman" w:hAnsi="Times New Roman" w:eastAsia="Times New Roman" w:cs="Times New Roman"/>
                      <w:spacing w:val="2"/>
                      <w:sz w:val="20"/>
                      <w:szCs w:val="20"/>
                    </w:rPr>
                    <w:t>d]</w:t>
                  </w:r>
                  <w:r>
                    <w:rPr>
                      <w:spacing w:val="2"/>
                      <w:sz w:val="20"/>
                      <w:szCs w:val="20"/>
                    </w:rPr>
                    <w:t>芘</w:t>
                  </w:r>
                </w:p>
                <w:p w14:paraId="09E949BA">
                  <w:pPr>
                    <w:pStyle w:val="6"/>
                    <w:spacing w:before="72" w:line="221" w:lineRule="auto"/>
                    <w:ind w:left="527"/>
                    <w:rPr>
                      <w:sz w:val="20"/>
                      <w:szCs w:val="20"/>
                    </w:rPr>
                  </w:pPr>
                  <w:r>
                    <w:rPr>
                      <w:spacing w:val="5"/>
                      <w:sz w:val="20"/>
                      <w:szCs w:val="20"/>
                    </w:rPr>
                    <w:t>（</w:t>
                  </w:r>
                  <w:r>
                    <w:rPr>
                      <w:rFonts w:ascii="Times New Roman" w:hAnsi="Times New Roman" w:eastAsia="Times New Roman" w:cs="Times New Roman"/>
                      <w:sz w:val="20"/>
                      <w:szCs w:val="20"/>
                    </w:rPr>
                    <w:t>mg</w:t>
                  </w:r>
                  <w:r>
                    <w:rPr>
                      <w:rFonts w:ascii="Times New Roman" w:hAnsi="Times New Roman" w:eastAsia="Times New Roman" w:cs="Times New Roman"/>
                      <w:spacing w:val="5"/>
                      <w:sz w:val="20"/>
                      <w:szCs w:val="20"/>
                    </w:rPr>
                    <w:t>/</w:t>
                  </w:r>
                  <w:r>
                    <w:rPr>
                      <w:rFonts w:ascii="Times New Roman" w:hAnsi="Times New Roman" w:eastAsia="Times New Roman" w:cs="Times New Roman"/>
                      <w:sz w:val="20"/>
                      <w:szCs w:val="20"/>
                    </w:rPr>
                    <w:t>kg</w:t>
                  </w:r>
                  <w:r>
                    <w:rPr>
                      <w:spacing w:val="5"/>
                      <w:sz w:val="20"/>
                      <w:szCs w:val="20"/>
                    </w:rPr>
                    <w:t>）</w:t>
                  </w:r>
                </w:p>
              </w:tc>
              <w:tc>
                <w:tcPr>
                  <w:tcW w:w="2564" w:type="dxa"/>
                  <w:vAlign w:val="top"/>
                </w:tcPr>
                <w:p w14:paraId="40B13BCE">
                  <w:pPr>
                    <w:spacing w:before="246" w:line="195" w:lineRule="auto"/>
                    <w:ind w:left="1090"/>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w:t>
                  </w:r>
                  <w:r>
                    <w:rPr>
                      <w:rFonts w:ascii="Times New Roman" w:hAnsi="Times New Roman" w:eastAsia="Times New Roman" w:cs="Times New Roman"/>
                      <w:spacing w:val="-24"/>
                      <w:sz w:val="20"/>
                      <w:szCs w:val="20"/>
                    </w:rPr>
                    <w:t xml:space="preserve"> </w:t>
                  </w:r>
                  <w:r>
                    <w:rPr>
                      <w:rFonts w:ascii="Times New Roman" w:hAnsi="Times New Roman" w:eastAsia="Times New Roman" w:cs="Times New Roman"/>
                      <w:spacing w:val="-4"/>
                      <w:sz w:val="20"/>
                      <w:szCs w:val="20"/>
                    </w:rPr>
                    <w:t>1L</w:t>
                  </w:r>
                </w:p>
              </w:tc>
              <w:tc>
                <w:tcPr>
                  <w:tcW w:w="3959" w:type="dxa"/>
                  <w:tcBorders>
                    <w:right w:val="nil"/>
                  </w:tcBorders>
                  <w:vAlign w:val="top"/>
                </w:tcPr>
                <w:p w14:paraId="2EB4161B">
                  <w:pPr>
                    <w:spacing w:before="246" w:line="195" w:lineRule="auto"/>
                    <w:ind w:left="1895"/>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15</w:t>
                  </w:r>
                </w:p>
              </w:tc>
            </w:tr>
            <w:tr w14:paraId="5C2D8BB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 w:hRule="atLeast"/>
              </w:trPr>
              <w:tc>
                <w:tcPr>
                  <w:tcW w:w="1975" w:type="dxa"/>
                  <w:tcBorders>
                    <w:left w:val="nil"/>
                  </w:tcBorders>
                  <w:vAlign w:val="top"/>
                </w:tcPr>
                <w:p w14:paraId="512CA0D1">
                  <w:pPr>
                    <w:pStyle w:val="6"/>
                    <w:spacing w:before="55" w:line="221" w:lineRule="auto"/>
                    <w:ind w:left="412"/>
                    <w:rPr>
                      <w:sz w:val="20"/>
                      <w:szCs w:val="20"/>
                    </w:rPr>
                  </w:pPr>
                  <w:r>
                    <w:rPr>
                      <w:spacing w:val="8"/>
                      <w:sz w:val="20"/>
                      <w:szCs w:val="20"/>
                    </w:rPr>
                    <w:t>萘（</w:t>
                  </w:r>
                  <w:r>
                    <w:rPr>
                      <w:rFonts w:ascii="Times New Roman" w:hAnsi="Times New Roman" w:eastAsia="Times New Roman" w:cs="Times New Roman"/>
                      <w:sz w:val="20"/>
                      <w:szCs w:val="20"/>
                    </w:rPr>
                    <w:t>mg</w:t>
                  </w:r>
                  <w:r>
                    <w:rPr>
                      <w:rFonts w:ascii="Times New Roman" w:hAnsi="Times New Roman" w:eastAsia="Times New Roman" w:cs="Times New Roman"/>
                      <w:spacing w:val="8"/>
                      <w:sz w:val="20"/>
                      <w:szCs w:val="20"/>
                    </w:rPr>
                    <w:t>/</w:t>
                  </w:r>
                  <w:r>
                    <w:rPr>
                      <w:rFonts w:ascii="Times New Roman" w:hAnsi="Times New Roman" w:eastAsia="Times New Roman" w:cs="Times New Roman"/>
                      <w:sz w:val="20"/>
                      <w:szCs w:val="20"/>
                    </w:rPr>
                    <w:t>kg</w:t>
                  </w:r>
                  <w:r>
                    <w:rPr>
                      <w:spacing w:val="8"/>
                      <w:sz w:val="20"/>
                      <w:szCs w:val="20"/>
                    </w:rPr>
                    <w:t>）</w:t>
                  </w:r>
                </w:p>
              </w:tc>
              <w:tc>
                <w:tcPr>
                  <w:tcW w:w="2564" w:type="dxa"/>
                  <w:vAlign w:val="top"/>
                </w:tcPr>
                <w:p w14:paraId="73908C66">
                  <w:pPr>
                    <w:spacing w:before="91" w:line="195" w:lineRule="auto"/>
                    <w:ind w:left="103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0.09L</w:t>
                  </w:r>
                </w:p>
              </w:tc>
              <w:tc>
                <w:tcPr>
                  <w:tcW w:w="3959" w:type="dxa"/>
                  <w:tcBorders>
                    <w:right w:val="nil"/>
                  </w:tcBorders>
                  <w:vAlign w:val="top"/>
                </w:tcPr>
                <w:p w14:paraId="5929A735">
                  <w:pPr>
                    <w:spacing w:before="91" w:line="195" w:lineRule="auto"/>
                    <w:ind w:left="1879"/>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70</w:t>
                  </w:r>
                </w:p>
              </w:tc>
            </w:tr>
          </w:tbl>
          <w:p w14:paraId="6F56EDD2">
            <w:pPr>
              <w:pStyle w:val="6"/>
              <w:spacing w:before="30" w:line="227" w:lineRule="auto"/>
              <w:ind w:left="296"/>
              <w:rPr>
                <w:sz w:val="20"/>
                <w:szCs w:val="20"/>
              </w:rPr>
            </w:pPr>
            <w:r>
              <w:rPr>
                <w:spacing w:val="6"/>
                <w:sz w:val="20"/>
                <w:szCs w:val="20"/>
              </w:rPr>
              <w:t>注：1、土壤采样深度位于</w:t>
            </w:r>
            <w:r>
              <w:rPr>
                <w:spacing w:val="-21"/>
                <w:sz w:val="20"/>
                <w:szCs w:val="20"/>
              </w:rPr>
              <w:t xml:space="preserve"> </w:t>
            </w:r>
            <w:r>
              <w:rPr>
                <w:spacing w:val="6"/>
                <w:sz w:val="20"/>
                <w:szCs w:val="20"/>
              </w:rPr>
              <w:t>0～0.2m；</w:t>
            </w:r>
          </w:p>
          <w:p w14:paraId="57E5E8D2">
            <w:pPr>
              <w:pStyle w:val="6"/>
              <w:spacing w:before="23" w:line="243" w:lineRule="auto"/>
              <w:ind w:left="299" w:right="289" w:firstLine="419"/>
              <w:rPr>
                <w:sz w:val="20"/>
                <w:szCs w:val="20"/>
              </w:rPr>
            </w:pPr>
            <w:r>
              <w:rPr>
                <w:spacing w:val="9"/>
                <w:sz w:val="20"/>
                <w:szCs w:val="20"/>
              </w:rPr>
              <w:t>2、土壤检测单位</w:t>
            </w:r>
            <w:r>
              <w:rPr>
                <w:spacing w:val="-5"/>
                <w:sz w:val="20"/>
                <w:szCs w:val="20"/>
              </w:rPr>
              <w:t>：（</w:t>
            </w:r>
            <w:r>
              <w:rPr>
                <w:spacing w:val="9"/>
                <w:sz w:val="20"/>
                <w:szCs w:val="20"/>
              </w:rPr>
              <w:t>四氯化碳、氯仿、氯甲烷、1,1-二氯</w:t>
            </w:r>
            <w:r>
              <w:rPr>
                <w:spacing w:val="8"/>
                <w:sz w:val="20"/>
                <w:szCs w:val="20"/>
              </w:rPr>
              <w:t>乙烷、1,2-二氯乙烷、1,1-</w:t>
            </w:r>
            <w:r>
              <w:rPr>
                <w:sz w:val="20"/>
                <w:szCs w:val="20"/>
              </w:rPr>
              <w:t xml:space="preserve"> </w:t>
            </w:r>
            <w:r>
              <w:rPr>
                <w:spacing w:val="9"/>
                <w:sz w:val="20"/>
                <w:szCs w:val="20"/>
              </w:rPr>
              <w:t>二氯乙烯、顺-1,2-二氯乙烯、反-1,2-二氯乙烯、二氯甲烷、1,2-二氯丙烷、1,1,1,2-四</w:t>
            </w:r>
            <w:r>
              <w:rPr>
                <w:spacing w:val="17"/>
                <w:sz w:val="20"/>
                <w:szCs w:val="20"/>
              </w:rPr>
              <w:t xml:space="preserve"> </w:t>
            </w:r>
            <w:r>
              <w:rPr>
                <w:spacing w:val="9"/>
                <w:sz w:val="20"/>
                <w:szCs w:val="20"/>
              </w:rPr>
              <w:t>氯乙烷、1,1,2,2-四氯乙烷、四氯乙烯、1,1,1-三氯乙烷、1,1,2-三氯乙烷、三氯乙烯、</w:t>
            </w:r>
          </w:p>
          <w:p w14:paraId="78EF89EE">
            <w:pPr>
              <w:pStyle w:val="6"/>
              <w:spacing w:before="29" w:line="225" w:lineRule="auto"/>
              <w:ind w:left="312"/>
              <w:rPr>
                <w:sz w:val="20"/>
                <w:szCs w:val="20"/>
              </w:rPr>
            </w:pPr>
            <w:r>
              <w:rPr>
                <w:spacing w:val="9"/>
                <w:sz w:val="20"/>
                <w:szCs w:val="20"/>
              </w:rPr>
              <w:t>1,2,3-三氯丙烷、氯乙烯、苯、氯苯、1,2-二氯苯、1,</w:t>
            </w:r>
            <w:r>
              <w:rPr>
                <w:spacing w:val="8"/>
                <w:sz w:val="20"/>
                <w:szCs w:val="20"/>
              </w:rPr>
              <w:t>4-二氯苯、乙苯、苯乙烯、</w:t>
            </w:r>
            <w:r>
              <w:rPr>
                <w:spacing w:val="-54"/>
                <w:sz w:val="20"/>
                <w:szCs w:val="20"/>
              </w:rPr>
              <w:t xml:space="preserve"> </w:t>
            </w:r>
            <w:r>
              <w:rPr>
                <w:spacing w:val="8"/>
                <w:sz w:val="20"/>
                <w:szCs w:val="20"/>
              </w:rPr>
              <w:t>甲苯、</w:t>
            </w:r>
          </w:p>
          <w:p w14:paraId="5A21E2E2">
            <w:pPr>
              <w:pStyle w:val="6"/>
              <w:tabs>
                <w:tab w:val="left" w:pos="312"/>
              </w:tabs>
              <w:spacing w:before="28" w:line="222" w:lineRule="auto"/>
              <w:ind w:left="180"/>
              <w:rPr>
                <w:sz w:val="20"/>
                <w:szCs w:val="20"/>
              </w:rPr>
            </w:pPr>
            <w:r>
              <w:rPr>
                <w:sz w:val="20"/>
                <w:szCs w:val="20"/>
                <w:u w:val="single" w:color="auto"/>
              </w:rPr>
              <w:tab/>
            </w:r>
            <w:r>
              <w:rPr>
                <w:spacing w:val="7"/>
                <w:sz w:val="20"/>
                <w:szCs w:val="20"/>
                <w:u w:val="single" w:color="auto"/>
              </w:rPr>
              <w:t>间二甲苯+对二甲苯、邻二甲苯）为</w:t>
            </w:r>
            <w:r>
              <w:rPr>
                <w:spacing w:val="-25"/>
                <w:sz w:val="20"/>
                <w:szCs w:val="20"/>
                <w:u w:val="single" w:color="auto"/>
              </w:rPr>
              <w:t xml:space="preserve"> </w:t>
            </w:r>
            <w:r>
              <w:rPr>
                <w:spacing w:val="7"/>
                <w:sz w:val="20"/>
                <w:szCs w:val="20"/>
                <w:u w:val="single" w:color="auto"/>
              </w:rPr>
              <w:t>μg/</w:t>
            </w:r>
            <w:r>
              <w:rPr>
                <w:sz w:val="20"/>
                <w:szCs w:val="20"/>
                <w:u w:val="single" w:color="auto"/>
              </w:rPr>
              <w:t>kg</w:t>
            </w:r>
            <w:r>
              <w:rPr>
                <w:spacing w:val="7"/>
                <w:sz w:val="20"/>
                <w:szCs w:val="20"/>
                <w:u w:val="single" w:color="auto"/>
              </w:rPr>
              <w:t>，</w:t>
            </w:r>
            <w:r>
              <w:rPr>
                <w:sz w:val="20"/>
                <w:szCs w:val="20"/>
                <w:u w:val="single" w:color="auto"/>
              </w:rPr>
              <w:t>pH</w:t>
            </w:r>
            <w:r>
              <w:rPr>
                <w:spacing w:val="7"/>
                <w:sz w:val="20"/>
                <w:szCs w:val="20"/>
                <w:u w:val="single" w:color="auto"/>
              </w:rPr>
              <w:t>无量纲，其他为</w:t>
            </w:r>
            <w:r>
              <w:rPr>
                <w:sz w:val="20"/>
                <w:szCs w:val="20"/>
                <w:u w:val="single" w:color="auto"/>
              </w:rPr>
              <w:t>mg</w:t>
            </w:r>
            <w:r>
              <w:rPr>
                <w:spacing w:val="7"/>
                <w:sz w:val="20"/>
                <w:szCs w:val="20"/>
                <w:u w:val="single" w:color="auto"/>
              </w:rPr>
              <w:t>/</w:t>
            </w:r>
            <w:r>
              <w:rPr>
                <w:sz w:val="20"/>
                <w:szCs w:val="20"/>
                <w:u w:val="single" w:color="auto"/>
              </w:rPr>
              <w:t>kg</w:t>
            </w:r>
            <w:r>
              <w:rPr>
                <w:spacing w:val="7"/>
                <w:sz w:val="20"/>
                <w:szCs w:val="20"/>
                <w:u w:val="single" w:color="auto"/>
              </w:rPr>
              <w:t>。</w:t>
            </w:r>
            <w:r>
              <w:rPr>
                <w:sz w:val="20"/>
                <w:szCs w:val="20"/>
                <w:u w:val="single" w:color="auto"/>
              </w:rPr>
              <w:t xml:space="preserve">                   </w:t>
            </w:r>
          </w:p>
          <w:p w14:paraId="6809A688">
            <w:pPr>
              <w:pStyle w:val="6"/>
              <w:spacing w:before="128" w:line="353" w:lineRule="auto"/>
              <w:ind w:left="103" w:right="96" w:firstLine="482"/>
              <w:jc w:val="both"/>
            </w:pPr>
            <w:r>
              <w:rPr>
                <w:spacing w:val="-3"/>
              </w:rPr>
              <w:t>厂址内土壤背景值监测点位执行土壤环境质量评价执行《土壤环境质量 建设用</w:t>
            </w:r>
            <w:r>
              <w:rPr>
                <w:spacing w:val="2"/>
              </w:rPr>
              <w:t xml:space="preserve"> </w:t>
            </w:r>
            <w:r>
              <w:rPr>
                <w:spacing w:val="-1"/>
              </w:rPr>
              <w:t>地土壤污染风险管控标准（试行）》（</w:t>
            </w:r>
            <w:r>
              <w:rPr>
                <w:rFonts w:ascii="Calibri" w:hAnsi="Calibri" w:eastAsia="Calibri" w:cs="Calibri"/>
                <w:spacing w:val="-1"/>
              </w:rPr>
              <w:t>GB36600-2018</w:t>
            </w:r>
            <w:r>
              <w:rPr>
                <w:spacing w:val="-1"/>
              </w:rPr>
              <w:t>）表</w:t>
            </w:r>
            <w:r>
              <w:rPr>
                <w:spacing w:val="-25"/>
              </w:rPr>
              <w:t xml:space="preserve"> </w:t>
            </w:r>
            <w:r>
              <w:rPr>
                <w:rFonts w:ascii="Calibri" w:hAnsi="Calibri" w:eastAsia="Calibri" w:cs="Calibri"/>
                <w:spacing w:val="-1"/>
              </w:rPr>
              <w:t>1</w:t>
            </w:r>
            <w:r>
              <w:rPr>
                <w:rFonts w:ascii="Calibri" w:hAnsi="Calibri" w:eastAsia="Calibri" w:cs="Calibri"/>
                <w:spacing w:val="21"/>
                <w:w w:val="101"/>
              </w:rPr>
              <w:t xml:space="preserve"> </w:t>
            </w:r>
            <w:r>
              <w:rPr>
                <w:spacing w:val="-1"/>
              </w:rPr>
              <w:t>建设用地土壤污染源风</w:t>
            </w:r>
            <w:r>
              <w:t xml:space="preserve"> 险筛选值和管制值（基本项目）筛选值 第二类用地 表</w:t>
            </w:r>
            <w:r>
              <w:rPr>
                <w:spacing w:val="-47"/>
              </w:rPr>
              <w:t xml:space="preserve"> </w:t>
            </w:r>
            <w:r>
              <w:rPr>
                <w:rFonts w:ascii="Calibri" w:hAnsi="Calibri" w:eastAsia="Calibri" w:cs="Calibri"/>
              </w:rPr>
              <w:t>2</w:t>
            </w:r>
            <w:r>
              <w:rPr>
                <w:rFonts w:ascii="Calibri" w:hAnsi="Calibri" w:eastAsia="Calibri" w:cs="Calibri"/>
                <w:spacing w:val="19"/>
              </w:rPr>
              <w:t xml:space="preserve"> </w:t>
            </w:r>
            <w:r>
              <w:t>建</w:t>
            </w:r>
            <w:r>
              <w:rPr>
                <w:spacing w:val="-1"/>
              </w:rPr>
              <w:t>设用地土壤污染源风险</w:t>
            </w:r>
            <w:r>
              <w:t xml:space="preserve"> 筛选值和管制值（其他项目）筛选值 第二类用地要求。</w:t>
            </w:r>
            <w:r>
              <w:rPr>
                <w:spacing w:val="-1"/>
              </w:rPr>
              <w:t>土壤环境质量状况较好。</w:t>
            </w:r>
          </w:p>
          <w:p w14:paraId="6A7FE755">
            <w:pPr>
              <w:pStyle w:val="6"/>
              <w:spacing w:before="35" w:line="220" w:lineRule="auto"/>
              <w:ind w:left="585"/>
            </w:pPr>
            <w:r>
              <w:rPr>
                <w:b/>
                <w:bCs/>
                <w:spacing w:val="-4"/>
              </w:rPr>
              <w:t>6、生态环境</w:t>
            </w:r>
          </w:p>
          <w:p w14:paraId="21466789">
            <w:pPr>
              <w:pStyle w:val="6"/>
              <w:spacing w:before="182" w:line="308" w:lineRule="auto"/>
              <w:ind w:left="124" w:right="96" w:firstLine="459"/>
            </w:pPr>
            <w:r>
              <w:rPr>
                <w:spacing w:val="1"/>
              </w:rPr>
              <w:t>本项目租用现有林甸兴海肉业有限公司空地</w:t>
            </w:r>
            <w:r>
              <w:t xml:space="preserve">进行建设，为工业用地，且用地范 </w:t>
            </w:r>
            <w:r>
              <w:rPr>
                <w:spacing w:val="-2"/>
              </w:rPr>
              <w:t>围内不涉及生态环境敏感区，无不良生态环境影响。</w:t>
            </w:r>
          </w:p>
        </w:tc>
      </w:tr>
      <w:tr w14:paraId="7B941F97">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165" w:hRule="atLeast"/>
        </w:trPr>
        <w:tc>
          <w:tcPr>
            <w:tcW w:w="471" w:type="dxa"/>
            <w:tcBorders>
              <w:top w:val="single" w:color="000000" w:sz="2" w:space="0"/>
              <w:right w:val="single" w:color="000000" w:sz="2" w:space="0"/>
            </w:tcBorders>
            <w:textDirection w:val="tbRlV"/>
            <w:vAlign w:val="top"/>
          </w:tcPr>
          <w:p w14:paraId="506C1F1C">
            <w:pPr>
              <w:pStyle w:val="6"/>
              <w:spacing w:before="119" w:line="201" w:lineRule="auto"/>
              <w:ind w:left="1298"/>
            </w:pPr>
            <w:r>
              <w:rPr>
                <w:spacing w:val="-1"/>
              </w:rPr>
              <w:t>环</w:t>
            </w:r>
            <w:r>
              <w:rPr>
                <w:spacing w:val="112"/>
              </w:rPr>
              <w:t xml:space="preserve"> </w:t>
            </w:r>
            <w:r>
              <w:rPr>
                <w:spacing w:val="-1"/>
              </w:rPr>
              <w:t>境</w:t>
            </w:r>
            <w:r>
              <w:rPr>
                <w:spacing w:val="108"/>
              </w:rPr>
              <w:t xml:space="preserve"> </w:t>
            </w:r>
            <w:r>
              <w:rPr>
                <w:spacing w:val="-1"/>
              </w:rPr>
              <w:t>保</w:t>
            </w:r>
            <w:r>
              <w:rPr>
                <w:spacing w:val="108"/>
              </w:rPr>
              <w:t xml:space="preserve"> </w:t>
            </w:r>
            <w:r>
              <w:rPr>
                <w:spacing w:val="-1"/>
              </w:rPr>
              <w:t>护</w:t>
            </w:r>
            <w:r>
              <w:rPr>
                <w:spacing w:val="108"/>
              </w:rPr>
              <w:t xml:space="preserve"> </w:t>
            </w:r>
            <w:r>
              <w:rPr>
                <w:spacing w:val="-1"/>
                <w:position w:val="1"/>
              </w:rPr>
              <w:t>目</w:t>
            </w:r>
            <w:r>
              <w:rPr>
                <w:spacing w:val="109"/>
                <w:position w:val="1"/>
              </w:rPr>
              <w:t xml:space="preserve"> </w:t>
            </w:r>
            <w:r>
              <w:rPr>
                <w:spacing w:val="-1"/>
              </w:rPr>
              <w:t>标</w:t>
            </w:r>
          </w:p>
        </w:tc>
        <w:tc>
          <w:tcPr>
            <w:tcW w:w="8877" w:type="dxa"/>
            <w:tcBorders>
              <w:top w:val="single" w:color="000000" w:sz="2" w:space="0"/>
              <w:left w:val="single" w:color="000000" w:sz="2" w:space="0"/>
            </w:tcBorders>
            <w:vAlign w:val="top"/>
          </w:tcPr>
          <w:p w14:paraId="0BDDD0A1">
            <w:pPr>
              <w:pStyle w:val="6"/>
              <w:spacing w:before="130" w:line="220" w:lineRule="auto"/>
              <w:ind w:left="601"/>
            </w:pPr>
            <w:r>
              <w:rPr>
                <w:b/>
                <w:bCs/>
                <w:spacing w:val="-7"/>
              </w:rPr>
              <w:t>1、大气环境</w:t>
            </w:r>
          </w:p>
          <w:p w14:paraId="5B8C7BAB">
            <w:pPr>
              <w:pStyle w:val="6"/>
              <w:spacing w:before="185" w:line="355" w:lineRule="auto"/>
              <w:ind w:left="103" w:right="216" w:firstLine="480"/>
              <w:jc w:val="both"/>
            </w:pPr>
            <w:r>
              <w:rPr>
                <w:spacing w:val="-3"/>
              </w:rPr>
              <w:t>本项目位于</w:t>
            </w:r>
            <w:r>
              <w:rPr>
                <w:rFonts w:hint="eastAsia"/>
                <w:spacing w:val="-3"/>
                <w:lang w:eastAsia="zh-CN"/>
              </w:rPr>
              <w:t>黑龙江省佳木斯市桦川县新城镇新古街道</w:t>
            </w:r>
            <w:r>
              <w:rPr>
                <w:spacing w:val="-3"/>
              </w:rPr>
              <w:t>，租用林甸兴海肉业有限公司</w:t>
            </w:r>
            <w:r>
              <w:rPr>
                <w:spacing w:val="1"/>
              </w:rPr>
              <w:t xml:space="preserve"> </w:t>
            </w:r>
            <w:r>
              <w:rPr>
                <w:spacing w:val="-2"/>
              </w:rPr>
              <w:t>空地，</w:t>
            </w:r>
            <w:r>
              <w:rPr>
                <w:spacing w:val="-72"/>
              </w:rPr>
              <w:t xml:space="preserve"> </w:t>
            </w:r>
            <w:r>
              <w:rPr>
                <w:spacing w:val="-2"/>
              </w:rPr>
              <w:t>占地面积</w:t>
            </w:r>
            <w:r>
              <w:rPr>
                <w:spacing w:val="-47"/>
              </w:rPr>
              <w:t xml:space="preserve"> </w:t>
            </w:r>
            <w:r>
              <w:rPr>
                <w:spacing w:val="-2"/>
              </w:rPr>
              <w:t>2500</w:t>
            </w:r>
            <w:r>
              <w:rPr>
                <w:spacing w:val="-52"/>
              </w:rPr>
              <w:t xml:space="preserve"> </w:t>
            </w:r>
            <w:r>
              <w:rPr>
                <w:spacing w:val="-2"/>
              </w:rPr>
              <w:t>平方米，用地性质为工业用地，项目东侧为林</w:t>
            </w:r>
            <w:r>
              <w:rPr>
                <w:spacing w:val="-3"/>
              </w:rPr>
              <w:t>甸兴海肉业有</w:t>
            </w:r>
            <w:r>
              <w:t xml:space="preserve"> </w:t>
            </w:r>
            <w:r>
              <w:rPr>
                <w:spacing w:val="-3"/>
              </w:rPr>
              <w:t>限公司空置库房，南侧为林甸公路管理站空置厂房，西侧为空地，北侧为空地。本</w:t>
            </w:r>
            <w:r>
              <w:rPr>
                <w:spacing w:val="8"/>
              </w:rPr>
              <w:t xml:space="preserve"> </w:t>
            </w:r>
            <w:r>
              <w:rPr>
                <w:spacing w:val="-3"/>
              </w:rPr>
              <w:t>项目厂界外 500m 范围内无大气环境敏感目标。不在国家法律、法规、规章和规划</w:t>
            </w:r>
            <w:r>
              <w:rPr>
                <w:spacing w:val="17"/>
              </w:rPr>
              <w:t xml:space="preserve"> </w:t>
            </w:r>
            <w:r>
              <w:rPr>
                <w:spacing w:val="-3"/>
              </w:rPr>
              <w:t>确定或县级及以上人民政府规定的自然保护区、风景名胜区、饮用水源保护区、基</w:t>
            </w:r>
            <w:r>
              <w:rPr>
                <w:spacing w:val="8"/>
              </w:rPr>
              <w:t xml:space="preserve"> </w:t>
            </w:r>
            <w:r>
              <w:rPr>
                <w:spacing w:val="-1"/>
              </w:rPr>
              <w:t>本农田保护区和其他需要特别保护的区域内。</w:t>
            </w:r>
          </w:p>
          <w:p w14:paraId="47179C10">
            <w:pPr>
              <w:pStyle w:val="6"/>
              <w:spacing w:before="35" w:line="220" w:lineRule="auto"/>
              <w:ind w:left="586"/>
            </w:pPr>
            <w:r>
              <w:rPr>
                <w:b/>
                <w:bCs/>
                <w:spacing w:val="-5"/>
              </w:rPr>
              <w:t>2、声环境</w:t>
            </w:r>
          </w:p>
          <w:p w14:paraId="181F8F1A">
            <w:pPr>
              <w:pStyle w:val="6"/>
              <w:spacing w:before="181" w:line="219" w:lineRule="auto"/>
              <w:ind w:left="584"/>
            </w:pPr>
            <w:r>
              <w:rPr>
                <w:spacing w:val="-2"/>
              </w:rPr>
              <w:t>本项目厂界外</w:t>
            </w:r>
            <w:r>
              <w:rPr>
                <w:spacing w:val="-45"/>
              </w:rPr>
              <w:t xml:space="preserve"> </w:t>
            </w:r>
            <w:r>
              <w:rPr>
                <w:spacing w:val="-2"/>
              </w:rPr>
              <w:t>50m</w:t>
            </w:r>
            <w:r>
              <w:rPr>
                <w:spacing w:val="-45"/>
              </w:rPr>
              <w:t xml:space="preserve"> </w:t>
            </w:r>
            <w:r>
              <w:rPr>
                <w:spacing w:val="-2"/>
              </w:rPr>
              <w:t>范围内无声环境敏感目标。</w:t>
            </w:r>
          </w:p>
          <w:p w14:paraId="1B431C4F">
            <w:pPr>
              <w:pStyle w:val="6"/>
              <w:spacing w:before="184" w:line="219" w:lineRule="auto"/>
              <w:ind w:left="588"/>
            </w:pPr>
            <w:r>
              <w:rPr>
                <w:b/>
                <w:bCs/>
                <w:spacing w:val="-4"/>
              </w:rPr>
              <w:t>3、地下水环境</w:t>
            </w:r>
          </w:p>
          <w:p w14:paraId="1E22B36C">
            <w:pPr>
              <w:pStyle w:val="6"/>
              <w:spacing w:before="183" w:line="219" w:lineRule="auto"/>
              <w:ind w:left="586"/>
            </w:pPr>
            <w:r>
              <w:t>厂界外</w:t>
            </w:r>
            <w:r>
              <w:rPr>
                <w:spacing w:val="-46"/>
              </w:rPr>
              <w:t xml:space="preserve"> </w:t>
            </w:r>
            <w:r>
              <w:t>500m</w:t>
            </w:r>
            <w:r>
              <w:rPr>
                <w:spacing w:val="-43"/>
              </w:rPr>
              <w:t xml:space="preserve"> </w:t>
            </w:r>
            <w:r>
              <w:t>范围内无地下水集中式饮用水水</w:t>
            </w:r>
            <w:r>
              <w:rPr>
                <w:spacing w:val="-1"/>
              </w:rPr>
              <w:t>源和热水、矿泉水、温泉等特殊</w:t>
            </w:r>
          </w:p>
        </w:tc>
      </w:tr>
    </w:tbl>
    <w:p w14:paraId="21E46D70">
      <w:pPr>
        <w:pStyle w:val="2"/>
        <w:spacing w:line="118" w:lineRule="exact"/>
        <w:rPr>
          <w:sz w:val="10"/>
        </w:rPr>
      </w:pPr>
    </w:p>
    <w:p w14:paraId="52CCC28E">
      <w:pPr>
        <w:spacing w:line="118" w:lineRule="exact"/>
        <w:rPr>
          <w:sz w:val="10"/>
          <w:szCs w:val="10"/>
        </w:rPr>
        <w:sectPr>
          <w:footerReference r:id="rId62" w:type="default"/>
          <w:pgSz w:w="11906" w:h="16839"/>
          <w:pgMar w:top="1270" w:right="1266" w:bottom="1263" w:left="1265" w:header="0" w:footer="1097" w:gutter="0"/>
          <w:cols w:space="720" w:num="1"/>
        </w:sectPr>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6184642B">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4305" w:hRule="atLeast"/>
        </w:trPr>
        <w:tc>
          <w:tcPr>
            <w:tcW w:w="471" w:type="dxa"/>
            <w:tcBorders>
              <w:bottom w:val="single" w:color="000000" w:sz="2" w:space="0"/>
              <w:right w:val="single" w:color="000000" w:sz="2" w:space="0"/>
            </w:tcBorders>
            <w:vAlign w:val="top"/>
          </w:tcPr>
          <w:p w14:paraId="1EDD0951">
            <w:pPr>
              <w:rPr>
                <w:rFonts w:ascii="Arial"/>
                <w:sz w:val="21"/>
              </w:rPr>
            </w:pPr>
          </w:p>
        </w:tc>
        <w:tc>
          <w:tcPr>
            <w:tcW w:w="8877" w:type="dxa"/>
            <w:tcBorders>
              <w:left w:val="single" w:color="000000" w:sz="2" w:space="0"/>
              <w:bottom w:val="single" w:color="000000" w:sz="2" w:space="0"/>
            </w:tcBorders>
            <w:vAlign w:val="top"/>
          </w:tcPr>
          <w:p w14:paraId="518B1EBC">
            <w:pPr>
              <w:pStyle w:val="6"/>
              <w:spacing w:before="101" w:line="219" w:lineRule="auto"/>
              <w:ind w:left="103"/>
            </w:pPr>
            <w:r>
              <w:rPr>
                <w:spacing w:val="-2"/>
              </w:rPr>
              <w:t>地下水资源。</w:t>
            </w:r>
          </w:p>
          <w:p w14:paraId="7425703F">
            <w:pPr>
              <w:pStyle w:val="6"/>
              <w:spacing w:before="182" w:line="220" w:lineRule="auto"/>
              <w:ind w:left="582"/>
            </w:pPr>
            <w:r>
              <w:rPr>
                <w:b/>
                <w:bCs/>
                <w:spacing w:val="-4"/>
              </w:rPr>
              <w:t>4、生态环境</w:t>
            </w:r>
          </w:p>
          <w:p w14:paraId="24EC32F7">
            <w:pPr>
              <w:pStyle w:val="6"/>
              <w:spacing w:before="181" w:line="347" w:lineRule="auto"/>
              <w:ind w:left="124" w:right="216" w:firstLine="459"/>
            </w:pPr>
            <w:r>
              <w:rPr>
                <w:spacing w:val="-3"/>
              </w:rPr>
              <w:t>本项目租用现有林甸兴海肉业有限公司空地进行建设，为工业用地，且用地范</w:t>
            </w:r>
            <w:r>
              <w:rPr>
                <w:spacing w:val="1"/>
              </w:rPr>
              <w:t xml:space="preserve"> </w:t>
            </w:r>
            <w:r>
              <w:rPr>
                <w:spacing w:val="-3"/>
              </w:rPr>
              <w:t>围内不涉及生态环境敏感区。</w:t>
            </w:r>
          </w:p>
        </w:tc>
      </w:tr>
      <w:tr w14:paraId="6939BAFA">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9854" w:hRule="atLeast"/>
        </w:trPr>
        <w:tc>
          <w:tcPr>
            <w:tcW w:w="471" w:type="dxa"/>
            <w:tcBorders>
              <w:top w:val="single" w:color="000000" w:sz="2" w:space="0"/>
              <w:right w:val="single" w:color="000000" w:sz="2" w:space="0"/>
            </w:tcBorders>
            <w:textDirection w:val="tbRlV"/>
            <w:vAlign w:val="top"/>
          </w:tcPr>
          <w:p w14:paraId="3AE6B9AC">
            <w:pPr>
              <w:pStyle w:val="6"/>
              <w:spacing w:before="117" w:line="209" w:lineRule="auto"/>
              <w:ind w:left="2937"/>
            </w:pPr>
            <w:r>
              <w:rPr>
                <w:spacing w:val="-1"/>
              </w:rPr>
              <w:t>污</w:t>
            </w:r>
            <w:r>
              <w:rPr>
                <w:spacing w:val="114"/>
              </w:rPr>
              <w:t xml:space="preserve"> </w:t>
            </w:r>
            <w:r>
              <w:rPr>
                <w:spacing w:val="-1"/>
              </w:rPr>
              <w:t>染</w:t>
            </w:r>
            <w:r>
              <w:rPr>
                <w:spacing w:val="108"/>
              </w:rPr>
              <w:t xml:space="preserve"> </w:t>
            </w:r>
            <w:r>
              <w:rPr>
                <w:spacing w:val="-1"/>
              </w:rPr>
              <w:t>物</w:t>
            </w:r>
            <w:r>
              <w:rPr>
                <w:spacing w:val="108"/>
              </w:rPr>
              <w:t xml:space="preserve"> </w:t>
            </w:r>
            <w:r>
              <w:rPr>
                <w:spacing w:val="-1"/>
              </w:rPr>
              <w:t>排</w:t>
            </w:r>
            <w:r>
              <w:rPr>
                <w:spacing w:val="109"/>
              </w:rPr>
              <w:t xml:space="preserve"> </w:t>
            </w:r>
            <w:r>
              <w:rPr>
                <w:spacing w:val="-1"/>
              </w:rPr>
              <w:t>放</w:t>
            </w:r>
            <w:r>
              <w:rPr>
                <w:spacing w:val="108"/>
              </w:rPr>
              <w:t xml:space="preserve"> </w:t>
            </w:r>
            <w:r>
              <w:rPr>
                <w:spacing w:val="-1"/>
              </w:rPr>
              <w:t>控</w:t>
            </w:r>
            <w:r>
              <w:rPr>
                <w:spacing w:val="108"/>
              </w:rPr>
              <w:t xml:space="preserve"> </w:t>
            </w:r>
            <w:r>
              <w:rPr>
                <w:spacing w:val="-1"/>
              </w:rPr>
              <w:t>制</w:t>
            </w:r>
            <w:r>
              <w:rPr>
                <w:spacing w:val="108"/>
              </w:rPr>
              <w:t xml:space="preserve"> </w:t>
            </w:r>
            <w:r>
              <w:rPr>
                <w:spacing w:val="-1"/>
              </w:rPr>
              <w:t>标</w:t>
            </w:r>
            <w:r>
              <w:rPr>
                <w:spacing w:val="108"/>
              </w:rPr>
              <w:t xml:space="preserve"> </w:t>
            </w:r>
            <w:r>
              <w:rPr>
                <w:spacing w:val="-1"/>
              </w:rPr>
              <w:t>准</w:t>
            </w:r>
          </w:p>
        </w:tc>
        <w:tc>
          <w:tcPr>
            <w:tcW w:w="8877" w:type="dxa"/>
            <w:tcBorders>
              <w:top w:val="single" w:color="000000" w:sz="2" w:space="0"/>
              <w:left w:val="single" w:color="000000" w:sz="2" w:space="0"/>
            </w:tcBorders>
            <w:vAlign w:val="top"/>
          </w:tcPr>
          <w:p w14:paraId="458A2AED">
            <w:pPr>
              <w:pStyle w:val="6"/>
              <w:spacing w:before="122" w:line="220" w:lineRule="auto"/>
              <w:ind w:left="602"/>
            </w:pPr>
            <w:r>
              <w:rPr>
                <w:rFonts w:ascii="Times New Roman" w:hAnsi="Times New Roman" w:eastAsia="Times New Roman" w:cs="Times New Roman"/>
                <w:spacing w:val="-14"/>
              </w:rPr>
              <w:t>1</w:t>
            </w:r>
            <w:r>
              <w:rPr>
                <w:rFonts w:ascii="Times New Roman" w:hAnsi="Times New Roman" w:eastAsia="Times New Roman" w:cs="Times New Roman"/>
                <w:spacing w:val="-34"/>
              </w:rPr>
              <w:t xml:space="preserve"> </w:t>
            </w:r>
            <w:r>
              <w:rPr>
                <w:spacing w:val="-14"/>
              </w:rPr>
              <w:t>、废气</w:t>
            </w:r>
          </w:p>
          <w:p w14:paraId="3E13D8AB">
            <w:pPr>
              <w:pStyle w:val="6"/>
              <w:spacing w:before="101" w:line="355" w:lineRule="auto"/>
              <w:ind w:left="95" w:firstLine="487"/>
            </w:pPr>
            <w:r>
              <w:rPr>
                <w:spacing w:val="-1"/>
              </w:rPr>
              <w:t>本项目施工期颗粒物和生产过程排放的颗粒物、非甲烷总烃执行《大气污染物</w:t>
            </w:r>
            <w:r>
              <w:rPr>
                <w:spacing w:val="7"/>
              </w:rPr>
              <w:t xml:space="preserve">  </w:t>
            </w:r>
            <w:r>
              <w:t>综合排放标准》（</w:t>
            </w:r>
            <w:r>
              <w:rPr>
                <w:rFonts w:ascii="Times New Roman" w:hAnsi="Times New Roman" w:eastAsia="Times New Roman" w:cs="Times New Roman"/>
              </w:rPr>
              <w:t>GB16297-1996</w:t>
            </w:r>
            <w:r>
              <w:t xml:space="preserve">）表 </w:t>
            </w:r>
            <w:r>
              <w:rPr>
                <w:rFonts w:ascii="Times New Roman" w:hAnsi="Times New Roman" w:eastAsia="Times New Roman" w:cs="Times New Roman"/>
              </w:rPr>
              <w:t xml:space="preserve">2  </w:t>
            </w:r>
            <w:r>
              <w:t>新污染源大</w:t>
            </w:r>
            <w:r>
              <w:rPr>
                <w:spacing w:val="-1"/>
              </w:rPr>
              <w:t>气污染物排放限值中二级标准</w:t>
            </w:r>
            <w:r>
              <w:t xml:space="preserve">  </w:t>
            </w:r>
            <w:r>
              <w:rPr>
                <w:spacing w:val="-3"/>
              </w:rPr>
              <w:t>排放限值要求；无组织排放的颗粒物、非甲烷总烃执行《大气污染物综合排</w:t>
            </w:r>
            <w:r>
              <w:rPr>
                <w:spacing w:val="-4"/>
              </w:rPr>
              <w:t>放标准》</w:t>
            </w:r>
            <w:r>
              <w:t xml:space="preserve"> </w:t>
            </w:r>
            <w:r>
              <w:rPr>
                <w:spacing w:val="-1"/>
              </w:rPr>
              <w:t>（</w:t>
            </w:r>
            <w:r>
              <w:rPr>
                <w:rFonts w:ascii="Times New Roman" w:hAnsi="Times New Roman" w:eastAsia="Times New Roman" w:cs="Times New Roman"/>
                <w:spacing w:val="-1"/>
              </w:rPr>
              <w:t>GB16297-1996</w:t>
            </w:r>
            <w:r>
              <w:rPr>
                <w:spacing w:val="-1"/>
              </w:rPr>
              <w:t xml:space="preserve">）表 </w:t>
            </w:r>
            <w:r>
              <w:rPr>
                <w:rFonts w:ascii="Times New Roman" w:hAnsi="Times New Roman" w:eastAsia="Times New Roman" w:cs="Times New Roman"/>
                <w:spacing w:val="-1"/>
              </w:rPr>
              <w:t xml:space="preserve">2  </w:t>
            </w:r>
            <w:r>
              <w:rPr>
                <w:spacing w:val="-1"/>
              </w:rPr>
              <w:t>新污染源大气污染物排放限值中无组织排放监控浓</w:t>
            </w:r>
            <w:r>
              <w:rPr>
                <w:spacing w:val="-2"/>
              </w:rPr>
              <w:t>度限值；</w:t>
            </w:r>
            <w:r>
              <w:t xml:space="preserve"> </w:t>
            </w:r>
            <w:r>
              <w:rPr>
                <w:spacing w:val="-1"/>
              </w:rPr>
              <w:t>厂址内非甲烷总烃执行《挥发性有机物无组织排放控制标准》（</w:t>
            </w:r>
            <w:r>
              <w:rPr>
                <w:rFonts w:ascii="Times New Roman" w:hAnsi="Times New Roman" w:eastAsia="Times New Roman" w:cs="Times New Roman"/>
                <w:spacing w:val="-1"/>
              </w:rPr>
              <w:t>GB37822-2019</w:t>
            </w:r>
            <w:r>
              <w:rPr>
                <w:spacing w:val="-1"/>
              </w:rPr>
              <w:t>）表</w:t>
            </w:r>
            <w:r>
              <w:rPr>
                <w:spacing w:val="4"/>
              </w:rPr>
              <w:t xml:space="preserve">  </w:t>
            </w:r>
            <w:r>
              <w:rPr>
                <w:rFonts w:ascii="Times New Roman" w:hAnsi="Times New Roman" w:eastAsia="Times New Roman" w:cs="Times New Roman"/>
                <w:spacing w:val="-1"/>
              </w:rPr>
              <w:t xml:space="preserve">A.1 </w:t>
            </w:r>
            <w:r>
              <w:rPr>
                <w:spacing w:val="-1"/>
              </w:rPr>
              <w:t>排放标准限值。具体标准值见下表。</w:t>
            </w:r>
          </w:p>
          <w:p w14:paraId="3E0629FA">
            <w:pPr>
              <w:pStyle w:val="6"/>
              <w:spacing w:before="32" w:line="213" w:lineRule="auto"/>
              <w:ind w:left="2502"/>
            </w:pPr>
            <w:r>
              <w:rPr>
                <w:b/>
                <w:bCs/>
                <w:spacing w:val="-2"/>
              </w:rPr>
              <w:t>表</w:t>
            </w:r>
            <w:r>
              <w:rPr>
                <w:spacing w:val="-41"/>
              </w:rPr>
              <w:t xml:space="preserve"> </w:t>
            </w:r>
            <w:r>
              <w:rPr>
                <w:rFonts w:ascii="Times New Roman" w:hAnsi="Times New Roman" w:eastAsia="Times New Roman" w:cs="Times New Roman"/>
                <w:b/>
                <w:bCs/>
                <w:spacing w:val="-2"/>
              </w:rPr>
              <w:t xml:space="preserve">3-8          </w:t>
            </w:r>
            <w:r>
              <w:rPr>
                <w:b/>
                <w:bCs/>
                <w:spacing w:val="-2"/>
              </w:rPr>
              <w:t>大气污染物综合排放标准</w:t>
            </w:r>
          </w:p>
          <w:tbl>
            <w:tblPr>
              <w:tblStyle w:val="5"/>
              <w:tblW w:w="8669"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3"/>
              <w:gridCol w:w="1210"/>
              <w:gridCol w:w="1812"/>
              <w:gridCol w:w="1215"/>
              <w:gridCol w:w="818"/>
              <w:gridCol w:w="1806"/>
              <w:gridCol w:w="995"/>
            </w:tblGrid>
            <w:tr w14:paraId="58A44F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9" w:hRule="atLeast"/>
              </w:trPr>
              <w:tc>
                <w:tcPr>
                  <w:tcW w:w="2023" w:type="dxa"/>
                  <w:gridSpan w:val="2"/>
                  <w:vMerge w:val="restart"/>
                  <w:tcBorders>
                    <w:top w:val="single" w:color="000000" w:sz="10" w:space="0"/>
                    <w:left w:val="nil"/>
                    <w:bottom w:val="nil"/>
                  </w:tcBorders>
                  <w:vAlign w:val="top"/>
                </w:tcPr>
                <w:p w14:paraId="14B76DFF">
                  <w:pPr>
                    <w:spacing w:line="306" w:lineRule="auto"/>
                    <w:rPr>
                      <w:rFonts w:ascii="Arial"/>
                      <w:sz w:val="21"/>
                    </w:rPr>
                  </w:pPr>
                </w:p>
                <w:p w14:paraId="198D4664">
                  <w:pPr>
                    <w:pStyle w:val="6"/>
                    <w:spacing w:before="65" w:line="228" w:lineRule="auto"/>
                    <w:ind w:left="705"/>
                    <w:rPr>
                      <w:sz w:val="20"/>
                      <w:szCs w:val="20"/>
                    </w:rPr>
                  </w:pPr>
                  <w:r>
                    <w:rPr>
                      <w:b/>
                      <w:bCs/>
                      <w:spacing w:val="5"/>
                      <w:sz w:val="20"/>
                      <w:szCs w:val="20"/>
                    </w:rPr>
                    <w:t>污染物</w:t>
                  </w:r>
                </w:p>
              </w:tc>
              <w:tc>
                <w:tcPr>
                  <w:tcW w:w="1812" w:type="dxa"/>
                  <w:vMerge w:val="restart"/>
                  <w:tcBorders>
                    <w:top w:val="single" w:color="000000" w:sz="10" w:space="0"/>
                    <w:bottom w:val="nil"/>
                  </w:tcBorders>
                  <w:vAlign w:val="top"/>
                </w:tcPr>
                <w:p w14:paraId="065FCE3B">
                  <w:pPr>
                    <w:pStyle w:val="6"/>
                    <w:spacing w:before="216" w:line="274" w:lineRule="auto"/>
                    <w:ind w:left="802" w:right="167" w:hanging="627"/>
                    <w:rPr>
                      <w:sz w:val="20"/>
                      <w:szCs w:val="20"/>
                    </w:rPr>
                  </w:pPr>
                  <w:r>
                    <w:rPr>
                      <w:b/>
                      <w:bCs/>
                      <w:spacing w:val="6"/>
                      <w:sz w:val="20"/>
                      <w:szCs w:val="20"/>
                    </w:rPr>
                    <w:t>最高允许排放浓</w:t>
                  </w:r>
                  <w:r>
                    <w:rPr>
                      <w:spacing w:val="5"/>
                      <w:sz w:val="20"/>
                      <w:szCs w:val="20"/>
                    </w:rPr>
                    <w:t xml:space="preserve"> </w:t>
                  </w:r>
                  <w:r>
                    <w:rPr>
                      <w:b/>
                      <w:bCs/>
                      <w:spacing w:val="-1"/>
                      <w:sz w:val="20"/>
                      <w:szCs w:val="20"/>
                    </w:rPr>
                    <w:t>度</w:t>
                  </w:r>
                </w:p>
              </w:tc>
              <w:tc>
                <w:tcPr>
                  <w:tcW w:w="2033" w:type="dxa"/>
                  <w:gridSpan w:val="2"/>
                  <w:tcBorders>
                    <w:top w:val="single" w:color="000000" w:sz="10" w:space="0"/>
                  </w:tcBorders>
                  <w:vAlign w:val="top"/>
                </w:tcPr>
                <w:p w14:paraId="6E06D893">
                  <w:pPr>
                    <w:pStyle w:val="6"/>
                    <w:spacing w:before="55" w:line="228" w:lineRule="auto"/>
                    <w:ind w:left="180"/>
                    <w:rPr>
                      <w:sz w:val="20"/>
                      <w:szCs w:val="20"/>
                    </w:rPr>
                  </w:pPr>
                  <w:r>
                    <w:rPr>
                      <w:b/>
                      <w:bCs/>
                      <w:spacing w:val="7"/>
                      <w:sz w:val="20"/>
                      <w:szCs w:val="20"/>
                    </w:rPr>
                    <w:t>最高允许排放速率</w:t>
                  </w:r>
                </w:p>
              </w:tc>
              <w:tc>
                <w:tcPr>
                  <w:tcW w:w="2801" w:type="dxa"/>
                  <w:gridSpan w:val="2"/>
                  <w:tcBorders>
                    <w:top w:val="single" w:color="000000" w:sz="10" w:space="0"/>
                    <w:right w:val="nil"/>
                  </w:tcBorders>
                  <w:vAlign w:val="top"/>
                </w:tcPr>
                <w:p w14:paraId="7D6EC3D0">
                  <w:pPr>
                    <w:pStyle w:val="6"/>
                    <w:spacing w:before="55" w:line="228" w:lineRule="auto"/>
                    <w:ind w:left="249"/>
                    <w:rPr>
                      <w:sz w:val="20"/>
                      <w:szCs w:val="20"/>
                    </w:rPr>
                  </w:pPr>
                  <w:r>
                    <w:rPr>
                      <w:b/>
                      <w:bCs/>
                      <w:spacing w:val="7"/>
                      <w:sz w:val="20"/>
                      <w:szCs w:val="20"/>
                    </w:rPr>
                    <w:t>无组织排放监控浓度限值</w:t>
                  </w:r>
                </w:p>
              </w:tc>
            </w:tr>
            <w:tr w14:paraId="2ABF54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2023" w:type="dxa"/>
                  <w:gridSpan w:val="2"/>
                  <w:vMerge w:val="continue"/>
                  <w:tcBorders>
                    <w:top w:val="nil"/>
                    <w:left w:val="nil"/>
                  </w:tcBorders>
                  <w:vAlign w:val="top"/>
                </w:tcPr>
                <w:p w14:paraId="70682742">
                  <w:pPr>
                    <w:rPr>
                      <w:rFonts w:ascii="Arial"/>
                      <w:sz w:val="21"/>
                    </w:rPr>
                  </w:pPr>
                </w:p>
              </w:tc>
              <w:tc>
                <w:tcPr>
                  <w:tcW w:w="1812" w:type="dxa"/>
                  <w:vMerge w:val="continue"/>
                  <w:tcBorders>
                    <w:top w:val="nil"/>
                  </w:tcBorders>
                  <w:vAlign w:val="top"/>
                </w:tcPr>
                <w:p w14:paraId="3277C3EE">
                  <w:pPr>
                    <w:rPr>
                      <w:rFonts w:ascii="Arial"/>
                      <w:sz w:val="21"/>
                    </w:rPr>
                  </w:pPr>
                </w:p>
              </w:tc>
              <w:tc>
                <w:tcPr>
                  <w:tcW w:w="1215" w:type="dxa"/>
                  <w:vAlign w:val="top"/>
                </w:tcPr>
                <w:p w14:paraId="60BBB523">
                  <w:pPr>
                    <w:pStyle w:val="6"/>
                    <w:spacing w:before="52" w:line="259" w:lineRule="auto"/>
                    <w:ind w:left="505" w:right="182" w:hanging="313"/>
                    <w:rPr>
                      <w:sz w:val="20"/>
                      <w:szCs w:val="20"/>
                    </w:rPr>
                  </w:pPr>
                  <w:r>
                    <w:rPr>
                      <w:b/>
                      <w:bCs/>
                      <w:spacing w:val="6"/>
                      <w:sz w:val="20"/>
                      <w:szCs w:val="20"/>
                    </w:rPr>
                    <w:t>排气筒高</w:t>
                  </w:r>
                  <w:r>
                    <w:rPr>
                      <w:spacing w:val="1"/>
                      <w:sz w:val="20"/>
                      <w:szCs w:val="20"/>
                    </w:rPr>
                    <w:t xml:space="preserve"> </w:t>
                  </w:r>
                  <w:r>
                    <w:rPr>
                      <w:b/>
                      <w:bCs/>
                      <w:spacing w:val="-1"/>
                      <w:sz w:val="20"/>
                      <w:szCs w:val="20"/>
                    </w:rPr>
                    <w:t>度</w:t>
                  </w:r>
                </w:p>
              </w:tc>
              <w:tc>
                <w:tcPr>
                  <w:tcW w:w="818" w:type="dxa"/>
                  <w:vAlign w:val="top"/>
                </w:tcPr>
                <w:p w14:paraId="40EE5C8B">
                  <w:pPr>
                    <w:pStyle w:val="6"/>
                    <w:spacing w:before="209" w:line="230" w:lineRule="auto"/>
                    <w:ind w:left="207"/>
                    <w:rPr>
                      <w:sz w:val="20"/>
                      <w:szCs w:val="20"/>
                    </w:rPr>
                  </w:pPr>
                  <w:r>
                    <w:rPr>
                      <w:b/>
                      <w:bCs/>
                      <w:spacing w:val="2"/>
                      <w:sz w:val="20"/>
                      <w:szCs w:val="20"/>
                    </w:rPr>
                    <w:t>二级</w:t>
                  </w:r>
                </w:p>
              </w:tc>
              <w:tc>
                <w:tcPr>
                  <w:tcW w:w="1806" w:type="dxa"/>
                  <w:vAlign w:val="top"/>
                </w:tcPr>
                <w:p w14:paraId="452837CC">
                  <w:pPr>
                    <w:pStyle w:val="6"/>
                    <w:spacing w:before="210" w:line="228" w:lineRule="auto"/>
                    <w:ind w:left="594"/>
                    <w:rPr>
                      <w:sz w:val="20"/>
                      <w:szCs w:val="20"/>
                    </w:rPr>
                  </w:pPr>
                  <w:r>
                    <w:rPr>
                      <w:b/>
                      <w:bCs/>
                      <w:spacing w:val="5"/>
                      <w:sz w:val="20"/>
                      <w:szCs w:val="20"/>
                    </w:rPr>
                    <w:t>监控点</w:t>
                  </w:r>
                </w:p>
              </w:tc>
              <w:tc>
                <w:tcPr>
                  <w:tcW w:w="995" w:type="dxa"/>
                  <w:tcBorders>
                    <w:right w:val="nil"/>
                  </w:tcBorders>
                  <w:vAlign w:val="top"/>
                </w:tcPr>
                <w:p w14:paraId="7A2F8F8C">
                  <w:pPr>
                    <w:pStyle w:val="6"/>
                    <w:spacing w:before="210" w:line="228" w:lineRule="auto"/>
                    <w:ind w:left="292"/>
                    <w:rPr>
                      <w:sz w:val="20"/>
                      <w:szCs w:val="20"/>
                    </w:rPr>
                  </w:pPr>
                  <w:r>
                    <w:rPr>
                      <w:b/>
                      <w:bCs/>
                      <w:spacing w:val="3"/>
                      <w:sz w:val="20"/>
                      <w:szCs w:val="20"/>
                    </w:rPr>
                    <w:t>浓度</w:t>
                  </w:r>
                </w:p>
              </w:tc>
            </w:tr>
            <w:tr w14:paraId="43EB9F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813" w:type="dxa"/>
                  <w:tcBorders>
                    <w:left w:val="nil"/>
                  </w:tcBorders>
                  <w:vAlign w:val="top"/>
                </w:tcPr>
                <w:p w14:paraId="01041349">
                  <w:pPr>
                    <w:pStyle w:val="6"/>
                    <w:spacing w:before="58" w:line="256" w:lineRule="auto"/>
                    <w:ind w:left="311" w:right="196" w:hanging="108"/>
                    <w:rPr>
                      <w:sz w:val="20"/>
                      <w:szCs w:val="20"/>
                    </w:rPr>
                  </w:pPr>
                  <w:r>
                    <w:rPr>
                      <w:spacing w:val="5"/>
                      <w:sz w:val="20"/>
                      <w:szCs w:val="20"/>
                    </w:rPr>
                    <w:t>施工</w:t>
                  </w:r>
                  <w:r>
                    <w:rPr>
                      <w:sz w:val="20"/>
                      <w:szCs w:val="20"/>
                    </w:rPr>
                    <w:t xml:space="preserve"> 期</w:t>
                  </w:r>
                </w:p>
              </w:tc>
              <w:tc>
                <w:tcPr>
                  <w:tcW w:w="1210" w:type="dxa"/>
                  <w:vAlign w:val="top"/>
                </w:tcPr>
                <w:p w14:paraId="30A25881">
                  <w:pPr>
                    <w:pStyle w:val="6"/>
                    <w:spacing w:before="214" w:line="228" w:lineRule="auto"/>
                    <w:ind w:left="295"/>
                    <w:rPr>
                      <w:sz w:val="20"/>
                      <w:szCs w:val="20"/>
                    </w:rPr>
                  </w:pPr>
                  <w:r>
                    <w:rPr>
                      <w:spacing w:val="7"/>
                      <w:sz w:val="20"/>
                      <w:szCs w:val="20"/>
                    </w:rPr>
                    <w:t>颗粒物</w:t>
                  </w:r>
                </w:p>
              </w:tc>
              <w:tc>
                <w:tcPr>
                  <w:tcW w:w="1812" w:type="dxa"/>
                  <w:vAlign w:val="top"/>
                </w:tcPr>
                <w:p w14:paraId="58021383">
                  <w:pPr>
                    <w:spacing w:before="246" w:line="199" w:lineRule="auto"/>
                    <w:ind w:left="873"/>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1215" w:type="dxa"/>
                  <w:vAlign w:val="top"/>
                </w:tcPr>
                <w:p w14:paraId="59DE8367">
                  <w:pPr>
                    <w:spacing w:before="246" w:line="199" w:lineRule="auto"/>
                    <w:ind w:left="57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818" w:type="dxa"/>
                  <w:vAlign w:val="top"/>
                </w:tcPr>
                <w:p w14:paraId="664F18B8">
                  <w:pPr>
                    <w:spacing w:before="246" w:line="199" w:lineRule="auto"/>
                    <w:ind w:left="37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w:t>
                  </w:r>
                </w:p>
              </w:tc>
              <w:tc>
                <w:tcPr>
                  <w:tcW w:w="1806" w:type="dxa"/>
                  <w:vAlign w:val="top"/>
                </w:tcPr>
                <w:p w14:paraId="4A317623">
                  <w:pPr>
                    <w:pStyle w:val="6"/>
                    <w:spacing w:before="58" w:line="256" w:lineRule="auto"/>
                    <w:ind w:left="815" w:right="166" w:hanging="641"/>
                    <w:rPr>
                      <w:sz w:val="20"/>
                      <w:szCs w:val="20"/>
                    </w:rPr>
                  </w:pPr>
                  <w:r>
                    <w:rPr>
                      <w:spacing w:val="8"/>
                      <w:sz w:val="20"/>
                      <w:szCs w:val="20"/>
                    </w:rPr>
                    <w:t>周界外浓度最高</w:t>
                  </w:r>
                  <w:r>
                    <w:rPr>
                      <w:spacing w:val="2"/>
                      <w:sz w:val="20"/>
                      <w:szCs w:val="20"/>
                    </w:rPr>
                    <w:t xml:space="preserve"> </w:t>
                  </w:r>
                  <w:r>
                    <w:rPr>
                      <w:sz w:val="20"/>
                      <w:szCs w:val="20"/>
                    </w:rPr>
                    <w:t>点</w:t>
                  </w:r>
                </w:p>
              </w:tc>
              <w:tc>
                <w:tcPr>
                  <w:tcW w:w="995" w:type="dxa"/>
                  <w:tcBorders>
                    <w:right w:val="nil"/>
                  </w:tcBorders>
                  <w:vAlign w:val="top"/>
                </w:tcPr>
                <w:p w14:paraId="242FC59E">
                  <w:pPr>
                    <w:spacing w:before="90" w:line="282" w:lineRule="auto"/>
                    <w:ind w:left="466" w:right="123" w:hanging="324"/>
                    <w:rPr>
                      <w:rFonts w:ascii="Times New Roman" w:hAnsi="Times New Roman" w:eastAsia="Times New Roman" w:cs="Times New Roman"/>
                      <w:sz w:val="13"/>
                      <w:szCs w:val="13"/>
                    </w:rPr>
                  </w:pPr>
                  <w:r>
                    <w:rPr>
                      <w:rFonts w:ascii="Times New Roman" w:hAnsi="Times New Roman" w:eastAsia="Times New Roman" w:cs="Times New Roman"/>
                      <w:spacing w:val="1"/>
                      <w:sz w:val="20"/>
                      <w:szCs w:val="20"/>
                    </w:rPr>
                    <w:t>1.0</w:t>
                  </w:r>
                  <w:r>
                    <w:rPr>
                      <w:rFonts w:ascii="Times New Roman" w:hAnsi="Times New Roman" w:eastAsia="Times New Roman" w:cs="Times New Roman"/>
                      <w:sz w:val="20"/>
                      <w:szCs w:val="20"/>
                    </w:rPr>
                    <w:t>mg</w:t>
                  </w:r>
                  <w:r>
                    <w:rPr>
                      <w:rFonts w:ascii="Times New Roman" w:hAnsi="Times New Roman" w:eastAsia="Times New Roman" w:cs="Times New Roman"/>
                      <w:spacing w:val="1"/>
                      <w:sz w:val="20"/>
                      <w:szCs w:val="20"/>
                    </w:rPr>
                    <w:t>/m</w:t>
                  </w:r>
                  <w:r>
                    <w:rPr>
                      <w:rFonts w:ascii="Times New Roman" w:hAnsi="Times New Roman" w:eastAsia="Times New Roman" w:cs="Times New Roman"/>
                      <w:spacing w:val="3"/>
                      <w:sz w:val="20"/>
                      <w:szCs w:val="20"/>
                    </w:rPr>
                    <w:t xml:space="preserve"> </w:t>
                  </w:r>
                  <w:r>
                    <w:rPr>
                      <w:rFonts w:ascii="Times New Roman" w:hAnsi="Times New Roman" w:eastAsia="Times New Roman" w:cs="Times New Roman"/>
                      <w:sz w:val="13"/>
                      <w:szCs w:val="13"/>
                    </w:rPr>
                    <w:t>3</w:t>
                  </w:r>
                </w:p>
              </w:tc>
            </w:tr>
            <w:tr w14:paraId="6722B2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3" w:hRule="atLeast"/>
              </w:trPr>
              <w:tc>
                <w:tcPr>
                  <w:tcW w:w="813" w:type="dxa"/>
                  <w:vMerge w:val="restart"/>
                  <w:tcBorders>
                    <w:left w:val="nil"/>
                    <w:bottom w:val="nil"/>
                  </w:tcBorders>
                  <w:vAlign w:val="top"/>
                </w:tcPr>
                <w:p w14:paraId="11B4CB29">
                  <w:pPr>
                    <w:spacing w:line="313" w:lineRule="auto"/>
                    <w:rPr>
                      <w:rFonts w:ascii="Arial"/>
                      <w:sz w:val="21"/>
                    </w:rPr>
                  </w:pPr>
                </w:p>
                <w:p w14:paraId="3D6AB282">
                  <w:pPr>
                    <w:pStyle w:val="6"/>
                    <w:spacing w:before="65" w:line="274" w:lineRule="auto"/>
                    <w:ind w:left="312" w:right="196" w:hanging="108"/>
                    <w:rPr>
                      <w:sz w:val="20"/>
                      <w:szCs w:val="20"/>
                    </w:rPr>
                  </w:pPr>
                  <w:r>
                    <w:rPr>
                      <w:spacing w:val="4"/>
                      <w:sz w:val="20"/>
                      <w:szCs w:val="20"/>
                    </w:rPr>
                    <w:t>运营</w:t>
                  </w:r>
                  <w:r>
                    <w:rPr>
                      <w:sz w:val="20"/>
                      <w:szCs w:val="20"/>
                    </w:rPr>
                    <w:t xml:space="preserve"> 期</w:t>
                  </w:r>
                </w:p>
              </w:tc>
              <w:tc>
                <w:tcPr>
                  <w:tcW w:w="1210" w:type="dxa"/>
                  <w:vAlign w:val="top"/>
                </w:tcPr>
                <w:p w14:paraId="6A96D43C">
                  <w:pPr>
                    <w:pStyle w:val="6"/>
                    <w:spacing w:before="220" w:line="228" w:lineRule="auto"/>
                    <w:ind w:left="295"/>
                    <w:rPr>
                      <w:sz w:val="20"/>
                      <w:szCs w:val="20"/>
                    </w:rPr>
                  </w:pPr>
                  <w:r>
                    <w:rPr>
                      <w:spacing w:val="7"/>
                      <w:sz w:val="20"/>
                      <w:szCs w:val="20"/>
                    </w:rPr>
                    <w:t>颗粒物</w:t>
                  </w:r>
                </w:p>
              </w:tc>
              <w:tc>
                <w:tcPr>
                  <w:tcW w:w="1812" w:type="dxa"/>
                  <w:vAlign w:val="top"/>
                </w:tcPr>
                <w:p w14:paraId="4D5867EC">
                  <w:pPr>
                    <w:spacing w:before="235" w:line="218" w:lineRule="auto"/>
                    <w:ind w:left="489"/>
                    <w:rPr>
                      <w:rFonts w:ascii="Times New Roman" w:hAnsi="Times New Roman" w:eastAsia="Times New Roman" w:cs="Times New Roman"/>
                      <w:sz w:val="13"/>
                      <w:szCs w:val="13"/>
                    </w:rPr>
                  </w:pPr>
                  <w:r>
                    <w:rPr>
                      <w:rFonts w:ascii="Times New Roman" w:hAnsi="Times New Roman" w:eastAsia="Times New Roman" w:cs="Times New Roman"/>
                      <w:spacing w:val="3"/>
                      <w:sz w:val="20"/>
                      <w:szCs w:val="20"/>
                    </w:rPr>
                    <w:t>120</w:t>
                  </w:r>
                  <w:r>
                    <w:rPr>
                      <w:rFonts w:ascii="Times New Roman" w:hAnsi="Times New Roman" w:eastAsia="Times New Roman" w:cs="Times New Roman"/>
                      <w:sz w:val="20"/>
                      <w:szCs w:val="20"/>
                    </w:rPr>
                    <w:t>mg</w:t>
                  </w:r>
                  <w:r>
                    <w:rPr>
                      <w:rFonts w:ascii="Times New Roman" w:hAnsi="Times New Roman" w:eastAsia="Times New Roman" w:cs="Times New Roman"/>
                      <w:spacing w:val="3"/>
                      <w:sz w:val="20"/>
                      <w:szCs w:val="20"/>
                    </w:rPr>
                    <w:t>/m</w:t>
                  </w:r>
                  <w:r>
                    <w:rPr>
                      <w:rFonts w:ascii="Times New Roman" w:hAnsi="Times New Roman" w:eastAsia="Times New Roman" w:cs="Times New Roman"/>
                      <w:spacing w:val="3"/>
                      <w:position w:val="6"/>
                      <w:sz w:val="13"/>
                      <w:szCs w:val="13"/>
                    </w:rPr>
                    <w:t>3</w:t>
                  </w:r>
                </w:p>
              </w:tc>
              <w:tc>
                <w:tcPr>
                  <w:tcW w:w="1215" w:type="dxa"/>
                  <w:vAlign w:val="top"/>
                </w:tcPr>
                <w:p w14:paraId="1B0F3A7B">
                  <w:pPr>
                    <w:spacing w:before="255" w:line="195" w:lineRule="auto"/>
                    <w:ind w:left="44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15m</w:t>
                  </w:r>
                </w:p>
              </w:tc>
              <w:tc>
                <w:tcPr>
                  <w:tcW w:w="818" w:type="dxa"/>
                  <w:vAlign w:val="top"/>
                </w:tcPr>
                <w:p w14:paraId="646EABDA">
                  <w:pPr>
                    <w:spacing w:before="95" w:line="270" w:lineRule="auto"/>
                    <w:ind w:left="355" w:right="143" w:hanging="20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3.5</w:t>
                  </w:r>
                  <w:r>
                    <w:rPr>
                      <w:rFonts w:ascii="Times New Roman" w:hAnsi="Times New Roman" w:eastAsia="Times New Roman" w:cs="Times New Roman"/>
                      <w:sz w:val="20"/>
                      <w:szCs w:val="20"/>
                    </w:rPr>
                    <w:t>kg</w:t>
                  </w:r>
                  <w:r>
                    <w:rPr>
                      <w:rFonts w:ascii="Times New Roman" w:hAnsi="Times New Roman" w:eastAsia="Times New Roman" w:cs="Times New Roman"/>
                      <w:spacing w:val="3"/>
                      <w:sz w:val="20"/>
                      <w:szCs w:val="20"/>
                    </w:rPr>
                    <w:t>/</w:t>
                  </w:r>
                  <w:r>
                    <w:rPr>
                      <w:rFonts w:ascii="Times New Roman" w:hAnsi="Times New Roman" w:eastAsia="Times New Roman" w:cs="Times New Roman"/>
                      <w:spacing w:val="1"/>
                      <w:sz w:val="20"/>
                      <w:szCs w:val="20"/>
                    </w:rPr>
                    <w:t xml:space="preserve"> </w:t>
                  </w:r>
                  <w:r>
                    <w:rPr>
                      <w:rFonts w:ascii="Times New Roman" w:hAnsi="Times New Roman" w:eastAsia="Times New Roman" w:cs="Times New Roman"/>
                      <w:spacing w:val="3"/>
                      <w:sz w:val="20"/>
                      <w:szCs w:val="20"/>
                    </w:rPr>
                    <w:t>h</w:t>
                  </w:r>
                </w:p>
              </w:tc>
              <w:tc>
                <w:tcPr>
                  <w:tcW w:w="1806" w:type="dxa"/>
                  <w:vAlign w:val="top"/>
                </w:tcPr>
                <w:p w14:paraId="4B100564">
                  <w:pPr>
                    <w:pStyle w:val="6"/>
                    <w:spacing w:before="64" w:line="253" w:lineRule="auto"/>
                    <w:ind w:left="815" w:right="166" w:hanging="641"/>
                    <w:rPr>
                      <w:sz w:val="20"/>
                      <w:szCs w:val="20"/>
                    </w:rPr>
                  </w:pPr>
                  <w:r>
                    <w:rPr>
                      <w:spacing w:val="8"/>
                      <w:sz w:val="20"/>
                      <w:szCs w:val="20"/>
                    </w:rPr>
                    <w:t>周界外浓度最高</w:t>
                  </w:r>
                  <w:r>
                    <w:rPr>
                      <w:spacing w:val="2"/>
                      <w:sz w:val="20"/>
                      <w:szCs w:val="20"/>
                    </w:rPr>
                    <w:t xml:space="preserve"> </w:t>
                  </w:r>
                  <w:r>
                    <w:rPr>
                      <w:sz w:val="20"/>
                      <w:szCs w:val="20"/>
                    </w:rPr>
                    <w:t>点</w:t>
                  </w:r>
                </w:p>
              </w:tc>
              <w:tc>
                <w:tcPr>
                  <w:tcW w:w="995" w:type="dxa"/>
                  <w:tcBorders>
                    <w:right w:val="nil"/>
                  </w:tcBorders>
                  <w:vAlign w:val="top"/>
                </w:tcPr>
                <w:p w14:paraId="126F1D6F">
                  <w:pPr>
                    <w:spacing w:before="95" w:line="282" w:lineRule="auto"/>
                    <w:ind w:left="466" w:right="123" w:hanging="324"/>
                    <w:rPr>
                      <w:rFonts w:ascii="Times New Roman" w:hAnsi="Times New Roman" w:eastAsia="Times New Roman" w:cs="Times New Roman"/>
                      <w:sz w:val="13"/>
                      <w:szCs w:val="13"/>
                    </w:rPr>
                  </w:pPr>
                  <w:r>
                    <w:rPr>
                      <w:rFonts w:ascii="Times New Roman" w:hAnsi="Times New Roman" w:eastAsia="Times New Roman" w:cs="Times New Roman"/>
                      <w:spacing w:val="1"/>
                      <w:sz w:val="20"/>
                      <w:szCs w:val="20"/>
                    </w:rPr>
                    <w:t>1.0</w:t>
                  </w:r>
                  <w:r>
                    <w:rPr>
                      <w:rFonts w:ascii="Times New Roman" w:hAnsi="Times New Roman" w:eastAsia="Times New Roman" w:cs="Times New Roman"/>
                      <w:sz w:val="20"/>
                      <w:szCs w:val="20"/>
                    </w:rPr>
                    <w:t>mg</w:t>
                  </w:r>
                  <w:r>
                    <w:rPr>
                      <w:rFonts w:ascii="Times New Roman" w:hAnsi="Times New Roman" w:eastAsia="Times New Roman" w:cs="Times New Roman"/>
                      <w:spacing w:val="1"/>
                      <w:sz w:val="20"/>
                      <w:szCs w:val="20"/>
                    </w:rPr>
                    <w:t>/m</w:t>
                  </w:r>
                  <w:r>
                    <w:rPr>
                      <w:rFonts w:ascii="Times New Roman" w:hAnsi="Times New Roman" w:eastAsia="Times New Roman" w:cs="Times New Roman"/>
                      <w:spacing w:val="3"/>
                      <w:sz w:val="20"/>
                      <w:szCs w:val="20"/>
                    </w:rPr>
                    <w:t xml:space="preserve"> </w:t>
                  </w:r>
                  <w:r>
                    <w:rPr>
                      <w:rFonts w:ascii="Times New Roman" w:hAnsi="Times New Roman" w:eastAsia="Times New Roman" w:cs="Times New Roman"/>
                      <w:sz w:val="13"/>
                      <w:szCs w:val="13"/>
                    </w:rPr>
                    <w:t>3</w:t>
                  </w:r>
                </w:p>
              </w:tc>
            </w:tr>
            <w:tr w14:paraId="160375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813" w:type="dxa"/>
                  <w:vMerge w:val="continue"/>
                  <w:tcBorders>
                    <w:top w:val="nil"/>
                    <w:left w:val="nil"/>
                    <w:bottom w:val="single" w:color="000000" w:sz="10" w:space="0"/>
                  </w:tcBorders>
                  <w:vAlign w:val="top"/>
                </w:tcPr>
                <w:p w14:paraId="53E63E99">
                  <w:pPr>
                    <w:rPr>
                      <w:rFonts w:ascii="Arial"/>
                      <w:sz w:val="21"/>
                    </w:rPr>
                  </w:pPr>
                </w:p>
              </w:tc>
              <w:tc>
                <w:tcPr>
                  <w:tcW w:w="1210" w:type="dxa"/>
                  <w:tcBorders>
                    <w:bottom w:val="single" w:color="000000" w:sz="10" w:space="0"/>
                  </w:tcBorders>
                  <w:vAlign w:val="top"/>
                </w:tcPr>
                <w:p w14:paraId="44E6BCB4">
                  <w:pPr>
                    <w:pStyle w:val="6"/>
                    <w:spacing w:before="69" w:line="262" w:lineRule="auto"/>
                    <w:ind w:left="504" w:right="184" w:hanging="311"/>
                    <w:rPr>
                      <w:sz w:val="20"/>
                      <w:szCs w:val="20"/>
                    </w:rPr>
                  </w:pPr>
                  <w:r>
                    <w:rPr>
                      <w:spacing w:val="6"/>
                      <w:sz w:val="20"/>
                      <w:szCs w:val="20"/>
                    </w:rPr>
                    <w:t>非甲烷总</w:t>
                  </w:r>
                  <w:r>
                    <w:rPr>
                      <w:spacing w:val="1"/>
                      <w:sz w:val="20"/>
                      <w:szCs w:val="20"/>
                    </w:rPr>
                    <w:t xml:space="preserve"> </w:t>
                  </w:r>
                  <w:r>
                    <w:rPr>
                      <w:sz w:val="20"/>
                      <w:szCs w:val="20"/>
                    </w:rPr>
                    <w:t>烃</w:t>
                  </w:r>
                </w:p>
              </w:tc>
              <w:tc>
                <w:tcPr>
                  <w:tcW w:w="1812" w:type="dxa"/>
                  <w:tcBorders>
                    <w:bottom w:val="single" w:color="000000" w:sz="10" w:space="0"/>
                  </w:tcBorders>
                  <w:vAlign w:val="top"/>
                </w:tcPr>
                <w:p w14:paraId="278FDEA9">
                  <w:pPr>
                    <w:spacing w:before="244" w:line="215" w:lineRule="auto"/>
                    <w:ind w:left="489"/>
                    <w:rPr>
                      <w:rFonts w:ascii="Times New Roman" w:hAnsi="Times New Roman" w:eastAsia="Times New Roman" w:cs="Times New Roman"/>
                      <w:sz w:val="13"/>
                      <w:szCs w:val="13"/>
                    </w:rPr>
                  </w:pPr>
                  <w:r>
                    <w:rPr>
                      <w:rFonts w:ascii="Times New Roman" w:hAnsi="Times New Roman" w:eastAsia="Times New Roman" w:cs="Times New Roman"/>
                      <w:spacing w:val="3"/>
                      <w:sz w:val="20"/>
                      <w:szCs w:val="20"/>
                    </w:rPr>
                    <w:t>120</w:t>
                  </w:r>
                  <w:r>
                    <w:rPr>
                      <w:rFonts w:ascii="Times New Roman" w:hAnsi="Times New Roman" w:eastAsia="Times New Roman" w:cs="Times New Roman"/>
                      <w:sz w:val="20"/>
                      <w:szCs w:val="20"/>
                    </w:rPr>
                    <w:t>mg</w:t>
                  </w:r>
                  <w:r>
                    <w:rPr>
                      <w:rFonts w:ascii="Times New Roman" w:hAnsi="Times New Roman" w:eastAsia="Times New Roman" w:cs="Times New Roman"/>
                      <w:spacing w:val="3"/>
                      <w:sz w:val="20"/>
                      <w:szCs w:val="20"/>
                    </w:rPr>
                    <w:t>/m</w:t>
                  </w:r>
                  <w:r>
                    <w:rPr>
                      <w:rFonts w:ascii="Times New Roman" w:hAnsi="Times New Roman" w:eastAsia="Times New Roman" w:cs="Times New Roman"/>
                      <w:spacing w:val="3"/>
                      <w:position w:val="6"/>
                      <w:sz w:val="13"/>
                      <w:szCs w:val="13"/>
                    </w:rPr>
                    <w:t>3</w:t>
                  </w:r>
                </w:p>
              </w:tc>
              <w:tc>
                <w:tcPr>
                  <w:tcW w:w="1215" w:type="dxa"/>
                  <w:tcBorders>
                    <w:bottom w:val="single" w:color="000000" w:sz="10" w:space="0"/>
                  </w:tcBorders>
                  <w:vAlign w:val="top"/>
                </w:tcPr>
                <w:p w14:paraId="249CA966">
                  <w:pPr>
                    <w:spacing w:before="261" w:line="195" w:lineRule="auto"/>
                    <w:ind w:left="44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15m</w:t>
                  </w:r>
                </w:p>
              </w:tc>
              <w:tc>
                <w:tcPr>
                  <w:tcW w:w="818" w:type="dxa"/>
                  <w:tcBorders>
                    <w:bottom w:val="single" w:color="000000" w:sz="10" w:space="0"/>
                  </w:tcBorders>
                  <w:vAlign w:val="top"/>
                </w:tcPr>
                <w:p w14:paraId="520B8BEB">
                  <w:pPr>
                    <w:spacing w:before="257" w:line="201" w:lineRule="auto"/>
                    <w:ind w:left="138"/>
                    <w:rPr>
                      <w:rFonts w:ascii="Times New Roman" w:hAnsi="Times New Roman" w:eastAsia="Times New Roman" w:cs="Times New Roman"/>
                      <w:sz w:val="20"/>
                      <w:szCs w:val="20"/>
                    </w:rPr>
                  </w:pPr>
                  <w:r>
                    <w:rPr>
                      <w:rFonts w:ascii="Times New Roman" w:hAnsi="Times New Roman" w:eastAsia="Times New Roman" w:cs="Times New Roman"/>
                      <w:sz w:val="20"/>
                      <w:szCs w:val="20"/>
                    </w:rPr>
                    <w:t>10kg/h</w:t>
                  </w:r>
                </w:p>
              </w:tc>
              <w:tc>
                <w:tcPr>
                  <w:tcW w:w="1806" w:type="dxa"/>
                  <w:tcBorders>
                    <w:bottom w:val="single" w:color="000000" w:sz="10" w:space="0"/>
                  </w:tcBorders>
                  <w:vAlign w:val="top"/>
                </w:tcPr>
                <w:p w14:paraId="6A5F83BD">
                  <w:pPr>
                    <w:pStyle w:val="6"/>
                    <w:spacing w:before="69" w:line="262" w:lineRule="auto"/>
                    <w:ind w:left="815" w:right="166" w:hanging="641"/>
                    <w:rPr>
                      <w:sz w:val="20"/>
                      <w:szCs w:val="20"/>
                    </w:rPr>
                  </w:pPr>
                  <w:r>
                    <w:rPr>
                      <w:spacing w:val="8"/>
                      <w:sz w:val="20"/>
                      <w:szCs w:val="20"/>
                    </w:rPr>
                    <w:t>周界外浓度最高</w:t>
                  </w:r>
                  <w:r>
                    <w:rPr>
                      <w:spacing w:val="2"/>
                      <w:sz w:val="20"/>
                      <w:szCs w:val="20"/>
                    </w:rPr>
                    <w:t xml:space="preserve"> </w:t>
                  </w:r>
                  <w:r>
                    <w:rPr>
                      <w:sz w:val="20"/>
                      <w:szCs w:val="20"/>
                    </w:rPr>
                    <w:t>点</w:t>
                  </w:r>
                </w:p>
              </w:tc>
              <w:tc>
                <w:tcPr>
                  <w:tcW w:w="995" w:type="dxa"/>
                  <w:tcBorders>
                    <w:bottom w:val="single" w:color="000000" w:sz="10" w:space="0"/>
                    <w:right w:val="nil"/>
                  </w:tcBorders>
                  <w:vAlign w:val="top"/>
                </w:tcPr>
                <w:p w14:paraId="7FB90DDD">
                  <w:pPr>
                    <w:spacing w:before="101" w:line="284" w:lineRule="auto"/>
                    <w:ind w:left="466" w:right="123" w:hanging="345"/>
                    <w:rPr>
                      <w:rFonts w:ascii="Times New Roman" w:hAnsi="Times New Roman" w:eastAsia="Times New Roman" w:cs="Times New Roman"/>
                      <w:sz w:val="13"/>
                      <w:szCs w:val="13"/>
                    </w:rPr>
                  </w:pPr>
                  <w:r>
                    <w:rPr>
                      <w:rFonts w:ascii="Times New Roman" w:hAnsi="Times New Roman" w:eastAsia="Times New Roman" w:cs="Times New Roman"/>
                      <w:spacing w:val="6"/>
                      <w:sz w:val="20"/>
                      <w:szCs w:val="20"/>
                    </w:rPr>
                    <w:t>4.0</w:t>
                  </w:r>
                  <w:r>
                    <w:rPr>
                      <w:rFonts w:ascii="Times New Roman" w:hAnsi="Times New Roman" w:eastAsia="Times New Roman" w:cs="Times New Roman"/>
                      <w:sz w:val="20"/>
                      <w:szCs w:val="20"/>
                    </w:rPr>
                    <w:t>mg</w:t>
                  </w:r>
                  <w:r>
                    <w:rPr>
                      <w:rFonts w:ascii="Times New Roman" w:hAnsi="Times New Roman" w:eastAsia="Times New Roman" w:cs="Times New Roman"/>
                      <w:spacing w:val="6"/>
                      <w:sz w:val="20"/>
                      <w:szCs w:val="20"/>
                    </w:rPr>
                    <w:t>/m</w:t>
                  </w:r>
                  <w:r>
                    <w:rPr>
                      <w:rFonts w:ascii="Times New Roman" w:hAnsi="Times New Roman" w:eastAsia="Times New Roman" w:cs="Times New Roman"/>
                      <w:sz w:val="20"/>
                      <w:szCs w:val="20"/>
                    </w:rPr>
                    <w:t xml:space="preserve"> </w:t>
                  </w:r>
                  <w:r>
                    <w:rPr>
                      <w:rFonts w:ascii="Times New Roman" w:hAnsi="Times New Roman" w:eastAsia="Times New Roman" w:cs="Times New Roman"/>
                      <w:sz w:val="13"/>
                      <w:szCs w:val="13"/>
                    </w:rPr>
                    <w:t>3</w:t>
                  </w:r>
                </w:p>
              </w:tc>
            </w:tr>
          </w:tbl>
          <w:p w14:paraId="3CB9EDEF">
            <w:pPr>
              <w:pStyle w:val="6"/>
              <w:spacing w:before="113" w:line="347" w:lineRule="auto"/>
              <w:ind w:left="114" w:firstLine="469"/>
            </w:pPr>
            <w:r>
              <w:rPr>
                <w:spacing w:val="-4"/>
              </w:rPr>
              <w:t>无组织非甲烷总烃厂房外（厂区内）执行《挥发性有机物无组织排放控制标准》</w:t>
            </w:r>
            <w:r>
              <w:rPr>
                <w:spacing w:val="16"/>
              </w:rPr>
              <w:t xml:space="preserve"> </w:t>
            </w:r>
            <w:r>
              <w:rPr>
                <w:spacing w:val="-1"/>
              </w:rPr>
              <w:t>（</w:t>
            </w:r>
            <w:r>
              <w:rPr>
                <w:rFonts w:ascii="Times New Roman" w:hAnsi="Times New Roman" w:eastAsia="Times New Roman" w:cs="Times New Roman"/>
                <w:spacing w:val="-1"/>
              </w:rPr>
              <w:t>GB37822-2019</w:t>
            </w:r>
            <w:r>
              <w:rPr>
                <w:spacing w:val="-1"/>
              </w:rPr>
              <w:t>）表</w:t>
            </w:r>
            <w:r>
              <w:rPr>
                <w:spacing w:val="-59"/>
              </w:rPr>
              <w:t xml:space="preserve"> </w:t>
            </w:r>
            <w:r>
              <w:rPr>
                <w:rFonts w:ascii="Times New Roman" w:hAnsi="Times New Roman" w:eastAsia="Times New Roman" w:cs="Times New Roman"/>
                <w:spacing w:val="-1"/>
              </w:rPr>
              <w:t xml:space="preserve">A.1 </w:t>
            </w:r>
            <w:r>
              <w:rPr>
                <w:spacing w:val="-1"/>
              </w:rPr>
              <w:t>排放标准</w:t>
            </w:r>
            <w:r>
              <w:rPr>
                <w:spacing w:val="-2"/>
              </w:rPr>
              <w:t>限值。</w:t>
            </w:r>
          </w:p>
          <w:p w14:paraId="252037FC">
            <w:pPr>
              <w:pStyle w:val="6"/>
              <w:spacing w:before="34" w:line="219" w:lineRule="auto"/>
              <w:ind w:left="2079"/>
            </w:pPr>
            <w:r>
              <w:rPr>
                <w:b/>
                <w:bCs/>
                <w:spacing w:val="-2"/>
              </w:rPr>
              <w:t>表</w:t>
            </w:r>
            <w:r>
              <w:rPr>
                <w:spacing w:val="-43"/>
              </w:rPr>
              <w:t xml:space="preserve"> </w:t>
            </w:r>
            <w:r>
              <w:rPr>
                <w:rFonts w:ascii="Times New Roman" w:hAnsi="Times New Roman" w:eastAsia="Times New Roman" w:cs="Times New Roman"/>
                <w:b/>
                <w:bCs/>
                <w:spacing w:val="-2"/>
              </w:rPr>
              <w:t xml:space="preserve">3-9        </w:t>
            </w:r>
            <w:r>
              <w:rPr>
                <w:b/>
                <w:bCs/>
                <w:spacing w:val="-2"/>
              </w:rPr>
              <w:t>挥发性有机物无组织排放控制标准</w:t>
            </w:r>
          </w:p>
          <w:p w14:paraId="17B278DB">
            <w:pPr>
              <w:spacing w:line="71" w:lineRule="exact"/>
            </w:pPr>
          </w:p>
          <w:tbl>
            <w:tblPr>
              <w:tblStyle w:val="5"/>
              <w:tblW w:w="8670"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19"/>
              <w:gridCol w:w="1066"/>
              <w:gridCol w:w="2087"/>
              <w:gridCol w:w="898"/>
            </w:tblGrid>
            <w:tr w14:paraId="18504D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4619" w:type="dxa"/>
                  <w:tcBorders>
                    <w:top w:val="single" w:color="000000" w:sz="10" w:space="0"/>
                    <w:left w:val="nil"/>
                  </w:tcBorders>
                  <w:vAlign w:val="top"/>
                </w:tcPr>
                <w:p w14:paraId="72CEEFC4">
                  <w:pPr>
                    <w:pStyle w:val="6"/>
                    <w:spacing w:before="210" w:line="228" w:lineRule="auto"/>
                    <w:ind w:left="1897"/>
                    <w:rPr>
                      <w:sz w:val="20"/>
                      <w:szCs w:val="20"/>
                    </w:rPr>
                  </w:pPr>
                  <w:r>
                    <w:rPr>
                      <w:b/>
                      <w:bCs/>
                      <w:spacing w:val="6"/>
                      <w:sz w:val="20"/>
                      <w:szCs w:val="20"/>
                    </w:rPr>
                    <w:t>标准名称</w:t>
                  </w:r>
                </w:p>
              </w:tc>
              <w:tc>
                <w:tcPr>
                  <w:tcW w:w="3153" w:type="dxa"/>
                  <w:gridSpan w:val="2"/>
                  <w:tcBorders>
                    <w:top w:val="single" w:color="000000" w:sz="10" w:space="0"/>
                  </w:tcBorders>
                  <w:vAlign w:val="top"/>
                </w:tcPr>
                <w:p w14:paraId="0B84097B">
                  <w:pPr>
                    <w:pStyle w:val="6"/>
                    <w:spacing w:before="210" w:line="228" w:lineRule="auto"/>
                    <w:ind w:left="1267"/>
                    <w:rPr>
                      <w:sz w:val="20"/>
                      <w:szCs w:val="20"/>
                    </w:rPr>
                  </w:pPr>
                  <w:r>
                    <w:rPr>
                      <w:b/>
                      <w:bCs/>
                      <w:spacing w:val="5"/>
                      <w:sz w:val="20"/>
                      <w:szCs w:val="20"/>
                    </w:rPr>
                    <w:t>污染物</w:t>
                  </w:r>
                </w:p>
              </w:tc>
              <w:tc>
                <w:tcPr>
                  <w:tcW w:w="898" w:type="dxa"/>
                  <w:tcBorders>
                    <w:top w:val="single" w:color="000000" w:sz="10" w:space="0"/>
                    <w:right w:val="nil"/>
                  </w:tcBorders>
                  <w:vAlign w:val="top"/>
                </w:tcPr>
                <w:p w14:paraId="7D1BCE8E">
                  <w:pPr>
                    <w:pStyle w:val="6"/>
                    <w:spacing w:before="55" w:line="262" w:lineRule="auto"/>
                    <w:ind w:left="349" w:right="133" w:hanging="211"/>
                    <w:rPr>
                      <w:sz w:val="20"/>
                      <w:szCs w:val="20"/>
                    </w:rPr>
                  </w:pPr>
                  <w:r>
                    <w:rPr>
                      <w:b/>
                      <w:bCs/>
                      <w:spacing w:val="5"/>
                      <w:sz w:val="20"/>
                      <w:szCs w:val="20"/>
                    </w:rPr>
                    <w:t>浓度限</w:t>
                  </w:r>
                  <w:r>
                    <w:rPr>
                      <w:sz w:val="20"/>
                      <w:szCs w:val="20"/>
                    </w:rPr>
                    <w:t xml:space="preserve"> </w:t>
                  </w:r>
                  <w:r>
                    <w:rPr>
                      <w:b/>
                      <w:bCs/>
                      <w:spacing w:val="-2"/>
                      <w:sz w:val="20"/>
                      <w:szCs w:val="20"/>
                    </w:rPr>
                    <w:t>值</w:t>
                  </w:r>
                </w:p>
              </w:tc>
            </w:tr>
            <w:tr w14:paraId="4C453CD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619" w:type="dxa"/>
                  <w:vMerge w:val="restart"/>
                  <w:tcBorders>
                    <w:left w:val="nil"/>
                    <w:bottom w:val="nil"/>
                  </w:tcBorders>
                  <w:vAlign w:val="top"/>
                </w:tcPr>
                <w:p w14:paraId="42A21CB6">
                  <w:pPr>
                    <w:spacing w:line="303" w:lineRule="auto"/>
                    <w:rPr>
                      <w:rFonts w:ascii="Arial"/>
                      <w:sz w:val="21"/>
                    </w:rPr>
                  </w:pPr>
                </w:p>
                <w:p w14:paraId="1AC9022A">
                  <w:pPr>
                    <w:pStyle w:val="6"/>
                    <w:spacing w:before="65" w:line="279" w:lineRule="auto"/>
                    <w:ind w:left="1894" w:right="106" w:hanging="1773"/>
                    <w:rPr>
                      <w:sz w:val="20"/>
                      <w:szCs w:val="20"/>
                    </w:rPr>
                  </w:pPr>
                  <w:r>
                    <w:rPr>
                      <w:sz w:val="20"/>
                      <w:szCs w:val="20"/>
                    </w:rPr>
                    <w:t>《挥发性有机物无组织排放控制标准》（</w:t>
                  </w:r>
                  <w:r>
                    <w:rPr>
                      <w:rFonts w:ascii="Times New Roman" w:hAnsi="Times New Roman" w:eastAsia="Times New Roman" w:cs="Times New Roman"/>
                      <w:sz w:val="20"/>
                      <w:szCs w:val="20"/>
                    </w:rPr>
                    <w:t>GB37822</w:t>
                  </w:r>
                  <w:r>
                    <w:rPr>
                      <w:rFonts w:ascii="Times New Roman" w:hAnsi="Times New Roman" w:eastAsia="Times New Roman" w:cs="Times New Roman"/>
                      <w:spacing w:val="10"/>
                      <w:sz w:val="20"/>
                      <w:szCs w:val="20"/>
                    </w:rPr>
                    <w:t xml:space="preserve"> </w:t>
                  </w:r>
                  <w:r>
                    <w:rPr>
                      <w:spacing w:val="3"/>
                      <w:sz w:val="20"/>
                      <w:szCs w:val="20"/>
                    </w:rPr>
                    <w:t>—</w:t>
                  </w:r>
                  <w:r>
                    <w:rPr>
                      <w:rFonts w:ascii="Times New Roman" w:hAnsi="Times New Roman" w:eastAsia="Times New Roman" w:cs="Times New Roman"/>
                      <w:spacing w:val="3"/>
                      <w:sz w:val="20"/>
                      <w:szCs w:val="20"/>
                    </w:rPr>
                    <w:t>2019</w:t>
                  </w:r>
                  <w:r>
                    <w:rPr>
                      <w:spacing w:val="3"/>
                      <w:sz w:val="20"/>
                      <w:szCs w:val="20"/>
                    </w:rPr>
                    <w:t>）</w:t>
                  </w:r>
                </w:p>
              </w:tc>
              <w:tc>
                <w:tcPr>
                  <w:tcW w:w="1066" w:type="dxa"/>
                  <w:vMerge w:val="restart"/>
                  <w:tcBorders>
                    <w:bottom w:val="nil"/>
                  </w:tcBorders>
                  <w:vAlign w:val="top"/>
                </w:tcPr>
                <w:p w14:paraId="6A8FE8EC">
                  <w:pPr>
                    <w:spacing w:line="301" w:lineRule="auto"/>
                    <w:rPr>
                      <w:rFonts w:ascii="Arial"/>
                      <w:sz w:val="21"/>
                    </w:rPr>
                  </w:pPr>
                </w:p>
                <w:p w14:paraId="471F83B6">
                  <w:pPr>
                    <w:pStyle w:val="6"/>
                    <w:spacing w:before="65" w:line="274" w:lineRule="auto"/>
                    <w:ind w:left="433" w:right="112" w:hanging="311"/>
                    <w:rPr>
                      <w:sz w:val="20"/>
                      <w:szCs w:val="20"/>
                    </w:rPr>
                  </w:pPr>
                  <w:r>
                    <w:rPr>
                      <w:spacing w:val="6"/>
                      <w:sz w:val="20"/>
                      <w:szCs w:val="20"/>
                    </w:rPr>
                    <w:t>非甲烷总</w:t>
                  </w:r>
                  <w:r>
                    <w:rPr>
                      <w:spacing w:val="1"/>
                      <w:sz w:val="20"/>
                      <w:szCs w:val="20"/>
                    </w:rPr>
                    <w:t xml:space="preserve"> </w:t>
                  </w:r>
                  <w:r>
                    <w:rPr>
                      <w:sz w:val="20"/>
                      <w:szCs w:val="20"/>
                    </w:rPr>
                    <w:t>烃</w:t>
                  </w:r>
                </w:p>
              </w:tc>
              <w:tc>
                <w:tcPr>
                  <w:tcW w:w="2087" w:type="dxa"/>
                  <w:vAlign w:val="top"/>
                </w:tcPr>
                <w:p w14:paraId="4B106A32">
                  <w:pPr>
                    <w:pStyle w:val="6"/>
                    <w:spacing w:before="53" w:line="261" w:lineRule="auto"/>
                    <w:ind w:left="836" w:right="149" w:hanging="679"/>
                    <w:rPr>
                      <w:sz w:val="20"/>
                      <w:szCs w:val="20"/>
                    </w:rPr>
                  </w:pPr>
                  <w:r>
                    <w:rPr>
                      <w:spacing w:val="4"/>
                      <w:sz w:val="20"/>
                      <w:szCs w:val="20"/>
                    </w:rPr>
                    <w:t>监控点处</w:t>
                  </w:r>
                  <w:r>
                    <w:rPr>
                      <w:spacing w:val="-17"/>
                      <w:sz w:val="20"/>
                      <w:szCs w:val="20"/>
                    </w:rPr>
                    <w:t xml:space="preserve"> </w:t>
                  </w:r>
                  <w:r>
                    <w:rPr>
                      <w:rFonts w:ascii="Times New Roman" w:hAnsi="Times New Roman" w:eastAsia="Times New Roman" w:cs="Times New Roman"/>
                      <w:spacing w:val="4"/>
                      <w:sz w:val="20"/>
                      <w:szCs w:val="20"/>
                    </w:rPr>
                    <w:t xml:space="preserve">1h </w:t>
                  </w:r>
                  <w:r>
                    <w:rPr>
                      <w:spacing w:val="4"/>
                      <w:sz w:val="20"/>
                      <w:szCs w:val="20"/>
                    </w:rPr>
                    <w:t>平均浓</w:t>
                  </w:r>
                  <w:r>
                    <w:rPr>
                      <w:sz w:val="20"/>
                      <w:szCs w:val="20"/>
                    </w:rPr>
                    <w:t xml:space="preserve"> </w:t>
                  </w:r>
                  <w:r>
                    <w:rPr>
                      <w:spacing w:val="5"/>
                      <w:sz w:val="20"/>
                      <w:szCs w:val="20"/>
                    </w:rPr>
                    <w:t>度值</w:t>
                  </w:r>
                </w:p>
              </w:tc>
              <w:tc>
                <w:tcPr>
                  <w:tcW w:w="898" w:type="dxa"/>
                  <w:tcBorders>
                    <w:right w:val="nil"/>
                  </w:tcBorders>
                  <w:vAlign w:val="top"/>
                </w:tcPr>
                <w:p w14:paraId="41C2E4A0">
                  <w:pPr>
                    <w:spacing w:before="84" w:line="279" w:lineRule="auto"/>
                    <w:ind w:left="333" w:right="183" w:hanging="130"/>
                    <w:rPr>
                      <w:rFonts w:ascii="Times New Roman" w:hAnsi="Times New Roman" w:eastAsia="Times New Roman" w:cs="Times New Roman"/>
                      <w:sz w:val="13"/>
                      <w:szCs w:val="13"/>
                    </w:rPr>
                  </w:pPr>
                  <w:r>
                    <w:rPr>
                      <w:rFonts w:ascii="Times New Roman" w:hAnsi="Times New Roman" w:eastAsia="Times New Roman" w:cs="Times New Roman"/>
                      <w:spacing w:val="-1"/>
                      <w:sz w:val="20"/>
                      <w:szCs w:val="20"/>
                    </w:rPr>
                    <w:t>10mg/</w:t>
                  </w:r>
                  <w:r>
                    <w:rPr>
                      <w:rFonts w:ascii="Times New Roman" w:hAnsi="Times New Roman" w:eastAsia="Times New Roman" w:cs="Times New Roman"/>
                      <w:spacing w:val="2"/>
                      <w:sz w:val="20"/>
                      <w:szCs w:val="20"/>
                    </w:rPr>
                    <w:t xml:space="preserve"> </w:t>
                  </w:r>
                  <w:r>
                    <w:rPr>
                      <w:rFonts w:ascii="Times New Roman" w:hAnsi="Times New Roman" w:eastAsia="Times New Roman" w:cs="Times New Roman"/>
                      <w:spacing w:val="4"/>
                      <w:position w:val="-3"/>
                      <w:sz w:val="20"/>
                      <w:szCs w:val="20"/>
                    </w:rPr>
                    <w:t>m</w:t>
                  </w:r>
                  <w:r>
                    <w:rPr>
                      <w:rFonts w:ascii="Times New Roman" w:hAnsi="Times New Roman" w:eastAsia="Times New Roman" w:cs="Times New Roman"/>
                      <w:spacing w:val="4"/>
                      <w:position w:val="3"/>
                      <w:sz w:val="13"/>
                      <w:szCs w:val="13"/>
                    </w:rPr>
                    <w:t>3</w:t>
                  </w:r>
                </w:p>
              </w:tc>
            </w:tr>
            <w:tr w14:paraId="43F6A7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4" w:hRule="atLeast"/>
              </w:trPr>
              <w:tc>
                <w:tcPr>
                  <w:tcW w:w="4619" w:type="dxa"/>
                  <w:vMerge w:val="continue"/>
                  <w:tcBorders>
                    <w:top w:val="nil"/>
                    <w:left w:val="nil"/>
                    <w:bottom w:val="nil"/>
                  </w:tcBorders>
                  <w:vAlign w:val="top"/>
                </w:tcPr>
                <w:p w14:paraId="1AD9C6FF">
                  <w:pPr>
                    <w:rPr>
                      <w:rFonts w:ascii="Arial"/>
                      <w:sz w:val="21"/>
                    </w:rPr>
                  </w:pPr>
                </w:p>
              </w:tc>
              <w:tc>
                <w:tcPr>
                  <w:tcW w:w="1066" w:type="dxa"/>
                  <w:vMerge w:val="continue"/>
                  <w:tcBorders>
                    <w:top w:val="nil"/>
                    <w:bottom w:val="nil"/>
                  </w:tcBorders>
                  <w:vAlign w:val="top"/>
                </w:tcPr>
                <w:p w14:paraId="7FA2D4CC">
                  <w:pPr>
                    <w:rPr>
                      <w:rFonts w:ascii="Arial"/>
                      <w:sz w:val="21"/>
                    </w:rPr>
                  </w:pPr>
                </w:p>
              </w:tc>
              <w:tc>
                <w:tcPr>
                  <w:tcW w:w="2087" w:type="dxa"/>
                  <w:tcBorders>
                    <w:bottom w:val="nil"/>
                  </w:tcBorders>
                  <w:vAlign w:val="top"/>
                </w:tcPr>
                <w:p w14:paraId="5F7878C9">
                  <w:pPr>
                    <w:pStyle w:val="6"/>
                    <w:spacing w:before="52" w:line="259" w:lineRule="auto"/>
                    <w:ind w:left="732" w:right="204" w:hanging="524"/>
                    <w:rPr>
                      <w:sz w:val="20"/>
                      <w:szCs w:val="20"/>
                    </w:rPr>
                  </w:pPr>
                  <w:r>
                    <w:rPr>
                      <w:spacing w:val="8"/>
                      <w:sz w:val="20"/>
                      <w:szCs w:val="20"/>
                    </w:rPr>
                    <w:t>监控点处任意一处</w:t>
                  </w:r>
                  <w:r>
                    <w:rPr>
                      <w:spacing w:val="3"/>
                      <w:sz w:val="20"/>
                      <w:szCs w:val="20"/>
                    </w:rPr>
                    <w:t xml:space="preserve"> </w:t>
                  </w:r>
                  <w:r>
                    <w:rPr>
                      <w:spacing w:val="6"/>
                      <w:sz w:val="20"/>
                      <w:szCs w:val="20"/>
                    </w:rPr>
                    <w:t>浓度值</w:t>
                  </w:r>
                </w:p>
              </w:tc>
              <w:tc>
                <w:tcPr>
                  <w:tcW w:w="898" w:type="dxa"/>
                  <w:tcBorders>
                    <w:bottom w:val="nil"/>
                    <w:right w:val="nil"/>
                  </w:tcBorders>
                  <w:vAlign w:val="top"/>
                </w:tcPr>
                <w:p w14:paraId="12AFBC08">
                  <w:pPr>
                    <w:spacing w:before="85" w:line="276" w:lineRule="auto"/>
                    <w:ind w:left="333" w:right="183" w:hanging="146"/>
                    <w:rPr>
                      <w:rFonts w:ascii="Times New Roman" w:hAnsi="Times New Roman" w:eastAsia="Times New Roman" w:cs="Times New Roman"/>
                      <w:sz w:val="13"/>
                      <w:szCs w:val="13"/>
                    </w:rPr>
                  </w:pPr>
                  <w:r>
                    <w:rPr>
                      <w:rFonts w:ascii="Times New Roman" w:hAnsi="Times New Roman" w:eastAsia="Times New Roman" w:cs="Times New Roman"/>
                      <w:spacing w:val="4"/>
                      <w:sz w:val="20"/>
                      <w:szCs w:val="20"/>
                    </w:rPr>
                    <w:t>30</w:t>
                  </w:r>
                  <w:r>
                    <w:rPr>
                      <w:rFonts w:ascii="Times New Roman" w:hAnsi="Times New Roman" w:eastAsia="Times New Roman" w:cs="Times New Roman"/>
                      <w:sz w:val="20"/>
                      <w:szCs w:val="20"/>
                    </w:rPr>
                    <w:t>mg</w:t>
                  </w:r>
                  <w:r>
                    <w:rPr>
                      <w:rFonts w:ascii="Times New Roman" w:hAnsi="Times New Roman" w:eastAsia="Times New Roman" w:cs="Times New Roman"/>
                      <w:spacing w:val="4"/>
                      <w:sz w:val="20"/>
                      <w:szCs w:val="20"/>
                    </w:rPr>
                    <w:t>/</w:t>
                  </w:r>
                  <w:r>
                    <w:rPr>
                      <w:rFonts w:ascii="Times New Roman" w:hAnsi="Times New Roman" w:eastAsia="Times New Roman" w:cs="Times New Roman"/>
                      <w:sz w:val="20"/>
                      <w:szCs w:val="20"/>
                    </w:rPr>
                    <w:t xml:space="preserve"> </w:t>
                  </w:r>
                  <w:r>
                    <w:rPr>
                      <w:rFonts w:ascii="Times New Roman" w:hAnsi="Times New Roman" w:eastAsia="Times New Roman" w:cs="Times New Roman"/>
                      <w:spacing w:val="4"/>
                      <w:position w:val="-3"/>
                      <w:sz w:val="20"/>
                      <w:szCs w:val="20"/>
                    </w:rPr>
                    <w:t>m</w:t>
                  </w:r>
                  <w:r>
                    <w:rPr>
                      <w:rFonts w:ascii="Times New Roman" w:hAnsi="Times New Roman" w:eastAsia="Times New Roman" w:cs="Times New Roman"/>
                      <w:spacing w:val="4"/>
                      <w:position w:val="3"/>
                      <w:sz w:val="13"/>
                      <w:szCs w:val="13"/>
                    </w:rPr>
                    <w:t>3</w:t>
                  </w:r>
                </w:p>
              </w:tc>
            </w:tr>
          </w:tbl>
          <w:p w14:paraId="71B62ED9">
            <w:pPr>
              <w:spacing w:line="21" w:lineRule="exact"/>
              <w:rPr>
                <w:rFonts w:ascii="Arial"/>
                <w:sz w:val="2"/>
              </w:rPr>
            </w:pPr>
          </w:p>
        </w:tc>
      </w:tr>
    </w:tbl>
    <w:p w14:paraId="09BA24AD">
      <w:pPr>
        <w:spacing w:before="89" w:line="181" w:lineRule="auto"/>
        <w:ind w:left="4784"/>
        <w:rPr>
          <w:rFonts w:ascii="Calibri" w:hAnsi="Calibri" w:eastAsia="Calibri" w:cs="Calibri"/>
          <w:sz w:val="18"/>
          <w:szCs w:val="18"/>
        </w:rPr>
      </w:pPr>
      <w:r>
        <w:rPr>
          <w:rFonts w:ascii="Calibri" w:hAnsi="Calibri" w:eastAsia="Calibri" w:cs="Calibri"/>
          <w:spacing w:val="-5"/>
          <w:sz w:val="18"/>
          <w:szCs w:val="18"/>
        </w:rPr>
        <w:t>59</w:t>
      </w:r>
    </w:p>
    <w:p w14:paraId="67764D54">
      <w:pPr>
        <w:spacing w:line="181" w:lineRule="auto"/>
        <w:rPr>
          <w:rFonts w:ascii="Calibri" w:hAnsi="Calibri" w:eastAsia="Calibri" w:cs="Calibri"/>
          <w:sz w:val="18"/>
          <w:szCs w:val="18"/>
        </w:rPr>
        <w:sectPr>
          <w:footerReference r:id="rId63" w:type="default"/>
          <w:pgSz w:w="11906" w:h="16839"/>
          <w:pgMar w:top="1270" w:right="1266" w:bottom="400" w:left="1265" w:header="0" w:footer="0" w:gutter="0"/>
          <w:cols w:space="720" w:num="1"/>
        </w:sectPr>
      </w:pPr>
    </w:p>
    <w:tbl>
      <w:tblPr>
        <w:tblStyle w:val="5"/>
        <w:tblW w:w="9348"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1"/>
        <w:gridCol w:w="8877"/>
      </w:tblGrid>
      <w:tr w14:paraId="1AEA72FE">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238" w:hRule="atLeast"/>
        </w:trPr>
        <w:tc>
          <w:tcPr>
            <w:tcW w:w="471" w:type="dxa"/>
            <w:tcBorders>
              <w:bottom w:val="single" w:color="000000" w:sz="2" w:space="0"/>
              <w:right w:val="single" w:color="000000" w:sz="2" w:space="0"/>
            </w:tcBorders>
            <w:vAlign w:val="top"/>
          </w:tcPr>
          <w:p w14:paraId="76ED1360">
            <w:pPr>
              <w:rPr>
                <w:rFonts w:ascii="Arial"/>
                <w:sz w:val="21"/>
              </w:rPr>
            </w:pPr>
          </w:p>
        </w:tc>
        <w:tc>
          <w:tcPr>
            <w:tcW w:w="8877" w:type="dxa"/>
            <w:tcBorders>
              <w:left w:val="single" w:color="000000" w:sz="2" w:space="0"/>
              <w:bottom w:val="single" w:color="000000" w:sz="2" w:space="0"/>
            </w:tcBorders>
            <w:vAlign w:val="top"/>
          </w:tcPr>
          <w:p w14:paraId="51354441">
            <w:pPr>
              <w:pStyle w:val="6"/>
              <w:spacing w:before="100" w:line="220" w:lineRule="auto"/>
              <w:ind w:left="579"/>
            </w:pPr>
            <w:r>
              <w:rPr>
                <w:rFonts w:ascii="Times New Roman" w:hAnsi="Times New Roman" w:eastAsia="Times New Roman" w:cs="Times New Roman"/>
                <w:spacing w:val="-8"/>
              </w:rPr>
              <w:t>2</w:t>
            </w:r>
            <w:r>
              <w:rPr>
                <w:rFonts w:ascii="Times New Roman" w:hAnsi="Times New Roman" w:eastAsia="Times New Roman" w:cs="Times New Roman"/>
                <w:spacing w:val="-34"/>
              </w:rPr>
              <w:t xml:space="preserve"> </w:t>
            </w:r>
            <w:r>
              <w:rPr>
                <w:spacing w:val="-8"/>
              </w:rPr>
              <w:t>、噪声</w:t>
            </w:r>
          </w:p>
          <w:p w14:paraId="2B2B5A99">
            <w:pPr>
              <w:pStyle w:val="6"/>
              <w:spacing w:before="180" w:line="340" w:lineRule="auto"/>
              <w:ind w:left="114" w:right="96" w:firstLine="467"/>
            </w:pPr>
            <w:r>
              <w:rPr>
                <w:spacing w:val="-1"/>
              </w:rPr>
              <w:t>施工期场界噪声执行《建筑施工场界环境噪声排放标准》（</w:t>
            </w:r>
            <w:r>
              <w:rPr>
                <w:rFonts w:ascii="Times New Roman" w:hAnsi="Times New Roman" w:eastAsia="Times New Roman" w:cs="Times New Roman"/>
                <w:spacing w:val="-1"/>
              </w:rPr>
              <w:t>GB12523-2011</w:t>
            </w:r>
            <w:r>
              <w:rPr>
                <w:spacing w:val="-1"/>
              </w:rPr>
              <w:t>）表</w:t>
            </w:r>
            <w:r>
              <w:rPr>
                <w:spacing w:val="8"/>
              </w:rPr>
              <w:t xml:space="preserve"> </w:t>
            </w:r>
            <w:r>
              <w:rPr>
                <w:rFonts w:ascii="Times New Roman" w:hAnsi="Times New Roman" w:eastAsia="Times New Roman" w:cs="Times New Roman"/>
                <w:spacing w:val="11"/>
              </w:rPr>
              <w:t>1</w:t>
            </w:r>
            <w:r>
              <w:rPr>
                <w:rFonts w:ascii="Times New Roman" w:hAnsi="Times New Roman" w:eastAsia="Times New Roman" w:cs="Times New Roman"/>
                <w:spacing w:val="2"/>
              </w:rPr>
              <w:t xml:space="preserve">  </w:t>
            </w:r>
            <w:r>
              <w:rPr>
                <w:spacing w:val="11"/>
              </w:rPr>
              <w:t>中标准</w:t>
            </w:r>
            <w:r>
              <w:rPr>
                <w:spacing w:val="-59"/>
              </w:rPr>
              <w:t xml:space="preserve"> </w:t>
            </w:r>
            <w:r>
              <w:rPr>
                <w:spacing w:val="11"/>
              </w:rPr>
              <w:t>限值；</w:t>
            </w:r>
            <w:r>
              <w:rPr>
                <w:spacing w:val="-43"/>
              </w:rPr>
              <w:t xml:space="preserve"> </w:t>
            </w:r>
            <w:r>
              <w:rPr>
                <w:spacing w:val="11"/>
              </w:rPr>
              <w:t>运</w:t>
            </w:r>
            <w:r>
              <w:rPr>
                <w:spacing w:val="-70"/>
              </w:rPr>
              <w:t xml:space="preserve"> </w:t>
            </w:r>
            <w:r>
              <w:rPr>
                <w:spacing w:val="11"/>
              </w:rPr>
              <w:t>营期厂</w:t>
            </w:r>
            <w:r>
              <w:rPr>
                <w:spacing w:val="-71"/>
              </w:rPr>
              <w:t xml:space="preserve"> </w:t>
            </w:r>
            <w:r>
              <w:rPr>
                <w:spacing w:val="11"/>
              </w:rPr>
              <w:t>界</w:t>
            </w:r>
            <w:r>
              <w:rPr>
                <w:spacing w:val="-66"/>
              </w:rPr>
              <w:t xml:space="preserve"> </w:t>
            </w:r>
            <w:r>
              <w:rPr>
                <w:spacing w:val="11"/>
              </w:rPr>
              <w:t>噪</w:t>
            </w:r>
            <w:r>
              <w:rPr>
                <w:spacing w:val="-70"/>
              </w:rPr>
              <w:t xml:space="preserve"> </w:t>
            </w:r>
            <w:r>
              <w:rPr>
                <w:spacing w:val="11"/>
              </w:rPr>
              <w:t>声执行《</w:t>
            </w:r>
            <w:r>
              <w:rPr>
                <w:spacing w:val="-50"/>
              </w:rPr>
              <w:t xml:space="preserve"> </w:t>
            </w:r>
            <w:r>
              <w:rPr>
                <w:spacing w:val="11"/>
              </w:rPr>
              <w:t>工业企业</w:t>
            </w:r>
            <w:r>
              <w:rPr>
                <w:spacing w:val="-72"/>
              </w:rPr>
              <w:t xml:space="preserve"> </w:t>
            </w:r>
            <w:r>
              <w:rPr>
                <w:spacing w:val="11"/>
              </w:rPr>
              <w:t>厂</w:t>
            </w:r>
            <w:r>
              <w:rPr>
                <w:spacing w:val="-72"/>
              </w:rPr>
              <w:t xml:space="preserve"> </w:t>
            </w:r>
            <w:r>
              <w:rPr>
                <w:spacing w:val="11"/>
              </w:rPr>
              <w:t>界环境</w:t>
            </w:r>
            <w:r>
              <w:rPr>
                <w:spacing w:val="-65"/>
              </w:rPr>
              <w:t xml:space="preserve"> </w:t>
            </w:r>
            <w:r>
              <w:rPr>
                <w:spacing w:val="11"/>
              </w:rPr>
              <w:t>噪声</w:t>
            </w:r>
            <w:r>
              <w:rPr>
                <w:spacing w:val="10"/>
              </w:rPr>
              <w:t>排放标准</w:t>
            </w:r>
            <w:r>
              <w:rPr>
                <w:spacing w:val="-64"/>
              </w:rPr>
              <w:t xml:space="preserve"> </w:t>
            </w:r>
            <w:r>
              <w:rPr>
                <w:spacing w:val="10"/>
              </w:rPr>
              <w:t>》</w:t>
            </w:r>
            <w:r>
              <w:t xml:space="preserve"> </w:t>
            </w:r>
            <w:r>
              <w:rPr>
                <w:spacing w:val="-1"/>
              </w:rPr>
              <w:t>（</w:t>
            </w:r>
            <w:r>
              <w:rPr>
                <w:rFonts w:ascii="Times New Roman" w:hAnsi="Times New Roman" w:eastAsia="Times New Roman" w:cs="Times New Roman"/>
                <w:spacing w:val="-1"/>
              </w:rPr>
              <w:t>GB12348-2008</w:t>
            </w:r>
            <w:r>
              <w:rPr>
                <w:spacing w:val="-1"/>
              </w:rPr>
              <w:t>）中</w:t>
            </w:r>
            <w:r>
              <w:rPr>
                <w:spacing w:val="-53"/>
              </w:rPr>
              <w:t xml:space="preserve"> </w:t>
            </w:r>
            <w:r>
              <w:rPr>
                <w:rFonts w:ascii="Times New Roman" w:hAnsi="Times New Roman" w:eastAsia="Times New Roman" w:cs="Times New Roman"/>
                <w:spacing w:val="-1"/>
              </w:rPr>
              <w:t xml:space="preserve">2 </w:t>
            </w:r>
            <w:r>
              <w:rPr>
                <w:spacing w:val="-1"/>
              </w:rPr>
              <w:t>类标准。具体标准值见下表。</w:t>
            </w:r>
          </w:p>
          <w:p w14:paraId="68A83C9A">
            <w:pPr>
              <w:pStyle w:val="6"/>
              <w:spacing w:line="211" w:lineRule="auto"/>
              <w:ind w:left="2262"/>
            </w:pPr>
            <w:r>
              <w:rPr>
                <w:b/>
                <w:bCs/>
                <w:spacing w:val="-5"/>
              </w:rPr>
              <w:t>表</w:t>
            </w:r>
            <w:r>
              <w:rPr>
                <w:spacing w:val="-47"/>
              </w:rPr>
              <w:t xml:space="preserve"> </w:t>
            </w:r>
            <w:r>
              <w:rPr>
                <w:rFonts w:ascii="Times New Roman" w:hAnsi="Times New Roman" w:eastAsia="Times New Roman" w:cs="Times New Roman"/>
                <w:b/>
                <w:bCs/>
                <w:spacing w:val="-5"/>
              </w:rPr>
              <w:t>3-10</w:t>
            </w:r>
            <w:r>
              <w:rPr>
                <w:rFonts w:ascii="Times New Roman" w:hAnsi="Times New Roman" w:eastAsia="Times New Roman" w:cs="Times New Roman"/>
                <w:b/>
                <w:bCs/>
                <w:spacing w:val="2"/>
              </w:rPr>
              <w:t xml:space="preserve">          </w:t>
            </w:r>
            <w:r>
              <w:rPr>
                <w:b/>
                <w:bCs/>
                <w:spacing w:val="-5"/>
              </w:rPr>
              <w:t>噪声排放标准值</w:t>
            </w:r>
          </w:p>
          <w:tbl>
            <w:tblPr>
              <w:tblStyle w:val="5"/>
              <w:tblW w:w="8666" w:type="dxa"/>
              <w:tblInd w:w="9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2"/>
              <w:gridCol w:w="3115"/>
              <w:gridCol w:w="945"/>
              <w:gridCol w:w="884"/>
              <w:gridCol w:w="900"/>
              <w:gridCol w:w="1090"/>
            </w:tblGrid>
            <w:tr w14:paraId="15368E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2" w:hRule="atLeast"/>
              </w:trPr>
              <w:tc>
                <w:tcPr>
                  <w:tcW w:w="1732" w:type="dxa"/>
                  <w:tcBorders>
                    <w:top w:val="single" w:color="000000" w:sz="10" w:space="0"/>
                    <w:left w:val="nil"/>
                    <w:right w:val="single" w:color="000000" w:sz="2" w:space="0"/>
                  </w:tcBorders>
                  <w:vAlign w:val="top"/>
                </w:tcPr>
                <w:p w14:paraId="6E6456B8">
                  <w:pPr>
                    <w:pStyle w:val="6"/>
                    <w:spacing w:before="89" w:line="224" w:lineRule="auto"/>
                    <w:ind w:left="451"/>
                    <w:rPr>
                      <w:sz w:val="20"/>
                      <w:szCs w:val="20"/>
                    </w:rPr>
                  </w:pPr>
                  <w:r>
                    <w:rPr>
                      <w:b/>
                      <w:bCs/>
                      <w:spacing w:val="6"/>
                      <w:sz w:val="20"/>
                      <w:szCs w:val="20"/>
                    </w:rPr>
                    <w:t>评价时段</w:t>
                  </w:r>
                </w:p>
              </w:tc>
              <w:tc>
                <w:tcPr>
                  <w:tcW w:w="3115" w:type="dxa"/>
                  <w:tcBorders>
                    <w:top w:val="single" w:color="000000" w:sz="10" w:space="0"/>
                    <w:left w:val="single" w:color="000000" w:sz="2" w:space="0"/>
                    <w:right w:val="single" w:color="000000" w:sz="2" w:space="0"/>
                  </w:tcBorders>
                  <w:vAlign w:val="top"/>
                </w:tcPr>
                <w:p w14:paraId="0B1569F4">
                  <w:pPr>
                    <w:pStyle w:val="6"/>
                    <w:spacing w:before="89" w:line="224" w:lineRule="auto"/>
                    <w:ind w:left="1353"/>
                    <w:rPr>
                      <w:sz w:val="20"/>
                      <w:szCs w:val="20"/>
                    </w:rPr>
                  </w:pPr>
                  <w:r>
                    <w:rPr>
                      <w:spacing w:val="4"/>
                      <w:sz w:val="20"/>
                      <w:szCs w:val="20"/>
                    </w:rPr>
                    <w:t>标准</w:t>
                  </w:r>
                </w:p>
              </w:tc>
              <w:tc>
                <w:tcPr>
                  <w:tcW w:w="945" w:type="dxa"/>
                  <w:tcBorders>
                    <w:top w:val="single" w:color="000000" w:sz="10" w:space="0"/>
                    <w:left w:val="single" w:color="000000" w:sz="2" w:space="0"/>
                  </w:tcBorders>
                  <w:vAlign w:val="top"/>
                </w:tcPr>
                <w:p w14:paraId="619446F9">
                  <w:pPr>
                    <w:pStyle w:val="6"/>
                    <w:spacing w:before="89" w:line="224" w:lineRule="auto"/>
                    <w:ind w:left="265"/>
                    <w:rPr>
                      <w:sz w:val="20"/>
                      <w:szCs w:val="20"/>
                    </w:rPr>
                  </w:pPr>
                  <w:r>
                    <w:rPr>
                      <w:b/>
                      <w:bCs/>
                      <w:spacing w:val="3"/>
                      <w:sz w:val="20"/>
                      <w:szCs w:val="20"/>
                    </w:rPr>
                    <w:t>类别</w:t>
                  </w:r>
                </w:p>
              </w:tc>
              <w:tc>
                <w:tcPr>
                  <w:tcW w:w="884" w:type="dxa"/>
                  <w:tcBorders>
                    <w:top w:val="single" w:color="000000" w:sz="10" w:space="0"/>
                    <w:right w:val="single" w:color="000000" w:sz="2" w:space="0"/>
                  </w:tcBorders>
                  <w:vAlign w:val="top"/>
                </w:tcPr>
                <w:p w14:paraId="5A915575">
                  <w:pPr>
                    <w:pStyle w:val="6"/>
                    <w:spacing w:before="89" w:line="224" w:lineRule="auto"/>
                    <w:ind w:left="236"/>
                    <w:rPr>
                      <w:sz w:val="20"/>
                      <w:szCs w:val="20"/>
                    </w:rPr>
                  </w:pPr>
                  <w:r>
                    <w:rPr>
                      <w:b/>
                      <w:bCs/>
                      <w:spacing w:val="3"/>
                      <w:sz w:val="20"/>
                      <w:szCs w:val="20"/>
                    </w:rPr>
                    <w:t>单位</w:t>
                  </w:r>
                </w:p>
              </w:tc>
              <w:tc>
                <w:tcPr>
                  <w:tcW w:w="900" w:type="dxa"/>
                  <w:tcBorders>
                    <w:top w:val="single" w:color="000000" w:sz="10" w:space="0"/>
                    <w:left w:val="single" w:color="000000" w:sz="2" w:space="0"/>
                  </w:tcBorders>
                  <w:vAlign w:val="top"/>
                </w:tcPr>
                <w:p w14:paraId="216A723B">
                  <w:pPr>
                    <w:pStyle w:val="6"/>
                    <w:spacing w:before="89" w:line="224" w:lineRule="auto"/>
                    <w:ind w:left="243"/>
                    <w:rPr>
                      <w:sz w:val="20"/>
                      <w:szCs w:val="20"/>
                    </w:rPr>
                  </w:pPr>
                  <w:r>
                    <w:rPr>
                      <w:b/>
                      <w:bCs/>
                      <w:spacing w:val="4"/>
                      <w:sz w:val="20"/>
                      <w:szCs w:val="20"/>
                    </w:rPr>
                    <w:t>昼间</w:t>
                  </w:r>
                </w:p>
              </w:tc>
              <w:tc>
                <w:tcPr>
                  <w:tcW w:w="1090" w:type="dxa"/>
                  <w:tcBorders>
                    <w:top w:val="single" w:color="000000" w:sz="10" w:space="0"/>
                    <w:right w:val="nil"/>
                  </w:tcBorders>
                  <w:vAlign w:val="top"/>
                </w:tcPr>
                <w:p w14:paraId="0E5FC9F3">
                  <w:pPr>
                    <w:pStyle w:val="6"/>
                    <w:spacing w:before="89" w:line="224" w:lineRule="auto"/>
                    <w:ind w:left="340"/>
                    <w:rPr>
                      <w:sz w:val="20"/>
                      <w:szCs w:val="20"/>
                    </w:rPr>
                  </w:pPr>
                  <w:r>
                    <w:rPr>
                      <w:b/>
                      <w:bCs/>
                      <w:spacing w:val="2"/>
                      <w:sz w:val="20"/>
                      <w:szCs w:val="20"/>
                    </w:rPr>
                    <w:t>夜间</w:t>
                  </w:r>
                </w:p>
              </w:tc>
            </w:tr>
            <w:tr w14:paraId="281235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trPr>
              <w:tc>
                <w:tcPr>
                  <w:tcW w:w="1732" w:type="dxa"/>
                  <w:tcBorders>
                    <w:left w:val="nil"/>
                    <w:right w:val="single" w:color="000000" w:sz="2" w:space="0"/>
                  </w:tcBorders>
                  <w:vAlign w:val="top"/>
                </w:tcPr>
                <w:p w14:paraId="11285884">
                  <w:pPr>
                    <w:pStyle w:val="6"/>
                    <w:spacing w:before="210" w:line="228" w:lineRule="auto"/>
                    <w:ind w:left="559"/>
                    <w:rPr>
                      <w:sz w:val="20"/>
                      <w:szCs w:val="20"/>
                    </w:rPr>
                  </w:pPr>
                  <w:r>
                    <w:rPr>
                      <w:spacing w:val="7"/>
                      <w:sz w:val="20"/>
                      <w:szCs w:val="20"/>
                    </w:rPr>
                    <w:t>施工期</w:t>
                  </w:r>
                </w:p>
              </w:tc>
              <w:tc>
                <w:tcPr>
                  <w:tcW w:w="3115" w:type="dxa"/>
                  <w:tcBorders>
                    <w:left w:val="single" w:color="000000" w:sz="2" w:space="0"/>
                    <w:right w:val="single" w:color="000000" w:sz="2" w:space="0"/>
                  </w:tcBorders>
                  <w:vAlign w:val="top"/>
                </w:tcPr>
                <w:p w14:paraId="731CCCEA">
                  <w:pPr>
                    <w:pStyle w:val="6"/>
                    <w:spacing w:before="54" w:line="256" w:lineRule="auto"/>
                    <w:ind w:left="244" w:right="236" w:firstLine="168"/>
                    <w:rPr>
                      <w:rFonts w:ascii="Times New Roman" w:hAnsi="Times New Roman" w:eastAsia="Times New Roman" w:cs="Times New Roman"/>
                      <w:sz w:val="20"/>
                      <w:szCs w:val="20"/>
                    </w:rPr>
                  </w:pPr>
                  <w:r>
                    <w:rPr>
                      <w:spacing w:val="8"/>
                      <w:sz w:val="20"/>
                      <w:szCs w:val="20"/>
                    </w:rPr>
                    <w:t>《建筑施工场界环境噪声</w:t>
                  </w:r>
                  <w:r>
                    <w:rPr>
                      <w:spacing w:val="3"/>
                      <w:sz w:val="20"/>
                      <w:szCs w:val="20"/>
                    </w:rPr>
                    <w:t xml:space="preserve">  </w:t>
                  </w:r>
                  <w:r>
                    <w:rPr>
                      <w:spacing w:val="6"/>
                      <w:sz w:val="20"/>
                      <w:szCs w:val="20"/>
                    </w:rPr>
                    <w:t>排放标准》（</w:t>
                  </w: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12523-2011)</w:t>
                  </w:r>
                </w:p>
              </w:tc>
              <w:tc>
                <w:tcPr>
                  <w:tcW w:w="945" w:type="dxa"/>
                  <w:tcBorders>
                    <w:left w:val="single" w:color="000000" w:sz="2" w:space="0"/>
                  </w:tcBorders>
                  <w:vAlign w:val="top"/>
                </w:tcPr>
                <w:p w14:paraId="694A7AD4">
                  <w:pPr>
                    <w:spacing w:line="275" w:lineRule="auto"/>
                    <w:rPr>
                      <w:rFonts w:ascii="Arial"/>
                      <w:sz w:val="21"/>
                    </w:rPr>
                  </w:pPr>
                </w:p>
                <w:p w14:paraId="1874C7CD">
                  <w:pPr>
                    <w:spacing w:before="57" w:line="97" w:lineRule="exact"/>
                    <w:ind w:left="443"/>
                    <w:rPr>
                      <w:rFonts w:ascii="Times New Roman" w:hAnsi="Times New Roman" w:eastAsia="Times New Roman" w:cs="Times New Roman"/>
                      <w:sz w:val="20"/>
                      <w:szCs w:val="20"/>
                    </w:rPr>
                  </w:pPr>
                  <w:r>
                    <w:rPr>
                      <w:rFonts w:ascii="Times New Roman" w:hAnsi="Times New Roman" w:eastAsia="Times New Roman" w:cs="Times New Roman"/>
                      <w:position w:val="-2"/>
                      <w:sz w:val="20"/>
                      <w:szCs w:val="20"/>
                    </w:rPr>
                    <w:t>-</w:t>
                  </w:r>
                </w:p>
              </w:tc>
              <w:tc>
                <w:tcPr>
                  <w:tcW w:w="884" w:type="dxa"/>
                  <w:tcBorders>
                    <w:right w:val="single" w:color="000000" w:sz="2" w:space="0"/>
                  </w:tcBorders>
                  <w:vAlign w:val="top"/>
                </w:tcPr>
                <w:p w14:paraId="0917792C">
                  <w:pPr>
                    <w:spacing w:before="242" w:line="201" w:lineRule="auto"/>
                    <w:ind w:left="173"/>
                    <w:rPr>
                      <w:rFonts w:ascii="Times New Roman" w:hAnsi="Times New Roman" w:eastAsia="Times New Roman" w:cs="Times New Roman"/>
                      <w:sz w:val="20"/>
                      <w:szCs w:val="20"/>
                    </w:rPr>
                  </w:pPr>
                  <w:r>
                    <w:rPr>
                      <w:rFonts w:ascii="Times New Roman" w:hAnsi="Times New Roman" w:eastAsia="Times New Roman" w:cs="Times New Roman"/>
                      <w:sz w:val="20"/>
                      <w:szCs w:val="20"/>
                    </w:rPr>
                    <w:t>dB</w:t>
                  </w:r>
                  <w:r>
                    <w:rPr>
                      <w:rFonts w:ascii="Times New Roman" w:hAnsi="Times New Roman" w:eastAsia="Times New Roman" w:cs="Times New Roman"/>
                      <w:spacing w:val="5"/>
                      <w:sz w:val="20"/>
                      <w:szCs w:val="20"/>
                    </w:rPr>
                    <w:t>(A)</w:t>
                  </w:r>
                </w:p>
              </w:tc>
              <w:tc>
                <w:tcPr>
                  <w:tcW w:w="900" w:type="dxa"/>
                  <w:tcBorders>
                    <w:left w:val="single" w:color="000000" w:sz="2" w:space="0"/>
                  </w:tcBorders>
                  <w:vAlign w:val="top"/>
                </w:tcPr>
                <w:p w14:paraId="5F732C48">
                  <w:pPr>
                    <w:spacing w:before="246" w:line="195" w:lineRule="auto"/>
                    <w:ind w:left="349"/>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70</w:t>
                  </w:r>
                </w:p>
              </w:tc>
              <w:tc>
                <w:tcPr>
                  <w:tcW w:w="1090" w:type="dxa"/>
                  <w:tcBorders>
                    <w:right w:val="nil"/>
                  </w:tcBorders>
                  <w:vAlign w:val="top"/>
                </w:tcPr>
                <w:p w14:paraId="012B9D8D">
                  <w:pPr>
                    <w:spacing w:before="249" w:line="192" w:lineRule="auto"/>
                    <w:ind w:left="445"/>
                    <w:rPr>
                      <w:rFonts w:ascii="Times New Roman" w:hAnsi="Times New Roman" w:eastAsia="Times New Roman" w:cs="Times New Roman"/>
                      <w:sz w:val="20"/>
                      <w:szCs w:val="20"/>
                    </w:rPr>
                  </w:pPr>
                  <w:r>
                    <w:rPr>
                      <w:rFonts w:ascii="Times New Roman" w:hAnsi="Times New Roman" w:eastAsia="Times New Roman" w:cs="Times New Roman"/>
                      <w:sz w:val="20"/>
                      <w:szCs w:val="20"/>
                    </w:rPr>
                    <w:t>55</w:t>
                  </w:r>
                </w:p>
              </w:tc>
            </w:tr>
            <w:tr w14:paraId="2A0D0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1732" w:type="dxa"/>
                  <w:tcBorders>
                    <w:left w:val="nil"/>
                    <w:bottom w:val="single" w:color="000000" w:sz="10" w:space="0"/>
                    <w:right w:val="single" w:color="000000" w:sz="2" w:space="0"/>
                  </w:tcBorders>
                  <w:vAlign w:val="top"/>
                </w:tcPr>
                <w:p w14:paraId="16EB709A">
                  <w:pPr>
                    <w:pStyle w:val="6"/>
                    <w:spacing w:before="222" w:line="228" w:lineRule="auto"/>
                    <w:ind w:left="560"/>
                    <w:rPr>
                      <w:sz w:val="20"/>
                      <w:szCs w:val="20"/>
                    </w:rPr>
                  </w:pPr>
                  <w:r>
                    <w:rPr>
                      <w:spacing w:val="6"/>
                      <w:sz w:val="20"/>
                      <w:szCs w:val="20"/>
                    </w:rPr>
                    <w:t>运营期</w:t>
                  </w:r>
                </w:p>
              </w:tc>
              <w:tc>
                <w:tcPr>
                  <w:tcW w:w="3115" w:type="dxa"/>
                  <w:tcBorders>
                    <w:left w:val="single" w:color="000000" w:sz="2" w:space="0"/>
                    <w:bottom w:val="single" w:color="000000" w:sz="10" w:space="0"/>
                    <w:right w:val="single" w:color="000000" w:sz="2" w:space="0"/>
                  </w:tcBorders>
                  <w:vAlign w:val="top"/>
                </w:tcPr>
                <w:p w14:paraId="7744EB59">
                  <w:pPr>
                    <w:pStyle w:val="6"/>
                    <w:spacing w:before="65" w:line="261" w:lineRule="auto"/>
                    <w:ind w:left="174" w:right="187" w:firstLine="238"/>
                    <w:rPr>
                      <w:sz w:val="20"/>
                      <w:szCs w:val="20"/>
                    </w:rPr>
                  </w:pPr>
                  <w:r>
                    <w:rPr>
                      <w:spacing w:val="8"/>
                      <w:sz w:val="20"/>
                      <w:szCs w:val="20"/>
                    </w:rPr>
                    <w:t>《工业企业厂界环境噪声</w:t>
                  </w:r>
                  <w:r>
                    <w:rPr>
                      <w:spacing w:val="2"/>
                      <w:sz w:val="20"/>
                      <w:szCs w:val="20"/>
                    </w:rPr>
                    <w:t xml:space="preserve">   </w:t>
                  </w:r>
                  <w:r>
                    <w:rPr>
                      <w:spacing w:val="6"/>
                      <w:sz w:val="20"/>
                      <w:szCs w:val="20"/>
                    </w:rPr>
                    <w:t>排放标准》（</w:t>
                  </w:r>
                  <w:r>
                    <w:rPr>
                      <w:rFonts w:ascii="Times New Roman" w:hAnsi="Times New Roman" w:eastAsia="Times New Roman" w:cs="Times New Roman"/>
                      <w:sz w:val="20"/>
                      <w:szCs w:val="20"/>
                    </w:rPr>
                    <w:t>GB</w:t>
                  </w:r>
                  <w:r>
                    <w:rPr>
                      <w:rFonts w:ascii="Times New Roman" w:hAnsi="Times New Roman" w:eastAsia="Times New Roman" w:cs="Times New Roman"/>
                      <w:spacing w:val="6"/>
                      <w:sz w:val="20"/>
                      <w:szCs w:val="20"/>
                    </w:rPr>
                    <w:t>12348-2008</w:t>
                  </w:r>
                  <w:r>
                    <w:rPr>
                      <w:spacing w:val="6"/>
                      <w:sz w:val="20"/>
                      <w:szCs w:val="20"/>
                    </w:rPr>
                    <w:t>）</w:t>
                  </w:r>
                </w:p>
              </w:tc>
              <w:tc>
                <w:tcPr>
                  <w:tcW w:w="945" w:type="dxa"/>
                  <w:tcBorders>
                    <w:left w:val="single" w:color="000000" w:sz="2" w:space="0"/>
                    <w:bottom w:val="single" w:color="000000" w:sz="10" w:space="0"/>
                  </w:tcBorders>
                  <w:vAlign w:val="top"/>
                </w:tcPr>
                <w:p w14:paraId="6CAE80F6">
                  <w:pPr>
                    <w:pStyle w:val="6"/>
                    <w:spacing w:before="221" w:line="228" w:lineRule="auto"/>
                    <w:ind w:left="290"/>
                    <w:rPr>
                      <w:sz w:val="20"/>
                      <w:szCs w:val="20"/>
                    </w:rPr>
                  </w:pPr>
                  <w:r>
                    <w:rPr>
                      <w:rFonts w:ascii="Times New Roman" w:hAnsi="Times New Roman" w:eastAsia="Times New Roman" w:cs="Times New Roman"/>
                      <w:sz w:val="20"/>
                      <w:szCs w:val="20"/>
                    </w:rPr>
                    <w:t>2</w:t>
                  </w:r>
                  <w:r>
                    <w:rPr>
                      <w:rFonts w:ascii="Times New Roman" w:hAnsi="Times New Roman" w:eastAsia="Times New Roman" w:cs="Times New Roman"/>
                      <w:spacing w:val="9"/>
                      <w:sz w:val="20"/>
                      <w:szCs w:val="20"/>
                    </w:rPr>
                    <w:t xml:space="preserve"> </w:t>
                  </w:r>
                  <w:r>
                    <w:rPr>
                      <w:sz w:val="20"/>
                      <w:szCs w:val="20"/>
                    </w:rPr>
                    <w:t>类</w:t>
                  </w:r>
                </w:p>
              </w:tc>
              <w:tc>
                <w:tcPr>
                  <w:tcW w:w="884" w:type="dxa"/>
                  <w:tcBorders>
                    <w:bottom w:val="single" w:color="000000" w:sz="10" w:space="0"/>
                    <w:right w:val="single" w:color="000000" w:sz="2" w:space="0"/>
                  </w:tcBorders>
                  <w:vAlign w:val="top"/>
                </w:tcPr>
                <w:p w14:paraId="26F0145C">
                  <w:pPr>
                    <w:spacing w:before="253" w:line="201" w:lineRule="auto"/>
                    <w:ind w:left="173"/>
                    <w:rPr>
                      <w:rFonts w:ascii="Times New Roman" w:hAnsi="Times New Roman" w:eastAsia="Times New Roman" w:cs="Times New Roman"/>
                      <w:sz w:val="20"/>
                      <w:szCs w:val="20"/>
                    </w:rPr>
                  </w:pPr>
                  <w:r>
                    <w:rPr>
                      <w:rFonts w:ascii="Times New Roman" w:hAnsi="Times New Roman" w:eastAsia="Times New Roman" w:cs="Times New Roman"/>
                      <w:sz w:val="20"/>
                      <w:szCs w:val="20"/>
                    </w:rPr>
                    <w:t>dB</w:t>
                  </w:r>
                  <w:r>
                    <w:rPr>
                      <w:rFonts w:ascii="Times New Roman" w:hAnsi="Times New Roman" w:eastAsia="Times New Roman" w:cs="Times New Roman"/>
                      <w:spacing w:val="5"/>
                      <w:sz w:val="20"/>
                      <w:szCs w:val="20"/>
                    </w:rPr>
                    <w:t>(A)</w:t>
                  </w:r>
                </w:p>
              </w:tc>
              <w:tc>
                <w:tcPr>
                  <w:tcW w:w="900" w:type="dxa"/>
                  <w:tcBorders>
                    <w:left w:val="single" w:color="000000" w:sz="2" w:space="0"/>
                    <w:bottom w:val="single" w:color="000000" w:sz="10" w:space="0"/>
                  </w:tcBorders>
                  <w:vAlign w:val="top"/>
                </w:tcPr>
                <w:p w14:paraId="2DC26260">
                  <w:pPr>
                    <w:spacing w:before="257" w:line="195" w:lineRule="auto"/>
                    <w:ind w:left="350"/>
                    <w:rPr>
                      <w:rFonts w:ascii="Times New Roman" w:hAnsi="Times New Roman" w:eastAsia="Times New Roman" w:cs="Times New Roman"/>
                      <w:sz w:val="20"/>
                      <w:szCs w:val="20"/>
                    </w:rPr>
                  </w:pPr>
                  <w:r>
                    <w:rPr>
                      <w:rFonts w:ascii="Times New Roman" w:hAnsi="Times New Roman" w:eastAsia="Times New Roman" w:cs="Times New Roman"/>
                      <w:sz w:val="20"/>
                      <w:szCs w:val="20"/>
                    </w:rPr>
                    <w:t>60</w:t>
                  </w:r>
                </w:p>
              </w:tc>
              <w:tc>
                <w:tcPr>
                  <w:tcW w:w="1090" w:type="dxa"/>
                  <w:tcBorders>
                    <w:bottom w:val="single" w:color="000000" w:sz="10" w:space="0"/>
                    <w:right w:val="nil"/>
                  </w:tcBorders>
                  <w:vAlign w:val="top"/>
                </w:tcPr>
                <w:p w14:paraId="7390A4B9">
                  <w:pPr>
                    <w:spacing w:before="257" w:line="195" w:lineRule="auto"/>
                    <w:ind w:left="445"/>
                    <w:rPr>
                      <w:rFonts w:ascii="Times New Roman" w:hAnsi="Times New Roman" w:eastAsia="Times New Roman" w:cs="Times New Roman"/>
                      <w:sz w:val="20"/>
                      <w:szCs w:val="20"/>
                    </w:rPr>
                  </w:pPr>
                  <w:r>
                    <w:rPr>
                      <w:rFonts w:ascii="Times New Roman" w:hAnsi="Times New Roman" w:eastAsia="Times New Roman" w:cs="Times New Roman"/>
                      <w:sz w:val="20"/>
                      <w:szCs w:val="20"/>
                    </w:rPr>
                    <w:t>50</w:t>
                  </w:r>
                </w:p>
              </w:tc>
            </w:tr>
          </w:tbl>
          <w:p w14:paraId="14D65611">
            <w:pPr>
              <w:pStyle w:val="6"/>
              <w:spacing w:before="116" w:line="220" w:lineRule="auto"/>
              <w:ind w:left="583"/>
            </w:pPr>
            <w:r>
              <w:rPr>
                <w:rFonts w:ascii="Times New Roman" w:hAnsi="Times New Roman" w:eastAsia="Times New Roman" w:cs="Times New Roman"/>
                <w:spacing w:val="-6"/>
              </w:rPr>
              <w:t>3</w:t>
            </w:r>
            <w:r>
              <w:rPr>
                <w:rFonts w:ascii="Times New Roman" w:hAnsi="Times New Roman" w:eastAsia="Times New Roman" w:cs="Times New Roman"/>
                <w:spacing w:val="-34"/>
              </w:rPr>
              <w:t xml:space="preserve"> </w:t>
            </w:r>
            <w:r>
              <w:rPr>
                <w:spacing w:val="-6"/>
              </w:rPr>
              <w:t>、固体废物</w:t>
            </w:r>
          </w:p>
          <w:p w14:paraId="57B3E8EF">
            <w:pPr>
              <w:pStyle w:val="6"/>
              <w:spacing w:before="181" w:line="309" w:lineRule="auto"/>
              <w:ind w:left="106" w:right="37" w:firstLine="480"/>
            </w:pPr>
            <w:r>
              <w:rPr>
                <w:spacing w:val="-9"/>
              </w:rPr>
              <w:t>一般固废执行《一般工业固体废物贮存和填埋污染控制标准》（</w:t>
            </w:r>
            <w:r>
              <w:rPr>
                <w:rFonts w:ascii="Times New Roman" w:hAnsi="Times New Roman" w:eastAsia="Times New Roman" w:cs="Times New Roman"/>
                <w:spacing w:val="-9"/>
              </w:rPr>
              <w:t>GB</w:t>
            </w:r>
            <w:r>
              <w:rPr>
                <w:rFonts w:ascii="Times New Roman" w:hAnsi="Times New Roman" w:eastAsia="Times New Roman" w:cs="Times New Roman"/>
                <w:spacing w:val="33"/>
              </w:rPr>
              <w:t xml:space="preserve"> </w:t>
            </w:r>
            <w:r>
              <w:rPr>
                <w:rFonts w:ascii="Times New Roman" w:hAnsi="Times New Roman" w:eastAsia="Times New Roman" w:cs="Times New Roman"/>
                <w:spacing w:val="-9"/>
              </w:rPr>
              <w:t>1859</w:t>
            </w:r>
            <w:r>
              <w:rPr>
                <w:rFonts w:ascii="Times New Roman" w:hAnsi="Times New Roman" w:eastAsia="Times New Roman" w:cs="Times New Roman"/>
                <w:spacing w:val="-10"/>
              </w:rPr>
              <w:t>9-2020</w:t>
            </w:r>
            <w:r>
              <w:rPr>
                <w:spacing w:val="-54"/>
                <w:w w:val="84"/>
              </w:rPr>
              <w:t>）；</w:t>
            </w:r>
            <w:r>
              <w:t xml:space="preserve"> 危险废物执行《危险废物贮存污染控制标准》（</w:t>
            </w:r>
            <w:r>
              <w:rPr>
                <w:rFonts w:ascii="Times New Roman" w:hAnsi="Times New Roman" w:eastAsia="Times New Roman" w:cs="Times New Roman"/>
              </w:rPr>
              <w:t>GB18</w:t>
            </w:r>
            <w:r>
              <w:rPr>
                <w:rFonts w:ascii="Times New Roman" w:hAnsi="Times New Roman" w:eastAsia="Times New Roman" w:cs="Times New Roman"/>
                <w:spacing w:val="-1"/>
              </w:rPr>
              <w:t>597-2023</w:t>
            </w:r>
            <w:r>
              <w:rPr>
                <w:spacing w:val="-1"/>
              </w:rPr>
              <w:t>）相关要求。</w:t>
            </w:r>
          </w:p>
        </w:tc>
      </w:tr>
      <w:tr w14:paraId="64DB5FE7">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5565" w:hRule="atLeast"/>
        </w:trPr>
        <w:tc>
          <w:tcPr>
            <w:tcW w:w="471" w:type="dxa"/>
            <w:tcBorders>
              <w:top w:val="single" w:color="000000" w:sz="2" w:space="0"/>
              <w:right w:val="single" w:color="000000" w:sz="2" w:space="0"/>
            </w:tcBorders>
            <w:textDirection w:val="tbRlV"/>
            <w:vAlign w:val="top"/>
          </w:tcPr>
          <w:p w14:paraId="356DF003">
            <w:pPr>
              <w:pStyle w:val="6"/>
              <w:spacing w:before="117" w:line="209" w:lineRule="auto"/>
              <w:ind w:left="1498"/>
            </w:pPr>
            <w:r>
              <w:rPr>
                <w:spacing w:val="-1"/>
              </w:rPr>
              <w:t>总</w:t>
            </w:r>
            <w:r>
              <w:rPr>
                <w:spacing w:val="112"/>
              </w:rPr>
              <w:t xml:space="preserve"> </w:t>
            </w:r>
            <w:r>
              <w:rPr>
                <w:spacing w:val="-1"/>
              </w:rPr>
              <w:t>量</w:t>
            </w:r>
            <w:r>
              <w:rPr>
                <w:spacing w:val="108"/>
              </w:rPr>
              <w:t xml:space="preserve"> </w:t>
            </w:r>
            <w:r>
              <w:rPr>
                <w:spacing w:val="-1"/>
              </w:rPr>
              <w:t>控</w:t>
            </w:r>
            <w:r>
              <w:rPr>
                <w:spacing w:val="108"/>
              </w:rPr>
              <w:t xml:space="preserve"> </w:t>
            </w:r>
            <w:r>
              <w:rPr>
                <w:spacing w:val="-1"/>
              </w:rPr>
              <w:t>制</w:t>
            </w:r>
            <w:r>
              <w:rPr>
                <w:spacing w:val="108"/>
              </w:rPr>
              <w:t xml:space="preserve"> </w:t>
            </w:r>
            <w:r>
              <w:rPr>
                <w:spacing w:val="-1"/>
              </w:rPr>
              <w:t>指</w:t>
            </w:r>
            <w:r>
              <w:rPr>
                <w:spacing w:val="109"/>
              </w:rPr>
              <w:t xml:space="preserve"> </w:t>
            </w:r>
            <w:r>
              <w:rPr>
                <w:spacing w:val="-1"/>
              </w:rPr>
              <w:t>标</w:t>
            </w:r>
          </w:p>
        </w:tc>
        <w:tc>
          <w:tcPr>
            <w:tcW w:w="8877" w:type="dxa"/>
            <w:tcBorders>
              <w:top w:val="single" w:color="000000" w:sz="2" w:space="0"/>
              <w:left w:val="single" w:color="000000" w:sz="2" w:space="0"/>
            </w:tcBorders>
            <w:vAlign w:val="top"/>
          </w:tcPr>
          <w:p w14:paraId="6882851E">
            <w:pPr>
              <w:pStyle w:val="6"/>
              <w:spacing w:before="127" w:line="219" w:lineRule="auto"/>
              <w:ind w:left="584"/>
            </w:pPr>
            <w:r>
              <w:rPr>
                <w:spacing w:val="-1"/>
              </w:rPr>
              <w:t>本项目污染物排放总量控制因子见下表。</w:t>
            </w:r>
          </w:p>
          <w:p w14:paraId="7C822657">
            <w:pPr>
              <w:pStyle w:val="6"/>
              <w:spacing w:before="104" w:line="220" w:lineRule="auto"/>
              <w:ind w:left="2502"/>
            </w:pPr>
            <w:r>
              <w:rPr>
                <w:b/>
                <w:bCs/>
                <w:spacing w:val="-6"/>
              </w:rPr>
              <w:t>表</w:t>
            </w:r>
            <w:r>
              <w:rPr>
                <w:spacing w:val="-52"/>
              </w:rPr>
              <w:t xml:space="preserve"> </w:t>
            </w:r>
            <w:r>
              <w:rPr>
                <w:rFonts w:ascii="Times New Roman" w:hAnsi="Times New Roman" w:eastAsia="Times New Roman" w:cs="Times New Roman"/>
                <w:b/>
                <w:bCs/>
                <w:spacing w:val="-6"/>
              </w:rPr>
              <w:t>3-11</w:t>
            </w:r>
            <w:r>
              <w:rPr>
                <w:rFonts w:ascii="Times New Roman" w:hAnsi="Times New Roman" w:eastAsia="Times New Roman" w:cs="Times New Roman"/>
                <w:b/>
                <w:bCs/>
                <w:spacing w:val="1"/>
              </w:rPr>
              <w:t xml:space="preserve">            </w:t>
            </w:r>
            <w:r>
              <w:rPr>
                <w:b/>
                <w:bCs/>
                <w:spacing w:val="-6"/>
              </w:rPr>
              <w:t>总量控制</w:t>
            </w:r>
          </w:p>
          <w:p w14:paraId="2D3480FA">
            <w:pPr>
              <w:spacing w:line="145" w:lineRule="exact"/>
            </w:pPr>
          </w:p>
          <w:tbl>
            <w:tblPr>
              <w:tblStyle w:val="5"/>
              <w:tblW w:w="8670" w:type="dxa"/>
              <w:tblInd w:w="9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18"/>
              <w:gridCol w:w="2411"/>
              <w:gridCol w:w="4241"/>
            </w:tblGrid>
            <w:tr w14:paraId="2E6EF7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7" w:hRule="atLeast"/>
              </w:trPr>
              <w:tc>
                <w:tcPr>
                  <w:tcW w:w="4429" w:type="dxa"/>
                  <w:gridSpan w:val="2"/>
                  <w:tcBorders>
                    <w:top w:val="single" w:color="000000" w:sz="10" w:space="0"/>
                    <w:left w:val="nil"/>
                  </w:tcBorders>
                  <w:vAlign w:val="top"/>
                </w:tcPr>
                <w:p w14:paraId="4E913AB0">
                  <w:pPr>
                    <w:pStyle w:val="6"/>
                    <w:spacing w:before="55" w:line="228" w:lineRule="auto"/>
                    <w:ind w:left="1696"/>
                    <w:rPr>
                      <w:sz w:val="20"/>
                      <w:szCs w:val="20"/>
                    </w:rPr>
                  </w:pPr>
                  <w:r>
                    <w:rPr>
                      <w:b/>
                      <w:bCs/>
                      <w:spacing w:val="6"/>
                      <w:sz w:val="20"/>
                      <w:szCs w:val="20"/>
                    </w:rPr>
                    <w:t>污染物名称</w:t>
                  </w:r>
                </w:p>
              </w:tc>
              <w:tc>
                <w:tcPr>
                  <w:tcW w:w="4241" w:type="dxa"/>
                  <w:tcBorders>
                    <w:top w:val="single" w:color="000000" w:sz="10" w:space="0"/>
                    <w:right w:val="nil"/>
                  </w:tcBorders>
                  <w:vAlign w:val="top"/>
                </w:tcPr>
                <w:p w14:paraId="3B0D2DE0">
                  <w:pPr>
                    <w:pStyle w:val="6"/>
                    <w:spacing w:before="55" w:line="228" w:lineRule="auto"/>
                    <w:ind w:left="1600"/>
                    <w:rPr>
                      <w:sz w:val="20"/>
                      <w:szCs w:val="20"/>
                    </w:rPr>
                  </w:pPr>
                  <w:r>
                    <w:rPr>
                      <w:b/>
                      <w:bCs/>
                      <w:spacing w:val="6"/>
                      <w:sz w:val="20"/>
                      <w:szCs w:val="20"/>
                    </w:rPr>
                    <w:t>核定排放量</w:t>
                  </w:r>
                </w:p>
              </w:tc>
            </w:tr>
            <w:tr w14:paraId="6BCE7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2018" w:type="dxa"/>
                  <w:vMerge w:val="restart"/>
                  <w:tcBorders>
                    <w:left w:val="nil"/>
                    <w:bottom w:val="nil"/>
                  </w:tcBorders>
                  <w:vAlign w:val="top"/>
                </w:tcPr>
                <w:p w14:paraId="7E97284C">
                  <w:pPr>
                    <w:spacing w:line="307" w:lineRule="auto"/>
                    <w:rPr>
                      <w:rFonts w:ascii="Arial"/>
                      <w:sz w:val="21"/>
                    </w:rPr>
                  </w:pPr>
                </w:p>
                <w:p w14:paraId="17571339">
                  <w:pPr>
                    <w:pStyle w:val="6"/>
                    <w:spacing w:before="65" w:line="228" w:lineRule="auto"/>
                    <w:ind w:left="806"/>
                    <w:rPr>
                      <w:sz w:val="20"/>
                      <w:szCs w:val="20"/>
                    </w:rPr>
                  </w:pPr>
                  <w:r>
                    <w:rPr>
                      <w:spacing w:val="5"/>
                      <w:sz w:val="20"/>
                      <w:szCs w:val="20"/>
                    </w:rPr>
                    <w:t>废气</w:t>
                  </w:r>
                </w:p>
              </w:tc>
              <w:tc>
                <w:tcPr>
                  <w:tcW w:w="2411" w:type="dxa"/>
                  <w:vAlign w:val="top"/>
                </w:tcPr>
                <w:p w14:paraId="433E401A">
                  <w:pPr>
                    <w:pStyle w:val="6"/>
                    <w:spacing w:before="134" w:line="228" w:lineRule="auto"/>
                    <w:ind w:left="892"/>
                    <w:rPr>
                      <w:sz w:val="20"/>
                      <w:szCs w:val="20"/>
                    </w:rPr>
                  </w:pPr>
                  <w:r>
                    <w:rPr>
                      <w:spacing w:val="7"/>
                      <w:sz w:val="20"/>
                      <w:szCs w:val="20"/>
                    </w:rPr>
                    <w:t>颗粒物</w:t>
                  </w:r>
                </w:p>
              </w:tc>
              <w:tc>
                <w:tcPr>
                  <w:tcW w:w="4241" w:type="dxa"/>
                  <w:tcBorders>
                    <w:right w:val="nil"/>
                  </w:tcBorders>
                  <w:vAlign w:val="top"/>
                </w:tcPr>
                <w:p w14:paraId="783334CF">
                  <w:pPr>
                    <w:spacing w:before="165" w:line="199" w:lineRule="auto"/>
                    <w:ind w:left="162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0.000133t/a</w:t>
                  </w:r>
                </w:p>
              </w:tc>
            </w:tr>
            <w:tr w14:paraId="2627E7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5" w:hRule="atLeast"/>
              </w:trPr>
              <w:tc>
                <w:tcPr>
                  <w:tcW w:w="2018" w:type="dxa"/>
                  <w:vMerge w:val="continue"/>
                  <w:tcBorders>
                    <w:top w:val="nil"/>
                    <w:left w:val="nil"/>
                    <w:bottom w:val="single" w:color="000000" w:sz="10" w:space="0"/>
                  </w:tcBorders>
                  <w:vAlign w:val="top"/>
                </w:tcPr>
                <w:p w14:paraId="1C604EC1">
                  <w:pPr>
                    <w:rPr>
                      <w:rFonts w:ascii="Arial"/>
                      <w:sz w:val="21"/>
                    </w:rPr>
                  </w:pPr>
                </w:p>
              </w:tc>
              <w:tc>
                <w:tcPr>
                  <w:tcW w:w="2411" w:type="dxa"/>
                  <w:tcBorders>
                    <w:bottom w:val="single" w:color="000000" w:sz="10" w:space="0"/>
                  </w:tcBorders>
                  <w:vAlign w:val="top"/>
                </w:tcPr>
                <w:p w14:paraId="004218F6">
                  <w:pPr>
                    <w:pStyle w:val="6"/>
                    <w:spacing w:before="142" w:line="228" w:lineRule="auto"/>
                    <w:ind w:left="685"/>
                    <w:rPr>
                      <w:sz w:val="20"/>
                      <w:szCs w:val="20"/>
                    </w:rPr>
                  </w:pPr>
                  <w:r>
                    <w:rPr>
                      <w:spacing w:val="7"/>
                      <w:sz w:val="20"/>
                      <w:szCs w:val="20"/>
                    </w:rPr>
                    <w:t>非甲烷总烃</w:t>
                  </w:r>
                </w:p>
              </w:tc>
              <w:tc>
                <w:tcPr>
                  <w:tcW w:w="4241" w:type="dxa"/>
                  <w:tcBorders>
                    <w:bottom w:val="single" w:color="000000" w:sz="10" w:space="0"/>
                    <w:right w:val="nil"/>
                  </w:tcBorders>
                  <w:vAlign w:val="top"/>
                </w:tcPr>
                <w:p w14:paraId="04E44F00">
                  <w:pPr>
                    <w:spacing w:before="174" w:line="199" w:lineRule="auto"/>
                    <w:ind w:left="172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0.0001t/a</w:t>
                  </w:r>
                </w:p>
              </w:tc>
            </w:tr>
          </w:tbl>
          <w:p w14:paraId="7121BF71">
            <w:pPr>
              <w:rPr>
                <w:rFonts w:ascii="Arial"/>
                <w:sz w:val="21"/>
              </w:rPr>
            </w:pPr>
          </w:p>
        </w:tc>
      </w:tr>
    </w:tbl>
    <w:p w14:paraId="355A0EDD">
      <w:pPr>
        <w:pStyle w:val="2"/>
      </w:pPr>
    </w:p>
    <w:p w14:paraId="03D1F16D">
      <w:pPr>
        <w:sectPr>
          <w:footerReference r:id="rId64" w:type="default"/>
          <w:pgSz w:w="11906" w:h="16839"/>
          <w:pgMar w:top="1270" w:right="1266" w:bottom="1263" w:left="1265" w:header="0" w:footer="1097" w:gutter="0"/>
          <w:cols w:space="720" w:num="1"/>
        </w:sectPr>
      </w:pPr>
    </w:p>
    <w:p w14:paraId="3EB10B2A">
      <w:pPr>
        <w:spacing w:before="55" w:line="221" w:lineRule="auto"/>
        <w:ind w:left="2674"/>
        <w:outlineLvl w:val="0"/>
        <w:rPr>
          <w:rFonts w:ascii="宋体" w:hAnsi="宋体" w:eastAsia="宋体" w:cs="宋体"/>
          <w:sz w:val="28"/>
          <w:szCs w:val="28"/>
        </w:rPr>
      </w:pPr>
      <w:r>
        <w:rPr>
          <w:rFonts w:ascii="宋体" w:hAnsi="宋体" w:eastAsia="宋体" w:cs="宋体"/>
          <w:b/>
          <w:bCs/>
          <w:spacing w:val="-5"/>
          <w:sz w:val="28"/>
          <w:szCs w:val="28"/>
        </w:rPr>
        <w:t>四、主要环境影响和保护措施</w:t>
      </w:r>
    </w:p>
    <w:p w14:paraId="2DF32D42">
      <w:pPr>
        <w:spacing w:line="117" w:lineRule="exact"/>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0838D6E9">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545" w:hRule="atLeast"/>
        </w:trPr>
        <w:tc>
          <w:tcPr>
            <w:tcW w:w="477" w:type="dxa"/>
            <w:tcBorders>
              <w:right w:val="single" w:color="000000" w:sz="2" w:space="0"/>
            </w:tcBorders>
            <w:textDirection w:val="tbRlV"/>
            <w:vAlign w:val="top"/>
          </w:tcPr>
          <w:p w14:paraId="456473C4">
            <w:pPr>
              <w:pStyle w:val="6"/>
              <w:spacing w:before="137" w:line="217" w:lineRule="auto"/>
              <w:ind w:left="4797"/>
              <w:rPr>
                <w:sz w:val="20"/>
                <w:szCs w:val="20"/>
              </w:rPr>
            </w:pPr>
            <w:r>
              <w:rPr>
                <w:spacing w:val="8"/>
                <w:sz w:val="20"/>
                <w:szCs w:val="20"/>
              </w:rPr>
              <w:t>施</w:t>
            </w:r>
            <w:r>
              <w:rPr>
                <w:spacing w:val="32"/>
                <w:sz w:val="20"/>
                <w:szCs w:val="20"/>
              </w:rPr>
              <w:t xml:space="preserve">  </w:t>
            </w:r>
            <w:r>
              <w:rPr>
                <w:spacing w:val="8"/>
                <w:sz w:val="20"/>
                <w:szCs w:val="20"/>
              </w:rPr>
              <w:t>工</w:t>
            </w:r>
            <w:r>
              <w:rPr>
                <w:spacing w:val="30"/>
                <w:sz w:val="20"/>
                <w:szCs w:val="20"/>
              </w:rPr>
              <w:t xml:space="preserve">  </w:t>
            </w:r>
            <w:r>
              <w:rPr>
                <w:spacing w:val="8"/>
                <w:sz w:val="20"/>
                <w:szCs w:val="20"/>
              </w:rPr>
              <w:t>期</w:t>
            </w:r>
            <w:r>
              <w:rPr>
                <w:spacing w:val="29"/>
                <w:sz w:val="20"/>
                <w:szCs w:val="20"/>
              </w:rPr>
              <w:t xml:space="preserve">  </w:t>
            </w:r>
            <w:r>
              <w:rPr>
                <w:spacing w:val="8"/>
                <w:sz w:val="20"/>
                <w:szCs w:val="20"/>
              </w:rPr>
              <w:t>环</w:t>
            </w:r>
            <w:r>
              <w:rPr>
                <w:spacing w:val="30"/>
                <w:sz w:val="20"/>
                <w:szCs w:val="20"/>
              </w:rPr>
              <w:t xml:space="preserve">  </w:t>
            </w:r>
            <w:r>
              <w:rPr>
                <w:spacing w:val="8"/>
                <w:sz w:val="20"/>
                <w:szCs w:val="20"/>
              </w:rPr>
              <w:t>境</w:t>
            </w:r>
            <w:r>
              <w:rPr>
                <w:spacing w:val="30"/>
                <w:sz w:val="20"/>
                <w:szCs w:val="20"/>
              </w:rPr>
              <w:t xml:space="preserve">  </w:t>
            </w:r>
            <w:r>
              <w:rPr>
                <w:spacing w:val="8"/>
                <w:sz w:val="20"/>
                <w:szCs w:val="20"/>
              </w:rPr>
              <w:t>保</w:t>
            </w:r>
            <w:r>
              <w:rPr>
                <w:spacing w:val="29"/>
                <w:sz w:val="20"/>
                <w:szCs w:val="20"/>
              </w:rPr>
              <w:t xml:space="preserve">  </w:t>
            </w:r>
            <w:r>
              <w:rPr>
                <w:spacing w:val="8"/>
                <w:sz w:val="20"/>
                <w:szCs w:val="20"/>
              </w:rPr>
              <w:t>护</w:t>
            </w:r>
            <w:r>
              <w:rPr>
                <w:spacing w:val="30"/>
                <w:sz w:val="20"/>
                <w:szCs w:val="20"/>
              </w:rPr>
              <w:t xml:space="preserve">  </w:t>
            </w:r>
            <w:r>
              <w:rPr>
                <w:spacing w:val="8"/>
                <w:sz w:val="20"/>
                <w:szCs w:val="20"/>
              </w:rPr>
              <w:t>措</w:t>
            </w:r>
            <w:r>
              <w:rPr>
                <w:spacing w:val="29"/>
                <w:sz w:val="20"/>
                <w:szCs w:val="20"/>
              </w:rPr>
              <w:t xml:space="preserve">  </w:t>
            </w:r>
            <w:r>
              <w:rPr>
                <w:spacing w:val="8"/>
                <w:sz w:val="20"/>
                <w:szCs w:val="20"/>
              </w:rPr>
              <w:t>施</w:t>
            </w:r>
          </w:p>
        </w:tc>
        <w:tc>
          <w:tcPr>
            <w:tcW w:w="8425" w:type="dxa"/>
            <w:tcBorders>
              <w:left w:val="single" w:color="000000" w:sz="2" w:space="0"/>
            </w:tcBorders>
            <w:vAlign w:val="top"/>
          </w:tcPr>
          <w:p w14:paraId="675D1A05">
            <w:pPr>
              <w:pStyle w:val="6"/>
              <w:spacing w:before="40" w:line="220" w:lineRule="auto"/>
              <w:ind w:left="602"/>
              <w:outlineLvl w:val="1"/>
            </w:pPr>
            <w:r>
              <w:rPr>
                <w:b/>
                <w:bCs/>
                <w:spacing w:val="-4"/>
              </w:rPr>
              <w:t>1、施工期环境空气污染防治措施</w:t>
            </w:r>
          </w:p>
          <w:p w14:paraId="30EB1877">
            <w:pPr>
              <w:pStyle w:val="6"/>
              <w:spacing w:before="179" w:line="321" w:lineRule="auto"/>
              <w:ind w:left="104" w:right="94" w:firstLine="491"/>
            </w:pPr>
            <w:r>
              <w:rPr>
                <w:spacing w:val="-2"/>
              </w:rPr>
              <w:t>（</w:t>
            </w:r>
            <w:r>
              <w:rPr>
                <w:rFonts w:ascii="Calibri" w:hAnsi="Calibri" w:eastAsia="Calibri" w:cs="Calibri"/>
                <w:spacing w:val="-2"/>
              </w:rPr>
              <w:t>1</w:t>
            </w:r>
            <w:r>
              <w:rPr>
                <w:spacing w:val="-2"/>
              </w:rPr>
              <w:t>）在本项目施工过程中，作业场地应设置</w:t>
            </w:r>
            <w:r>
              <w:rPr>
                <w:spacing w:val="-39"/>
              </w:rPr>
              <w:t xml:space="preserve"> </w:t>
            </w:r>
            <w:r>
              <w:rPr>
                <w:rFonts w:ascii="Calibri" w:hAnsi="Calibri" w:eastAsia="Calibri" w:cs="Calibri"/>
                <w:spacing w:val="-2"/>
              </w:rPr>
              <w:t>1.8</w:t>
            </w:r>
            <w:r>
              <w:rPr>
                <w:spacing w:val="-2"/>
              </w:rPr>
              <w:t>～</w:t>
            </w:r>
            <w:r>
              <w:rPr>
                <w:rFonts w:ascii="Calibri" w:hAnsi="Calibri" w:eastAsia="Calibri" w:cs="Calibri"/>
                <w:spacing w:val="-2"/>
              </w:rPr>
              <w:t>2</w:t>
            </w:r>
            <w:r>
              <w:rPr>
                <w:rFonts w:ascii="Calibri" w:hAnsi="Calibri" w:eastAsia="Calibri" w:cs="Calibri"/>
                <w:spacing w:val="-3"/>
              </w:rPr>
              <w:t>.5m</w:t>
            </w:r>
            <w:r>
              <w:rPr>
                <w:rFonts w:ascii="Calibri" w:hAnsi="Calibri" w:eastAsia="Calibri" w:cs="Calibri"/>
                <w:spacing w:val="22"/>
              </w:rPr>
              <w:t xml:space="preserve"> </w:t>
            </w:r>
            <w:r>
              <w:rPr>
                <w:spacing w:val="-3"/>
              </w:rPr>
              <w:t>高围挡以减少扬尘</w:t>
            </w:r>
            <w:r>
              <w:t xml:space="preserve"> </w:t>
            </w:r>
            <w:r>
              <w:rPr>
                <w:spacing w:val="1"/>
              </w:rPr>
              <w:t>扩散，并严禁在挡墙外堆放施工材料、建筑垃圾和渣土；围挡对减少扬尘对环</w:t>
            </w:r>
            <w:r>
              <w:rPr>
                <w:spacing w:val="15"/>
              </w:rPr>
              <w:t xml:space="preserve"> </w:t>
            </w:r>
            <w:r>
              <w:rPr>
                <w:spacing w:val="-2"/>
              </w:rPr>
              <w:t>境的污染有明显作用，当风速为</w:t>
            </w:r>
            <w:r>
              <w:rPr>
                <w:spacing w:val="-32"/>
              </w:rPr>
              <w:t xml:space="preserve"> </w:t>
            </w:r>
            <w:r>
              <w:rPr>
                <w:rFonts w:ascii="Calibri" w:hAnsi="Calibri" w:eastAsia="Calibri" w:cs="Calibri"/>
                <w:spacing w:val="-2"/>
              </w:rPr>
              <w:t>2.5m/s</w:t>
            </w:r>
            <w:r>
              <w:rPr>
                <w:rFonts w:ascii="Calibri" w:hAnsi="Calibri" w:eastAsia="Calibri" w:cs="Calibri"/>
                <w:spacing w:val="23"/>
                <w:w w:val="101"/>
              </w:rPr>
              <w:t xml:space="preserve"> </w:t>
            </w:r>
            <w:r>
              <w:rPr>
                <w:spacing w:val="-2"/>
              </w:rPr>
              <w:t>时可使影响距离缩短</w:t>
            </w:r>
            <w:r>
              <w:rPr>
                <w:spacing w:val="-55"/>
              </w:rPr>
              <w:t xml:space="preserve"> </w:t>
            </w:r>
            <w:r>
              <w:rPr>
                <w:rFonts w:ascii="Calibri" w:hAnsi="Calibri" w:eastAsia="Calibri" w:cs="Calibri"/>
                <w:spacing w:val="-2"/>
              </w:rPr>
              <w:t>40%</w:t>
            </w:r>
            <w:r>
              <w:rPr>
                <w:spacing w:val="-2"/>
              </w:rPr>
              <w:t>。</w:t>
            </w:r>
          </w:p>
          <w:p w14:paraId="0F386D14">
            <w:pPr>
              <w:pStyle w:val="6"/>
              <w:spacing w:before="151" w:line="324" w:lineRule="auto"/>
              <w:ind w:left="104" w:right="35" w:firstLine="491"/>
            </w:pPr>
            <w:r>
              <w:rPr>
                <w:spacing w:val="-3"/>
              </w:rPr>
              <w:t>（</w:t>
            </w:r>
            <w:r>
              <w:rPr>
                <w:rFonts w:ascii="Calibri" w:hAnsi="Calibri" w:eastAsia="Calibri" w:cs="Calibri"/>
                <w:spacing w:val="-3"/>
              </w:rPr>
              <w:t>2</w:t>
            </w:r>
            <w:r>
              <w:rPr>
                <w:spacing w:val="-3"/>
              </w:rPr>
              <w:t>）定期对施工场地洒水以减少二次扬尘作业面，场地洒水后，扬尘量将</w:t>
            </w:r>
            <w:r>
              <w:rPr>
                <w:spacing w:val="13"/>
              </w:rPr>
              <w:t xml:space="preserve"> </w:t>
            </w:r>
            <w:r>
              <w:rPr>
                <w:spacing w:val="-5"/>
              </w:rPr>
              <w:t>降低</w:t>
            </w:r>
            <w:r>
              <w:rPr>
                <w:spacing w:val="-47"/>
              </w:rPr>
              <w:t xml:space="preserve"> </w:t>
            </w:r>
            <w:r>
              <w:rPr>
                <w:rFonts w:ascii="Calibri" w:hAnsi="Calibri" w:eastAsia="Calibri" w:cs="Calibri"/>
                <w:spacing w:val="-5"/>
              </w:rPr>
              <w:t>28%~75%</w:t>
            </w:r>
            <w:r>
              <w:rPr>
                <w:spacing w:val="-5"/>
              </w:rPr>
              <w:t>，可大大减少其对环境的影响；加强粉状建材转运与使用</w:t>
            </w:r>
            <w:r>
              <w:rPr>
                <w:spacing w:val="-6"/>
              </w:rPr>
              <w:t>的管理，</w:t>
            </w:r>
            <w:r>
              <w:t xml:space="preserve"> </w:t>
            </w:r>
            <w:r>
              <w:rPr>
                <w:spacing w:val="1"/>
              </w:rPr>
              <w:t>运输散装建材应采用专用车辆，并加以覆盖，对车辆运输中丢撒的弃土要及时</w:t>
            </w:r>
            <w:r>
              <w:rPr>
                <w:spacing w:val="15"/>
              </w:rPr>
              <w:t xml:space="preserve"> </w:t>
            </w:r>
            <w:r>
              <w:rPr>
                <w:spacing w:val="-1"/>
              </w:rPr>
              <w:t>清扫、冲洗，减少粉尘污染对市容市貌的不良影响。</w:t>
            </w:r>
          </w:p>
          <w:p w14:paraId="5BD18B09">
            <w:pPr>
              <w:pStyle w:val="6"/>
              <w:spacing w:before="183" w:line="324" w:lineRule="auto"/>
              <w:ind w:left="104" w:right="94" w:firstLine="491"/>
            </w:pPr>
            <w:r>
              <w:rPr>
                <w:spacing w:val="-3"/>
              </w:rPr>
              <w:t>（</w:t>
            </w:r>
            <w:r>
              <w:rPr>
                <w:rFonts w:ascii="Calibri" w:hAnsi="Calibri" w:eastAsia="Calibri" w:cs="Calibri"/>
                <w:spacing w:val="-3"/>
              </w:rPr>
              <w:t>3</w:t>
            </w:r>
            <w:r>
              <w:rPr>
                <w:spacing w:val="-3"/>
              </w:rPr>
              <w:t>）对运载建筑材料及建筑垃圾的车辆加盖蓬布以减少洒落，车辆行驶线</w:t>
            </w:r>
            <w:r>
              <w:rPr>
                <w:spacing w:val="13"/>
              </w:rPr>
              <w:t xml:space="preserve"> </w:t>
            </w:r>
            <w:r>
              <w:rPr>
                <w:spacing w:val="1"/>
              </w:rPr>
              <w:t>路应避开敏感点。施工场地出口设车辆清洗池，车辆驶出施工场地前，应将车</w:t>
            </w:r>
            <w:r>
              <w:rPr>
                <w:spacing w:val="15"/>
              </w:rPr>
              <w:t xml:space="preserve"> </w:t>
            </w:r>
            <w:r>
              <w:rPr>
                <w:spacing w:val="1"/>
              </w:rPr>
              <w:t>厢外和轮胎冲洗干净，避免车辆将泥土带到道路上产生二次扬尘，冲洗水沉淀</w:t>
            </w:r>
            <w:r>
              <w:rPr>
                <w:spacing w:val="15"/>
              </w:rPr>
              <w:t xml:space="preserve"> </w:t>
            </w:r>
            <w:r>
              <w:rPr>
                <w:spacing w:val="-2"/>
              </w:rPr>
              <w:t>后循环使用。</w:t>
            </w:r>
          </w:p>
          <w:p w14:paraId="77F439B2">
            <w:pPr>
              <w:pStyle w:val="6"/>
              <w:spacing w:before="179" w:line="290" w:lineRule="auto"/>
              <w:ind w:left="109" w:right="97" w:firstLine="486"/>
            </w:pPr>
            <w:r>
              <w:rPr>
                <w:spacing w:val="-3"/>
              </w:rPr>
              <w:t>（</w:t>
            </w:r>
            <w:r>
              <w:rPr>
                <w:rFonts w:ascii="Calibri" w:hAnsi="Calibri" w:eastAsia="Calibri" w:cs="Calibri"/>
                <w:spacing w:val="-3"/>
              </w:rPr>
              <w:t>4</w:t>
            </w:r>
            <w:r>
              <w:rPr>
                <w:spacing w:val="-3"/>
              </w:rPr>
              <w:t>）使用商品混凝土，尽量避免在大风天气下进行施工作业，大于四级风</w:t>
            </w:r>
            <w:r>
              <w:rPr>
                <w:spacing w:val="13"/>
              </w:rPr>
              <w:t xml:space="preserve"> </w:t>
            </w:r>
            <w:r>
              <w:rPr>
                <w:spacing w:val="-2"/>
              </w:rPr>
              <w:t>天气禁止土方工程。</w:t>
            </w:r>
          </w:p>
          <w:p w14:paraId="31B6368A">
            <w:pPr>
              <w:pStyle w:val="6"/>
              <w:spacing w:before="180" w:line="313" w:lineRule="auto"/>
              <w:ind w:left="105" w:right="35" w:firstLine="490"/>
            </w:pPr>
            <w:r>
              <w:rPr>
                <w:spacing w:val="-1"/>
              </w:rPr>
              <w:t>（</w:t>
            </w:r>
            <w:r>
              <w:rPr>
                <w:rFonts w:ascii="Calibri" w:hAnsi="Calibri" w:eastAsia="Calibri" w:cs="Calibri"/>
                <w:spacing w:val="-1"/>
              </w:rPr>
              <w:t>5</w:t>
            </w:r>
            <w:r>
              <w:rPr>
                <w:spacing w:val="-1"/>
              </w:rPr>
              <w:t>）在施工场地设置专人管理建筑垃圾、建筑材料的堆放、清运和处置，</w:t>
            </w:r>
            <w:r>
              <w:rPr>
                <w:spacing w:val="8"/>
              </w:rPr>
              <w:t xml:space="preserve"> </w:t>
            </w:r>
            <w:r>
              <w:rPr>
                <w:spacing w:val="-4"/>
              </w:rPr>
              <w:t>堆放场地应远离周围居民区，并避开居民区的上风向，必要时加盖苫布或洒水，</w:t>
            </w:r>
            <w:r>
              <w:rPr>
                <w:spacing w:val="7"/>
              </w:rPr>
              <w:t xml:space="preserve"> </w:t>
            </w:r>
            <w:r>
              <w:rPr>
                <w:spacing w:val="-2"/>
              </w:rPr>
              <w:t>防止二次扬尘污染。</w:t>
            </w:r>
          </w:p>
          <w:p w14:paraId="73C667E3">
            <w:pPr>
              <w:pStyle w:val="6"/>
              <w:spacing w:before="181" w:line="289" w:lineRule="auto"/>
              <w:ind w:left="103" w:right="97" w:firstLine="492"/>
            </w:pPr>
            <w:r>
              <w:rPr>
                <w:spacing w:val="-3"/>
              </w:rPr>
              <w:t>（</w:t>
            </w:r>
            <w:r>
              <w:rPr>
                <w:rFonts w:ascii="Calibri" w:hAnsi="Calibri" w:eastAsia="Calibri" w:cs="Calibri"/>
                <w:spacing w:val="-3"/>
              </w:rPr>
              <w:t>6</w:t>
            </w:r>
            <w:r>
              <w:rPr>
                <w:spacing w:val="-3"/>
              </w:rPr>
              <w:t>）对建筑垃圾及时处理、清运，以减少占地，防止扬尘污染，改善施工</w:t>
            </w:r>
            <w:r>
              <w:rPr>
                <w:spacing w:val="13"/>
              </w:rPr>
              <w:t xml:space="preserve"> </w:t>
            </w:r>
            <w:r>
              <w:rPr>
                <w:spacing w:val="-2"/>
              </w:rPr>
              <w:t>场地的环境。</w:t>
            </w:r>
          </w:p>
          <w:p w14:paraId="31F1CF8D">
            <w:pPr>
              <w:pStyle w:val="6"/>
              <w:spacing w:before="181" w:line="289" w:lineRule="auto"/>
              <w:ind w:left="105" w:right="74" w:firstLine="490"/>
            </w:pPr>
            <w:r>
              <w:rPr>
                <w:spacing w:val="-2"/>
              </w:rPr>
              <w:t>（</w:t>
            </w:r>
            <w:r>
              <w:rPr>
                <w:rFonts w:ascii="Calibri" w:hAnsi="Calibri" w:eastAsia="Calibri" w:cs="Calibri"/>
                <w:spacing w:val="-2"/>
              </w:rPr>
              <w:t>7</w:t>
            </w:r>
            <w:r>
              <w:rPr>
                <w:spacing w:val="-2"/>
              </w:rPr>
              <w:t>）施工现场禁止以焚烧方式处理橡胶、塑料、垃圾，及其它产生有毒、</w:t>
            </w:r>
            <w:r>
              <w:rPr>
                <w:spacing w:val="2"/>
              </w:rPr>
              <w:t xml:space="preserve"> </w:t>
            </w:r>
            <w:r>
              <w:rPr>
                <w:spacing w:val="-1"/>
              </w:rPr>
              <w:t>有害烟尘或恶臭气体的物质。</w:t>
            </w:r>
          </w:p>
          <w:p w14:paraId="3BB7C1C7">
            <w:pPr>
              <w:pStyle w:val="6"/>
              <w:spacing w:before="184" w:line="312" w:lineRule="auto"/>
              <w:ind w:left="103" w:right="35" w:firstLine="492"/>
            </w:pPr>
            <w:r>
              <w:rPr>
                <w:spacing w:val="-8"/>
              </w:rPr>
              <w:t>（</w:t>
            </w:r>
            <w:r>
              <w:rPr>
                <w:rFonts w:ascii="Calibri" w:hAnsi="Calibri" w:eastAsia="Calibri" w:cs="Calibri"/>
                <w:spacing w:val="-8"/>
              </w:rPr>
              <w:t>8</w:t>
            </w:r>
            <w:r>
              <w:rPr>
                <w:spacing w:val="-8"/>
              </w:rPr>
              <w:t>）建设单位应对施工单位加强监管，在招标中明确施工期环境保护要求，</w:t>
            </w:r>
            <w:r>
              <w:rPr>
                <w:spacing w:val="7"/>
              </w:rPr>
              <w:t xml:space="preserve"> </w:t>
            </w:r>
            <w:r>
              <w:rPr>
                <w:spacing w:val="1"/>
              </w:rPr>
              <w:t>要求施工单位文明施工，如施工场地硬化，及时清运建筑垃圾，土方和物料堆</w:t>
            </w:r>
            <w:r>
              <w:rPr>
                <w:spacing w:val="16"/>
              </w:rPr>
              <w:t xml:space="preserve"> </w:t>
            </w:r>
            <w:r>
              <w:rPr>
                <w:spacing w:val="-1"/>
              </w:rPr>
              <w:t>存应采取苫布覆盖、表面洒水抑尘或表面夯实处理等措施抑尘。</w:t>
            </w:r>
          </w:p>
          <w:p w14:paraId="347F5D2B">
            <w:pPr>
              <w:pStyle w:val="6"/>
              <w:spacing w:before="184" w:line="219" w:lineRule="auto"/>
              <w:ind w:left="596"/>
            </w:pPr>
            <w:r>
              <w:rPr>
                <w:spacing w:val="-1"/>
              </w:rPr>
              <w:t>（</w:t>
            </w:r>
            <w:r>
              <w:rPr>
                <w:rFonts w:ascii="Calibri" w:hAnsi="Calibri" w:eastAsia="Calibri" w:cs="Calibri"/>
                <w:spacing w:val="-1"/>
              </w:rPr>
              <w:t>9</w:t>
            </w:r>
            <w:r>
              <w:rPr>
                <w:spacing w:val="-1"/>
              </w:rPr>
              <w:t>）施工车辆尾气为非连续排放，再经空气扩散后可使污染降到最低。</w:t>
            </w:r>
          </w:p>
          <w:p w14:paraId="0A045BF2">
            <w:pPr>
              <w:pStyle w:val="6"/>
              <w:spacing w:before="181" w:line="350" w:lineRule="auto"/>
              <w:ind w:left="107" w:right="94" w:firstLine="483"/>
              <w:jc w:val="both"/>
            </w:pPr>
            <w:r>
              <w:rPr>
                <w:spacing w:val="1"/>
              </w:rPr>
              <w:t>总之，只要加强管理，切实落实好这些措施，施工废气对环境的影响将会</w:t>
            </w:r>
            <w:r>
              <w:rPr>
                <w:spacing w:val="10"/>
              </w:rPr>
              <w:t xml:space="preserve"> </w:t>
            </w:r>
            <w:r>
              <w:rPr>
                <w:spacing w:val="1"/>
              </w:rPr>
              <w:t>大大降低，施工场界满足《大气污染物综合排放标准》（</w:t>
            </w:r>
            <w:r>
              <w:rPr>
                <w:rFonts w:ascii="Calibri" w:hAnsi="Calibri" w:eastAsia="Calibri" w:cs="Calibri"/>
              </w:rPr>
              <w:t>GB</w:t>
            </w:r>
            <w:r>
              <w:rPr>
                <w:rFonts w:ascii="Calibri" w:hAnsi="Calibri" w:eastAsia="Calibri" w:cs="Calibri"/>
                <w:spacing w:val="1"/>
              </w:rPr>
              <w:t>16297-</w:t>
            </w:r>
            <w:r>
              <w:rPr>
                <w:rFonts w:ascii="Calibri" w:hAnsi="Calibri" w:eastAsia="Calibri" w:cs="Calibri"/>
              </w:rPr>
              <w:t>1996</w:t>
            </w:r>
            <w:r>
              <w:t>）无组 织排放监控浓度限值标准要求，对区域环境</w:t>
            </w:r>
            <w:r>
              <w:rPr>
                <w:spacing w:val="-1"/>
              </w:rPr>
              <w:t>空气不会产生明显的扬尘影响。</w:t>
            </w:r>
          </w:p>
          <w:p w14:paraId="4D547319">
            <w:pPr>
              <w:pStyle w:val="6"/>
              <w:spacing w:before="37" w:line="219" w:lineRule="auto"/>
              <w:ind w:left="587"/>
              <w:outlineLvl w:val="1"/>
            </w:pPr>
            <w:r>
              <w:rPr>
                <w:b/>
                <w:bCs/>
                <w:spacing w:val="-3"/>
              </w:rPr>
              <w:t>2、施工期地表水污染防治措施</w:t>
            </w:r>
          </w:p>
        </w:tc>
      </w:tr>
    </w:tbl>
    <w:p w14:paraId="0AA752CA">
      <w:pPr>
        <w:pStyle w:val="2"/>
        <w:spacing w:line="75" w:lineRule="exact"/>
        <w:rPr>
          <w:sz w:val="6"/>
        </w:rPr>
      </w:pPr>
    </w:p>
    <w:p w14:paraId="2B210055">
      <w:pPr>
        <w:spacing w:line="75" w:lineRule="exact"/>
        <w:rPr>
          <w:sz w:val="6"/>
          <w:szCs w:val="6"/>
        </w:rPr>
        <w:sectPr>
          <w:footerReference r:id="rId65" w:type="default"/>
          <w:pgSz w:w="11906" w:h="16839"/>
          <w:pgMar w:top="1385"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15F5543F">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12" w:hRule="atLeast"/>
        </w:trPr>
        <w:tc>
          <w:tcPr>
            <w:tcW w:w="477" w:type="dxa"/>
            <w:tcBorders>
              <w:right w:val="single" w:color="000000" w:sz="2" w:space="0"/>
            </w:tcBorders>
            <w:vAlign w:val="top"/>
          </w:tcPr>
          <w:p w14:paraId="7E52BB59">
            <w:pPr>
              <w:rPr>
                <w:rFonts w:ascii="Arial"/>
                <w:sz w:val="21"/>
              </w:rPr>
            </w:pPr>
          </w:p>
        </w:tc>
        <w:tc>
          <w:tcPr>
            <w:tcW w:w="8425" w:type="dxa"/>
            <w:tcBorders>
              <w:left w:val="single" w:color="000000" w:sz="2" w:space="0"/>
            </w:tcBorders>
            <w:vAlign w:val="top"/>
          </w:tcPr>
          <w:p w14:paraId="4AD383F1">
            <w:pPr>
              <w:pStyle w:val="6"/>
              <w:spacing w:before="40" w:line="219" w:lineRule="auto"/>
              <w:ind w:left="587"/>
            </w:pPr>
            <w:r>
              <w:rPr>
                <w:spacing w:val="-1"/>
              </w:rPr>
              <w:t>为减小施工期对附近土壤、地表水的影响，施工期应采取以下治理措施：</w:t>
            </w:r>
          </w:p>
          <w:p w14:paraId="5417E68C">
            <w:pPr>
              <w:pStyle w:val="6"/>
              <w:spacing w:before="181" w:line="219" w:lineRule="auto"/>
              <w:ind w:left="596"/>
            </w:pPr>
            <w:r>
              <w:rPr>
                <w:spacing w:val="-1"/>
              </w:rPr>
              <w:t>（</w:t>
            </w:r>
            <w:r>
              <w:rPr>
                <w:rFonts w:ascii="Calibri" w:hAnsi="Calibri" w:eastAsia="Calibri" w:cs="Calibri"/>
                <w:spacing w:val="-1"/>
              </w:rPr>
              <w:t>1</w:t>
            </w:r>
            <w:r>
              <w:rPr>
                <w:spacing w:val="-1"/>
              </w:rPr>
              <w:t>）建议建设单位委托施工单位分类收集施工废水和生活污水。</w:t>
            </w:r>
          </w:p>
          <w:p w14:paraId="0B62A650">
            <w:pPr>
              <w:pStyle w:val="6"/>
              <w:spacing w:before="182" w:line="289" w:lineRule="auto"/>
              <w:ind w:left="104" w:right="97" w:firstLine="491"/>
            </w:pPr>
            <w:r>
              <w:rPr>
                <w:spacing w:val="-3"/>
              </w:rPr>
              <w:t>（</w:t>
            </w:r>
            <w:r>
              <w:rPr>
                <w:rFonts w:ascii="Calibri" w:hAnsi="Calibri" w:eastAsia="Calibri" w:cs="Calibri"/>
                <w:spacing w:val="-3"/>
              </w:rPr>
              <w:t>2</w:t>
            </w:r>
            <w:r>
              <w:rPr>
                <w:spacing w:val="-3"/>
              </w:rPr>
              <w:t>）施工废水不得以渗坑、渗井或漫流方式排放。施工工地的施工废水经</w:t>
            </w:r>
            <w:r>
              <w:rPr>
                <w:spacing w:val="13"/>
              </w:rPr>
              <w:t xml:space="preserve"> </w:t>
            </w:r>
            <w:r>
              <w:rPr>
                <w:spacing w:val="-1"/>
              </w:rPr>
              <w:t>沉淀处理达标后方用于场地抑尘，杜绝随意排放。</w:t>
            </w:r>
          </w:p>
          <w:p w14:paraId="499151C4">
            <w:pPr>
              <w:pStyle w:val="6"/>
              <w:spacing w:before="183" w:line="289" w:lineRule="auto"/>
              <w:ind w:left="105" w:right="97" w:firstLine="490"/>
            </w:pPr>
            <w:r>
              <w:rPr>
                <w:spacing w:val="-3"/>
              </w:rPr>
              <w:t>（</w:t>
            </w:r>
            <w:r>
              <w:rPr>
                <w:rFonts w:ascii="Calibri" w:hAnsi="Calibri" w:eastAsia="Calibri" w:cs="Calibri"/>
                <w:spacing w:val="-3"/>
              </w:rPr>
              <w:t>3</w:t>
            </w:r>
            <w:r>
              <w:rPr>
                <w:spacing w:val="-3"/>
              </w:rPr>
              <w:t>）施工人员生活污水中盥洗污水浇洒场地，用于降尘；现场设置防渗旱</w:t>
            </w:r>
            <w:r>
              <w:rPr>
                <w:spacing w:val="13"/>
              </w:rPr>
              <w:t xml:space="preserve"> </w:t>
            </w:r>
            <w:r>
              <w:rPr>
                <w:spacing w:val="-2"/>
              </w:rPr>
              <w:t>厕，定期清掏堆肥；</w:t>
            </w:r>
          </w:p>
          <w:p w14:paraId="3DBB7674">
            <w:pPr>
              <w:pStyle w:val="6"/>
              <w:spacing w:before="181" w:line="219" w:lineRule="auto"/>
              <w:ind w:left="596"/>
            </w:pPr>
            <w:r>
              <w:rPr>
                <w:spacing w:val="-1"/>
              </w:rPr>
              <w:t>（</w:t>
            </w:r>
            <w:r>
              <w:rPr>
                <w:rFonts w:ascii="Calibri" w:hAnsi="Calibri" w:eastAsia="Calibri" w:cs="Calibri"/>
                <w:spacing w:val="-1"/>
              </w:rPr>
              <w:t>4</w:t>
            </w:r>
            <w:r>
              <w:rPr>
                <w:spacing w:val="-1"/>
              </w:rPr>
              <w:t>）场地排水沟、排水设施按规范设计，加强管理，保证通畅无阻。</w:t>
            </w:r>
          </w:p>
          <w:p w14:paraId="0AD06733">
            <w:pPr>
              <w:pStyle w:val="6"/>
              <w:spacing w:before="183" w:line="220" w:lineRule="auto"/>
              <w:ind w:left="589"/>
              <w:outlineLvl w:val="1"/>
            </w:pPr>
            <w:r>
              <w:rPr>
                <w:b/>
                <w:bCs/>
                <w:spacing w:val="-3"/>
              </w:rPr>
              <w:t>3、施工期噪声污染防治措施</w:t>
            </w:r>
          </w:p>
          <w:p w14:paraId="241B5E45">
            <w:pPr>
              <w:pStyle w:val="6"/>
              <w:spacing w:before="179" w:line="219" w:lineRule="auto"/>
              <w:ind w:left="587"/>
            </w:pPr>
            <w:r>
              <w:rPr>
                <w:spacing w:val="-1"/>
              </w:rPr>
              <w:t>为了使施工期场界噪声达标，建议采取以下减缓措施：</w:t>
            </w:r>
          </w:p>
          <w:p w14:paraId="11D1124B">
            <w:pPr>
              <w:pStyle w:val="6"/>
              <w:spacing w:before="181" w:line="219" w:lineRule="auto"/>
              <w:ind w:left="596"/>
            </w:pPr>
            <w:r>
              <w:rPr>
                <w:spacing w:val="-3"/>
              </w:rPr>
              <w:t>（</w:t>
            </w:r>
            <w:r>
              <w:rPr>
                <w:rFonts w:ascii="Calibri" w:hAnsi="Calibri" w:eastAsia="Calibri" w:cs="Calibri"/>
                <w:spacing w:val="-3"/>
              </w:rPr>
              <w:t>1</w:t>
            </w:r>
            <w:r>
              <w:rPr>
                <w:spacing w:val="-3"/>
              </w:rPr>
              <w:t>）合理布局施工现场</w:t>
            </w:r>
          </w:p>
          <w:p w14:paraId="17260962">
            <w:pPr>
              <w:pStyle w:val="6"/>
              <w:spacing w:before="185" w:line="346" w:lineRule="auto"/>
              <w:ind w:left="109" w:right="94" w:firstLine="474"/>
            </w:pPr>
            <w:r>
              <w:rPr>
                <w:spacing w:val="1"/>
              </w:rPr>
              <w:t>施工过程中避免在同一地点安排大量动力机械设备施工，以减缓局部累积</w:t>
            </w:r>
            <w:r>
              <w:rPr>
                <w:spacing w:val="18"/>
              </w:rPr>
              <w:t xml:space="preserve"> </w:t>
            </w:r>
            <w:r>
              <w:rPr>
                <w:spacing w:val="-1"/>
              </w:rPr>
              <w:t>声级过高风险；各高噪声机械置于地块较中间位置作业，尽量远离场界。</w:t>
            </w:r>
          </w:p>
          <w:p w14:paraId="65D84630">
            <w:pPr>
              <w:pStyle w:val="6"/>
              <w:spacing w:before="33" w:line="221" w:lineRule="auto"/>
              <w:ind w:left="596"/>
            </w:pPr>
            <w:r>
              <w:rPr>
                <w:spacing w:val="-3"/>
              </w:rPr>
              <w:t>（</w:t>
            </w:r>
            <w:r>
              <w:rPr>
                <w:rFonts w:ascii="Calibri" w:hAnsi="Calibri" w:eastAsia="Calibri" w:cs="Calibri"/>
                <w:spacing w:val="-3"/>
              </w:rPr>
              <w:t>2</w:t>
            </w:r>
            <w:r>
              <w:rPr>
                <w:spacing w:val="-3"/>
              </w:rPr>
              <w:t>）合理安排施工时间</w:t>
            </w:r>
          </w:p>
          <w:p w14:paraId="5FB1CBA8">
            <w:pPr>
              <w:pStyle w:val="6"/>
              <w:spacing w:before="181" w:line="350" w:lineRule="auto"/>
              <w:ind w:left="104" w:right="97" w:firstLine="478"/>
            </w:pPr>
            <w:r>
              <w:rPr>
                <w:spacing w:val="1"/>
              </w:rPr>
              <w:t>避免高噪声设备同时施工，造成施工噪声集中现象。合理安排施工时间，</w:t>
            </w:r>
            <w:r>
              <w:rPr>
                <w:spacing w:val="17"/>
              </w:rPr>
              <w:t xml:space="preserve"> </w:t>
            </w:r>
            <w:r>
              <w:rPr>
                <w:spacing w:val="-2"/>
              </w:rPr>
              <w:t>制订施工计划时间。禁止夜间（</w:t>
            </w:r>
            <w:r>
              <w:rPr>
                <w:rFonts w:ascii="Calibri" w:hAnsi="Calibri" w:eastAsia="Calibri" w:cs="Calibri"/>
                <w:spacing w:val="-2"/>
              </w:rPr>
              <w:t>22:00~6:00</w:t>
            </w:r>
            <w:r>
              <w:rPr>
                <w:spacing w:val="-2"/>
              </w:rPr>
              <w:t>）施工</w:t>
            </w:r>
            <w:r>
              <w:rPr>
                <w:spacing w:val="-3"/>
              </w:rPr>
              <w:t>，施工单位应征求、听取周围</w:t>
            </w:r>
            <w:r>
              <w:t xml:space="preserve"> 群众的意见，对施工中可能出现的扰民现象及时予以</w:t>
            </w:r>
            <w:r>
              <w:rPr>
                <w:spacing w:val="-1"/>
              </w:rPr>
              <w:t>通报，并接受公众监督。</w:t>
            </w:r>
          </w:p>
          <w:p w14:paraId="492BD977">
            <w:pPr>
              <w:pStyle w:val="6"/>
              <w:spacing w:before="37" w:line="219" w:lineRule="auto"/>
              <w:ind w:left="596"/>
            </w:pPr>
            <w:r>
              <w:rPr>
                <w:spacing w:val="-3"/>
              </w:rPr>
              <w:t>（</w:t>
            </w:r>
            <w:r>
              <w:rPr>
                <w:rFonts w:ascii="Calibri" w:hAnsi="Calibri" w:eastAsia="Calibri" w:cs="Calibri"/>
                <w:spacing w:val="-3"/>
              </w:rPr>
              <w:t>3</w:t>
            </w:r>
            <w:r>
              <w:rPr>
                <w:spacing w:val="-3"/>
              </w:rPr>
              <w:t>）降低设备声级</w:t>
            </w:r>
          </w:p>
          <w:p w14:paraId="0374A047">
            <w:pPr>
              <w:pStyle w:val="6"/>
              <w:spacing w:before="181" w:line="350" w:lineRule="auto"/>
              <w:ind w:left="108" w:right="94" w:firstLine="480"/>
            </w:pPr>
            <w:r>
              <w:rPr>
                <w:spacing w:val="1"/>
              </w:rPr>
              <w:t>设备选型上，在不影响施工质量的前提下，应采用低噪声、低振动的设备</w:t>
            </w:r>
            <w:r>
              <w:rPr>
                <w:spacing w:val="13"/>
              </w:rPr>
              <w:t xml:space="preserve"> </w:t>
            </w:r>
            <w:r>
              <w:rPr>
                <w:spacing w:val="1"/>
              </w:rPr>
              <w:t>与施工方式进行地基施工与结构施工；经常对施工设备进行维修保养，避免因</w:t>
            </w:r>
            <w:r>
              <w:rPr>
                <w:spacing w:val="11"/>
              </w:rPr>
              <w:t xml:space="preserve"> </w:t>
            </w:r>
            <w:r>
              <w:rPr>
                <w:spacing w:val="-1"/>
              </w:rPr>
              <w:t>设备性能减退而使噪声增强的现象发生。</w:t>
            </w:r>
          </w:p>
          <w:p w14:paraId="42203EAA">
            <w:pPr>
              <w:pStyle w:val="6"/>
              <w:spacing w:before="33" w:line="219" w:lineRule="auto"/>
              <w:ind w:left="596"/>
            </w:pPr>
            <w:r>
              <w:rPr>
                <w:spacing w:val="-2"/>
              </w:rPr>
              <w:t>（</w:t>
            </w:r>
            <w:r>
              <w:rPr>
                <w:rFonts w:ascii="Calibri" w:hAnsi="Calibri" w:eastAsia="Calibri" w:cs="Calibri"/>
                <w:spacing w:val="-2"/>
              </w:rPr>
              <w:t>4</w:t>
            </w:r>
            <w:r>
              <w:rPr>
                <w:spacing w:val="-2"/>
              </w:rPr>
              <w:t>）施工时采用降噪作业方式</w:t>
            </w:r>
          </w:p>
          <w:p w14:paraId="6DCE6FA2">
            <w:pPr>
              <w:pStyle w:val="6"/>
              <w:spacing w:before="183" w:line="347" w:lineRule="auto"/>
              <w:ind w:left="109" w:right="94" w:firstLine="474"/>
            </w:pPr>
            <w:r>
              <w:rPr>
                <w:spacing w:val="1"/>
              </w:rPr>
              <w:t>对动力机械设备进行定期的维修、养护，避免设备因松动部件的振动或消</w:t>
            </w:r>
            <w:r>
              <w:rPr>
                <w:spacing w:val="18"/>
              </w:rPr>
              <w:t xml:space="preserve"> </w:t>
            </w:r>
            <w:r>
              <w:rPr>
                <w:spacing w:val="-1"/>
              </w:rPr>
              <w:t>声器的损坏而增加其工作时的声压级；设备用完后或不用时应立即关闭。</w:t>
            </w:r>
          </w:p>
          <w:p w14:paraId="33E735AF">
            <w:pPr>
              <w:pStyle w:val="6"/>
              <w:spacing w:before="32" w:line="219" w:lineRule="auto"/>
              <w:ind w:left="596"/>
            </w:pPr>
            <w:r>
              <w:rPr>
                <w:spacing w:val="-2"/>
              </w:rPr>
              <w:t>（</w:t>
            </w:r>
            <w:r>
              <w:rPr>
                <w:rFonts w:ascii="Calibri" w:hAnsi="Calibri" w:eastAsia="Calibri" w:cs="Calibri"/>
                <w:spacing w:val="-2"/>
              </w:rPr>
              <w:t>5</w:t>
            </w:r>
            <w:r>
              <w:rPr>
                <w:spacing w:val="-2"/>
              </w:rPr>
              <w:t>）最大限度地降低人为噪音</w:t>
            </w:r>
          </w:p>
          <w:p w14:paraId="252EF76C">
            <w:pPr>
              <w:pStyle w:val="6"/>
              <w:spacing w:before="184" w:line="350" w:lineRule="auto"/>
              <w:ind w:left="109" w:right="94" w:firstLine="479"/>
            </w:pPr>
            <w:r>
              <w:rPr>
                <w:spacing w:val="1"/>
              </w:rPr>
              <w:t>不要采取噪声较大的钢模板作业方式；在操作中尽量避免敲打砼导管；搬</w:t>
            </w:r>
            <w:r>
              <w:rPr>
                <w:spacing w:val="13"/>
              </w:rPr>
              <w:t xml:space="preserve"> </w:t>
            </w:r>
            <w:r>
              <w:rPr>
                <w:spacing w:val="1"/>
              </w:rPr>
              <w:t>卸物品应轻放，施工工具不要乱扔、远扔；运输车辆进入现场应减速、并减少</w:t>
            </w:r>
            <w:r>
              <w:rPr>
                <w:spacing w:val="10"/>
              </w:rPr>
              <w:t xml:space="preserve"> </w:t>
            </w:r>
            <w:r>
              <w:rPr>
                <w:spacing w:val="-4"/>
              </w:rPr>
              <w:t>鸣笛等。</w:t>
            </w:r>
          </w:p>
          <w:p w14:paraId="0B00F423">
            <w:pPr>
              <w:pStyle w:val="6"/>
              <w:spacing w:before="34" w:line="219" w:lineRule="auto"/>
              <w:ind w:left="596"/>
            </w:pPr>
            <w:r>
              <w:rPr>
                <w:spacing w:val="-3"/>
              </w:rPr>
              <w:t>（</w:t>
            </w:r>
            <w:r>
              <w:rPr>
                <w:rFonts w:ascii="Calibri" w:hAnsi="Calibri" w:eastAsia="Calibri" w:cs="Calibri"/>
                <w:spacing w:val="-3"/>
              </w:rPr>
              <w:t>6</w:t>
            </w:r>
            <w:r>
              <w:rPr>
                <w:spacing w:val="-3"/>
              </w:rPr>
              <w:t>）局部隔声降噪措施</w:t>
            </w:r>
          </w:p>
          <w:p w14:paraId="3D5756CF">
            <w:pPr>
              <w:pStyle w:val="6"/>
              <w:spacing w:before="182" w:line="342" w:lineRule="auto"/>
              <w:ind w:left="109" w:right="94" w:firstLine="474"/>
            </w:pPr>
            <w:r>
              <w:rPr>
                <w:spacing w:val="1"/>
              </w:rPr>
              <w:t>在土石方等产生高噪声阶段进行一定的隔离和防护消声处理，如果产生噪</w:t>
            </w:r>
            <w:r>
              <w:rPr>
                <w:spacing w:val="18"/>
              </w:rPr>
              <w:t xml:space="preserve"> </w:t>
            </w:r>
            <w:r>
              <w:rPr>
                <w:spacing w:val="1"/>
              </w:rPr>
              <w:t>声的动力机械设备相对固定，也可以设在机械设备附近，如对电锯等高噪声源</w:t>
            </w:r>
          </w:p>
        </w:tc>
      </w:tr>
    </w:tbl>
    <w:p w14:paraId="104790EF">
      <w:pPr>
        <w:pStyle w:val="2"/>
        <w:spacing w:line="232" w:lineRule="exact"/>
        <w:rPr>
          <w:sz w:val="20"/>
        </w:rPr>
      </w:pPr>
    </w:p>
    <w:p w14:paraId="05EB6E30">
      <w:pPr>
        <w:spacing w:line="232" w:lineRule="exact"/>
        <w:rPr>
          <w:sz w:val="20"/>
          <w:szCs w:val="20"/>
        </w:rPr>
        <w:sectPr>
          <w:footerReference r:id="rId66"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693BAB4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28" w:hRule="atLeast"/>
        </w:trPr>
        <w:tc>
          <w:tcPr>
            <w:tcW w:w="477" w:type="dxa"/>
            <w:tcBorders>
              <w:right w:val="single" w:color="000000" w:sz="2" w:space="0"/>
            </w:tcBorders>
            <w:vAlign w:val="top"/>
          </w:tcPr>
          <w:p w14:paraId="3130E7E1">
            <w:pPr>
              <w:rPr>
                <w:rFonts w:ascii="Arial"/>
                <w:sz w:val="21"/>
              </w:rPr>
            </w:pPr>
          </w:p>
        </w:tc>
        <w:tc>
          <w:tcPr>
            <w:tcW w:w="8425" w:type="dxa"/>
            <w:tcBorders>
              <w:left w:val="single" w:color="000000" w:sz="2" w:space="0"/>
            </w:tcBorders>
            <w:vAlign w:val="top"/>
          </w:tcPr>
          <w:p w14:paraId="3DA42E14">
            <w:pPr>
              <w:pStyle w:val="6"/>
              <w:spacing w:before="41" w:line="219" w:lineRule="auto"/>
              <w:ind w:left="104"/>
            </w:pPr>
            <w:r>
              <w:rPr>
                <w:spacing w:val="-1"/>
              </w:rPr>
              <w:t>修建临时隔声间或安装隔声罩，以保证施工场界噪声达标。</w:t>
            </w:r>
          </w:p>
          <w:p w14:paraId="47B17978">
            <w:pPr>
              <w:pStyle w:val="6"/>
              <w:spacing w:before="180" w:line="219" w:lineRule="auto"/>
              <w:ind w:left="596"/>
            </w:pPr>
            <w:r>
              <w:rPr>
                <w:spacing w:val="-3"/>
              </w:rPr>
              <w:t>（</w:t>
            </w:r>
            <w:r>
              <w:rPr>
                <w:rFonts w:ascii="Calibri" w:hAnsi="Calibri" w:eastAsia="Calibri" w:cs="Calibri"/>
                <w:spacing w:val="-3"/>
              </w:rPr>
              <w:t>7</w:t>
            </w:r>
            <w:r>
              <w:rPr>
                <w:spacing w:val="-3"/>
              </w:rPr>
              <w:t>）施工车辆管理</w:t>
            </w:r>
          </w:p>
          <w:p w14:paraId="0389F72C">
            <w:pPr>
              <w:pStyle w:val="6"/>
              <w:spacing w:before="182" w:line="345" w:lineRule="auto"/>
              <w:ind w:left="121" w:right="94" w:firstLine="463"/>
            </w:pPr>
            <w:r>
              <w:rPr>
                <w:spacing w:val="1"/>
              </w:rPr>
              <w:t>加强施工车辆管理，运输车辆尽量采用较低声级的喇叭，并在环境敏感点</w:t>
            </w:r>
            <w:r>
              <w:rPr>
                <w:spacing w:val="17"/>
              </w:rPr>
              <w:t xml:space="preserve"> </w:t>
            </w:r>
            <w:r>
              <w:rPr>
                <w:spacing w:val="-4"/>
              </w:rPr>
              <w:t>限制车辆鸣笛。</w:t>
            </w:r>
          </w:p>
          <w:p w14:paraId="4BE66CD7">
            <w:pPr>
              <w:pStyle w:val="6"/>
              <w:spacing w:before="37" w:line="220" w:lineRule="auto"/>
              <w:ind w:left="583"/>
              <w:outlineLvl w:val="1"/>
            </w:pPr>
            <w:r>
              <w:rPr>
                <w:b/>
                <w:bCs/>
                <w:spacing w:val="-3"/>
              </w:rPr>
              <w:t>4、施工期固体废物污染防治措施</w:t>
            </w:r>
          </w:p>
          <w:p w14:paraId="1A2A1770">
            <w:pPr>
              <w:pStyle w:val="6"/>
              <w:spacing w:before="181" w:line="289" w:lineRule="auto"/>
              <w:ind w:left="106" w:right="97" w:firstLine="489"/>
            </w:pPr>
            <w:r>
              <w:rPr>
                <w:spacing w:val="-3"/>
              </w:rPr>
              <w:t>（</w:t>
            </w:r>
            <w:r>
              <w:rPr>
                <w:rFonts w:ascii="Calibri" w:hAnsi="Calibri" w:eastAsia="Calibri" w:cs="Calibri"/>
                <w:spacing w:val="-3"/>
              </w:rPr>
              <w:t>1</w:t>
            </w:r>
            <w:r>
              <w:rPr>
                <w:spacing w:val="-3"/>
              </w:rPr>
              <w:t>）在施工现场，设置生活垃圾收集桶，对生活垃圾进行统一收集，由环</w:t>
            </w:r>
            <w:r>
              <w:rPr>
                <w:spacing w:val="13"/>
              </w:rPr>
              <w:t xml:space="preserve"> </w:t>
            </w:r>
            <w:r>
              <w:rPr>
                <w:spacing w:val="-2"/>
              </w:rPr>
              <w:t>卫部门统一清运处理。</w:t>
            </w:r>
          </w:p>
          <w:p w14:paraId="7C2B7266">
            <w:pPr>
              <w:pStyle w:val="6"/>
              <w:spacing w:before="182" w:line="219" w:lineRule="auto"/>
              <w:ind w:left="596"/>
            </w:pPr>
            <w:r>
              <w:rPr>
                <w:spacing w:val="-2"/>
              </w:rPr>
              <w:t>（</w:t>
            </w:r>
            <w:r>
              <w:rPr>
                <w:rFonts w:ascii="Calibri" w:hAnsi="Calibri" w:eastAsia="Calibri" w:cs="Calibri"/>
                <w:spacing w:val="-2"/>
              </w:rPr>
              <w:t>2</w:t>
            </w:r>
            <w:r>
              <w:rPr>
                <w:spacing w:val="-2"/>
              </w:rPr>
              <w:t>）建筑垃圾，可采用如下综合利用措施：</w:t>
            </w:r>
          </w:p>
          <w:p w14:paraId="789BA925">
            <w:pPr>
              <w:pStyle w:val="6"/>
              <w:spacing w:before="183" w:line="355" w:lineRule="auto"/>
              <w:ind w:left="104" w:right="94" w:firstLine="480"/>
              <w:jc w:val="both"/>
            </w:pPr>
            <w:r>
              <w:rPr>
                <w:spacing w:val="1"/>
              </w:rPr>
              <w:t>严格建筑垃圾的管理，施工中尽量综合利用：散落的砂浆、混凝土，尽量</w:t>
            </w:r>
            <w:r>
              <w:rPr>
                <w:spacing w:val="16"/>
              </w:rPr>
              <w:t xml:space="preserve"> </w:t>
            </w:r>
            <w:r>
              <w:t>回收利用，凝固的砂浆、混凝土可以作为再生骨料回收利</w:t>
            </w:r>
            <w:r>
              <w:rPr>
                <w:spacing w:val="-1"/>
              </w:rPr>
              <w:t>用，</w:t>
            </w:r>
            <w:r>
              <w:rPr>
                <w:spacing w:val="-62"/>
              </w:rPr>
              <w:t xml:space="preserve"> </w:t>
            </w:r>
            <w:r>
              <w:rPr>
                <w:spacing w:val="-1"/>
              </w:rPr>
              <w:t>目前再生骨料制</w:t>
            </w:r>
            <w:r>
              <w:t xml:space="preserve"> </w:t>
            </w:r>
            <w:r>
              <w:rPr>
                <w:spacing w:val="1"/>
              </w:rPr>
              <w:t>作的混凝土一般用作基础、路面和非承重结构的低强度混凝土，通过选择和严</w:t>
            </w:r>
            <w:r>
              <w:rPr>
                <w:spacing w:val="15"/>
              </w:rPr>
              <w:t xml:space="preserve"> </w:t>
            </w:r>
            <w:r>
              <w:rPr>
                <w:spacing w:val="1"/>
              </w:rPr>
              <w:t>格控制配合比和再生骨料的掺合量，也可达到适用于承重结构混凝土要求。废</w:t>
            </w:r>
            <w:r>
              <w:rPr>
                <w:spacing w:val="15"/>
              </w:rPr>
              <w:t xml:space="preserve"> </w:t>
            </w:r>
            <w:r>
              <w:rPr>
                <w:spacing w:val="1"/>
              </w:rPr>
              <w:t>混凝土块经破碎后也可作为碎石直接用于地基加固、道路垫层、室内地面垫层</w:t>
            </w:r>
            <w:r>
              <w:rPr>
                <w:spacing w:val="13"/>
              </w:rPr>
              <w:t xml:space="preserve"> </w:t>
            </w:r>
            <w:r>
              <w:rPr>
                <w:spacing w:val="1"/>
              </w:rPr>
              <w:t>等；碎砖块可以作为粗骨料拌制混凝土，也可以作为地基处理、地面垫层等的</w:t>
            </w:r>
            <w:r>
              <w:rPr>
                <w:spacing w:val="13"/>
              </w:rPr>
              <w:t xml:space="preserve"> </w:t>
            </w:r>
            <w:r>
              <w:t>材料。剩余建筑垃圾由施工单位清理外运至指定地</w:t>
            </w:r>
            <w:r>
              <w:rPr>
                <w:spacing w:val="-1"/>
              </w:rPr>
              <w:t>点处置，不得随意丢弃。</w:t>
            </w:r>
          </w:p>
          <w:p w14:paraId="601E4192">
            <w:pPr>
              <w:pStyle w:val="6"/>
              <w:spacing w:before="37" w:line="219" w:lineRule="auto"/>
              <w:ind w:left="596"/>
            </w:pPr>
            <w:r>
              <w:rPr>
                <w:spacing w:val="-1"/>
              </w:rPr>
              <w:t>（</w:t>
            </w:r>
            <w:r>
              <w:rPr>
                <w:rFonts w:ascii="Calibri" w:hAnsi="Calibri" w:eastAsia="Calibri" w:cs="Calibri"/>
                <w:spacing w:val="-1"/>
              </w:rPr>
              <w:t>3</w:t>
            </w:r>
            <w:r>
              <w:rPr>
                <w:spacing w:val="-1"/>
              </w:rPr>
              <w:t>）施工开挖的弃渣土及时清运，不在现场堆存。</w:t>
            </w:r>
          </w:p>
          <w:p w14:paraId="00DFF55D">
            <w:pPr>
              <w:pStyle w:val="6"/>
              <w:spacing w:before="260" w:line="220" w:lineRule="auto"/>
              <w:ind w:left="589"/>
            </w:pPr>
            <w:r>
              <w:rPr>
                <w:b/>
                <w:bCs/>
                <w:spacing w:val="-4"/>
              </w:rPr>
              <w:t>5、生态环境保护措施</w:t>
            </w:r>
          </w:p>
          <w:p w14:paraId="787D0F23">
            <w:pPr>
              <w:pStyle w:val="6"/>
              <w:spacing w:before="182" w:line="346" w:lineRule="auto"/>
              <w:ind w:left="107" w:right="35" w:firstLine="478"/>
            </w:pPr>
            <w:r>
              <w:rPr>
                <w:spacing w:val="-4"/>
              </w:rPr>
              <w:t>本项目位于大庆市林甸县红旗镇永胜村，租用林甸兴海肉业有限公司空地，</w:t>
            </w:r>
            <w:r>
              <w:t xml:space="preserve"> </w:t>
            </w:r>
            <w:r>
              <w:rPr>
                <w:spacing w:val="-1"/>
              </w:rPr>
              <w:t>为工业用地，不会对周围生态环境产生影响。</w:t>
            </w:r>
          </w:p>
          <w:p w14:paraId="2104901C">
            <w:pPr>
              <w:pStyle w:val="6"/>
              <w:spacing w:before="33" w:line="354" w:lineRule="auto"/>
              <w:ind w:left="103" w:right="35" w:firstLine="480"/>
            </w:pPr>
            <w:r>
              <w:rPr>
                <w:spacing w:val="-2"/>
              </w:rPr>
              <w:t>根据黑龙江省防沙治沙工作领导小组《关于印发&lt;关于贯彻</w:t>
            </w:r>
            <w:r>
              <w:rPr>
                <w:spacing w:val="-3"/>
              </w:rPr>
              <w:t>落实《沙化土地</w:t>
            </w:r>
            <w:r>
              <w:t xml:space="preserve"> </w:t>
            </w:r>
            <w:r>
              <w:rPr>
                <w:spacing w:val="-2"/>
              </w:rPr>
              <w:t>封禁保护修复制度方案》的实施意见&gt;的通知》，大庆市让胡路区、红岗区</w:t>
            </w:r>
            <w:r>
              <w:rPr>
                <w:spacing w:val="-3"/>
              </w:rPr>
              <w:t>、大</w:t>
            </w:r>
            <w:r>
              <w:t xml:space="preserve"> </w:t>
            </w:r>
            <w:r>
              <w:rPr>
                <w:spacing w:val="-4"/>
              </w:rPr>
              <w:t>同区、肇源县、杜蒙县属于沙化土地所在县（区）。本项目位于大庆市林甸县，</w:t>
            </w:r>
            <w:r>
              <w:rPr>
                <w:spacing w:val="9"/>
              </w:rPr>
              <w:t xml:space="preserve"> </w:t>
            </w:r>
            <w:r>
              <w:rPr>
                <w:spacing w:val="-1"/>
              </w:rPr>
              <w:t>不属于沙化土地所在县（区）。</w:t>
            </w:r>
          </w:p>
          <w:p w14:paraId="524C2D33">
            <w:pPr>
              <w:pStyle w:val="6"/>
              <w:spacing w:before="34" w:line="219" w:lineRule="auto"/>
              <w:ind w:left="588"/>
            </w:pPr>
            <w:r>
              <w:rPr>
                <w:spacing w:val="-2"/>
              </w:rPr>
              <w:t>项目施工期采取以下措施：</w:t>
            </w:r>
          </w:p>
          <w:p w14:paraId="2001313F">
            <w:pPr>
              <w:pStyle w:val="6"/>
              <w:spacing w:before="184" w:line="219" w:lineRule="auto"/>
              <w:ind w:left="596"/>
            </w:pPr>
            <w:r>
              <w:rPr>
                <w:spacing w:val="-2"/>
              </w:rPr>
              <w:t>（1）建设项目施工结束后，场地进行平整。</w:t>
            </w:r>
          </w:p>
          <w:p w14:paraId="5139A6B5">
            <w:pPr>
              <w:pStyle w:val="6"/>
              <w:spacing w:before="182" w:line="290" w:lineRule="auto"/>
              <w:ind w:left="110" w:right="97" w:firstLine="485"/>
            </w:pPr>
            <w:r>
              <w:rPr>
                <w:spacing w:val="-3"/>
              </w:rPr>
              <w:t>（2）保护建设项目厂区四周现有植被，加强管护和保护力度，杜绝出现边</w:t>
            </w:r>
            <w:r>
              <w:rPr>
                <w:spacing w:val="14"/>
              </w:rPr>
              <w:t xml:space="preserve"> </w:t>
            </w:r>
            <w:r>
              <w:rPr>
                <w:spacing w:val="-2"/>
              </w:rPr>
              <w:t>治理边破坏现象。</w:t>
            </w:r>
          </w:p>
          <w:p w14:paraId="385AA13C">
            <w:pPr>
              <w:pStyle w:val="6"/>
              <w:spacing w:before="182" w:line="290" w:lineRule="auto"/>
              <w:ind w:left="124" w:right="97" w:firstLine="471"/>
            </w:pPr>
            <w:r>
              <w:rPr>
                <w:spacing w:val="-3"/>
              </w:rPr>
              <w:t>（3）项目建设过程中还应加强厂区道路的硬化，消除裸露地面，防止沙尘</w:t>
            </w:r>
            <w:r>
              <w:rPr>
                <w:spacing w:val="14"/>
              </w:rPr>
              <w:t xml:space="preserve"> </w:t>
            </w:r>
            <w:r>
              <w:rPr>
                <w:spacing w:val="-6"/>
              </w:rPr>
              <w:t>的产生。。</w:t>
            </w:r>
          </w:p>
          <w:p w14:paraId="65C53F42">
            <w:pPr>
              <w:pStyle w:val="6"/>
              <w:spacing w:before="182" w:line="219" w:lineRule="auto"/>
              <w:ind w:left="583"/>
              <w:outlineLvl w:val="2"/>
            </w:pPr>
            <w:r>
              <w:rPr>
                <w:spacing w:val="1"/>
              </w:rPr>
              <w:t>施工期的环境影响是短暂的，采取以上污染防治措施，本项目在建设施工</w:t>
            </w:r>
          </w:p>
        </w:tc>
      </w:tr>
    </w:tbl>
    <w:p w14:paraId="3F700202">
      <w:pPr>
        <w:pStyle w:val="2"/>
        <w:spacing w:line="216" w:lineRule="exact"/>
        <w:rPr>
          <w:sz w:val="18"/>
        </w:rPr>
      </w:pPr>
    </w:p>
    <w:p w14:paraId="1CBAF0B4">
      <w:pPr>
        <w:spacing w:line="216" w:lineRule="exact"/>
        <w:rPr>
          <w:sz w:val="18"/>
          <w:szCs w:val="18"/>
        </w:rPr>
        <w:sectPr>
          <w:footerReference r:id="rId67"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24EF999F">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944" w:hRule="atLeast"/>
        </w:trPr>
        <w:tc>
          <w:tcPr>
            <w:tcW w:w="477" w:type="dxa"/>
            <w:tcBorders>
              <w:bottom w:val="single" w:color="000000" w:sz="2" w:space="0"/>
              <w:right w:val="single" w:color="000000" w:sz="2" w:space="0"/>
            </w:tcBorders>
            <w:vAlign w:val="top"/>
          </w:tcPr>
          <w:p w14:paraId="2988B4B2">
            <w:pPr>
              <w:rPr>
                <w:rFonts w:ascii="Arial"/>
                <w:sz w:val="21"/>
              </w:rPr>
            </w:pPr>
          </w:p>
        </w:tc>
        <w:tc>
          <w:tcPr>
            <w:tcW w:w="8425" w:type="dxa"/>
            <w:tcBorders>
              <w:left w:val="single" w:color="000000" w:sz="2" w:space="0"/>
              <w:bottom w:val="single" w:color="000000" w:sz="2" w:space="0"/>
            </w:tcBorders>
            <w:vAlign w:val="top"/>
          </w:tcPr>
          <w:p w14:paraId="27B75C22">
            <w:pPr>
              <w:pStyle w:val="6"/>
              <w:spacing w:before="120" w:line="313" w:lineRule="auto"/>
              <w:ind w:left="106" w:right="94"/>
            </w:pPr>
            <w:r>
              <w:rPr>
                <w:spacing w:val="1"/>
              </w:rPr>
              <w:t>期对周围环境所产生的污染影响可控。当施工结束后，上述对环境的污染影响</w:t>
            </w:r>
            <w:r>
              <w:rPr>
                <w:spacing w:val="12"/>
              </w:rPr>
              <w:t xml:space="preserve"> </w:t>
            </w:r>
            <w:r>
              <w:rPr>
                <w:spacing w:val="-2"/>
              </w:rPr>
              <w:t>可得到消除。</w:t>
            </w:r>
          </w:p>
        </w:tc>
      </w:tr>
      <w:tr w14:paraId="16E42A35">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137" w:hRule="atLeast"/>
        </w:trPr>
        <w:tc>
          <w:tcPr>
            <w:tcW w:w="477" w:type="dxa"/>
            <w:tcBorders>
              <w:top w:val="single" w:color="000000" w:sz="2" w:space="0"/>
              <w:right w:val="single" w:color="000000" w:sz="2" w:space="0"/>
            </w:tcBorders>
            <w:textDirection w:val="tbRlV"/>
            <w:vAlign w:val="top"/>
          </w:tcPr>
          <w:p w14:paraId="2165C00A">
            <w:pPr>
              <w:pStyle w:val="6"/>
              <w:spacing w:before="137" w:line="217" w:lineRule="auto"/>
              <w:ind w:left="3875"/>
              <w:rPr>
                <w:sz w:val="20"/>
                <w:szCs w:val="20"/>
              </w:rPr>
            </w:pPr>
            <w:r>
              <w:rPr>
                <w:spacing w:val="8"/>
                <w:sz w:val="20"/>
                <w:szCs w:val="20"/>
              </w:rPr>
              <w:t>运</w:t>
            </w:r>
            <w:r>
              <w:rPr>
                <w:spacing w:val="33"/>
                <w:sz w:val="20"/>
                <w:szCs w:val="20"/>
              </w:rPr>
              <w:t xml:space="preserve">  </w:t>
            </w:r>
            <w:r>
              <w:rPr>
                <w:spacing w:val="8"/>
                <w:sz w:val="20"/>
                <w:szCs w:val="20"/>
              </w:rPr>
              <w:t>营</w:t>
            </w:r>
            <w:r>
              <w:rPr>
                <w:spacing w:val="30"/>
                <w:sz w:val="20"/>
                <w:szCs w:val="20"/>
              </w:rPr>
              <w:t xml:space="preserve">  </w:t>
            </w:r>
            <w:r>
              <w:rPr>
                <w:spacing w:val="8"/>
                <w:sz w:val="20"/>
                <w:szCs w:val="20"/>
              </w:rPr>
              <w:t>期</w:t>
            </w:r>
            <w:r>
              <w:rPr>
                <w:spacing w:val="30"/>
                <w:sz w:val="20"/>
                <w:szCs w:val="20"/>
              </w:rPr>
              <w:t xml:space="preserve">  </w:t>
            </w:r>
            <w:r>
              <w:rPr>
                <w:spacing w:val="8"/>
                <w:sz w:val="20"/>
                <w:szCs w:val="20"/>
              </w:rPr>
              <w:t>环</w:t>
            </w:r>
            <w:r>
              <w:rPr>
                <w:spacing w:val="29"/>
                <w:sz w:val="20"/>
                <w:szCs w:val="20"/>
              </w:rPr>
              <w:t xml:space="preserve">  </w:t>
            </w:r>
            <w:r>
              <w:rPr>
                <w:spacing w:val="8"/>
                <w:sz w:val="20"/>
                <w:szCs w:val="20"/>
              </w:rPr>
              <w:t>境</w:t>
            </w:r>
            <w:r>
              <w:rPr>
                <w:spacing w:val="30"/>
                <w:sz w:val="20"/>
                <w:szCs w:val="20"/>
              </w:rPr>
              <w:t xml:space="preserve">  </w:t>
            </w:r>
            <w:r>
              <w:rPr>
                <w:spacing w:val="8"/>
                <w:sz w:val="20"/>
                <w:szCs w:val="20"/>
              </w:rPr>
              <w:t>影</w:t>
            </w:r>
            <w:r>
              <w:rPr>
                <w:spacing w:val="29"/>
                <w:sz w:val="20"/>
                <w:szCs w:val="20"/>
              </w:rPr>
              <w:t xml:space="preserve">  </w:t>
            </w:r>
            <w:r>
              <w:rPr>
                <w:spacing w:val="8"/>
                <w:sz w:val="20"/>
                <w:szCs w:val="20"/>
              </w:rPr>
              <w:t>响</w:t>
            </w:r>
            <w:r>
              <w:rPr>
                <w:spacing w:val="30"/>
                <w:sz w:val="20"/>
                <w:szCs w:val="20"/>
              </w:rPr>
              <w:t xml:space="preserve">  </w:t>
            </w:r>
            <w:r>
              <w:rPr>
                <w:spacing w:val="8"/>
                <w:sz w:val="20"/>
                <w:szCs w:val="20"/>
              </w:rPr>
              <w:t>和</w:t>
            </w:r>
            <w:r>
              <w:rPr>
                <w:spacing w:val="30"/>
                <w:sz w:val="20"/>
                <w:szCs w:val="20"/>
              </w:rPr>
              <w:t xml:space="preserve">  </w:t>
            </w:r>
            <w:r>
              <w:rPr>
                <w:spacing w:val="8"/>
                <w:sz w:val="20"/>
                <w:szCs w:val="20"/>
              </w:rPr>
              <w:t>保</w:t>
            </w:r>
            <w:r>
              <w:rPr>
                <w:spacing w:val="29"/>
                <w:sz w:val="20"/>
                <w:szCs w:val="20"/>
              </w:rPr>
              <w:t xml:space="preserve">  </w:t>
            </w:r>
            <w:r>
              <w:rPr>
                <w:spacing w:val="8"/>
                <w:sz w:val="20"/>
                <w:szCs w:val="20"/>
              </w:rPr>
              <w:t>护</w:t>
            </w:r>
            <w:r>
              <w:rPr>
                <w:spacing w:val="30"/>
                <w:sz w:val="20"/>
                <w:szCs w:val="20"/>
              </w:rPr>
              <w:t xml:space="preserve">  </w:t>
            </w:r>
            <w:r>
              <w:rPr>
                <w:spacing w:val="8"/>
                <w:sz w:val="20"/>
                <w:szCs w:val="20"/>
              </w:rPr>
              <w:t>措</w:t>
            </w:r>
            <w:r>
              <w:rPr>
                <w:spacing w:val="29"/>
                <w:sz w:val="20"/>
                <w:szCs w:val="20"/>
              </w:rPr>
              <w:t xml:space="preserve">  </w:t>
            </w:r>
            <w:r>
              <w:rPr>
                <w:spacing w:val="8"/>
                <w:sz w:val="20"/>
                <w:szCs w:val="20"/>
              </w:rPr>
              <w:t>施</w:t>
            </w:r>
          </w:p>
        </w:tc>
        <w:tc>
          <w:tcPr>
            <w:tcW w:w="8425" w:type="dxa"/>
            <w:tcBorders>
              <w:top w:val="single" w:color="000000" w:sz="2" w:space="0"/>
              <w:left w:val="single" w:color="000000" w:sz="2" w:space="0"/>
            </w:tcBorders>
            <w:vAlign w:val="top"/>
          </w:tcPr>
          <w:p w14:paraId="2145DFCD">
            <w:pPr>
              <w:pStyle w:val="6"/>
              <w:spacing w:before="116" w:line="220" w:lineRule="auto"/>
              <w:ind w:left="592"/>
            </w:pPr>
            <w:r>
              <w:rPr>
                <w:rFonts w:ascii="Calibri" w:hAnsi="Calibri" w:eastAsia="Calibri" w:cs="Calibri"/>
                <w:b/>
                <w:bCs/>
                <w:spacing w:val="-13"/>
              </w:rPr>
              <w:t>1</w:t>
            </w:r>
            <w:r>
              <w:rPr>
                <w:rFonts w:ascii="Calibri" w:hAnsi="Calibri" w:eastAsia="Calibri" w:cs="Calibri"/>
                <w:b/>
                <w:bCs/>
                <w:spacing w:val="-28"/>
              </w:rPr>
              <w:t xml:space="preserve"> </w:t>
            </w:r>
            <w:r>
              <w:rPr>
                <w:b/>
                <w:bCs/>
                <w:spacing w:val="-13"/>
              </w:rPr>
              <w:t>、废气</w:t>
            </w:r>
          </w:p>
          <w:p w14:paraId="1E11BF36">
            <w:pPr>
              <w:pStyle w:val="6"/>
              <w:spacing w:before="182" w:line="351" w:lineRule="auto"/>
              <w:ind w:left="103" w:right="94" w:firstLine="481"/>
              <w:jc w:val="both"/>
            </w:pPr>
            <w:r>
              <w:rPr>
                <w:spacing w:val="1"/>
              </w:rPr>
              <w:t>本项目运营期废气为切割产生的切割粉尘及预处理过程废矿物油抽取和暂</w:t>
            </w:r>
            <w:r>
              <w:rPr>
                <w:spacing w:val="16"/>
              </w:rPr>
              <w:t xml:space="preserve"> </w:t>
            </w:r>
            <w:r>
              <w:rPr>
                <w:spacing w:val="1"/>
              </w:rPr>
              <w:t>存过程中产生的非甲烷总烃。本项目不进行废蓄电池拆解，正常贮存过程情况</w:t>
            </w:r>
            <w:r>
              <w:rPr>
                <w:spacing w:val="16"/>
              </w:rPr>
              <w:t xml:space="preserve"> </w:t>
            </w:r>
            <w:r>
              <w:rPr>
                <w:spacing w:val="-2"/>
              </w:rPr>
              <w:t>下无废气产生。</w:t>
            </w:r>
          </w:p>
          <w:p w14:paraId="026796B0">
            <w:pPr>
              <w:pStyle w:val="6"/>
              <w:spacing w:before="30" w:line="355" w:lineRule="auto"/>
              <w:ind w:left="103" w:right="16" w:firstLine="492"/>
              <w:jc w:val="both"/>
            </w:pPr>
            <w:r>
              <w:rPr>
                <w:spacing w:val="1"/>
              </w:rPr>
              <w:t>（</w:t>
            </w:r>
            <w:r>
              <w:rPr>
                <w:rFonts w:ascii="Calibri" w:hAnsi="Calibri" w:eastAsia="Calibri" w:cs="Calibri"/>
                <w:spacing w:val="1"/>
              </w:rPr>
              <w:t>1</w:t>
            </w:r>
            <w:r>
              <w:rPr>
                <w:spacing w:val="1"/>
              </w:rPr>
              <w:t>）切割工序产生的粉尘：本项目仅在对车体分（占钢材</w:t>
            </w:r>
            <w:r>
              <w:t>总量的</w:t>
            </w:r>
            <w:r>
              <w:rPr>
                <w:spacing w:val="-46"/>
              </w:rPr>
              <w:t xml:space="preserve"> </w:t>
            </w:r>
            <w:r>
              <w:rPr>
                <w:rFonts w:ascii="Calibri" w:hAnsi="Calibri" w:eastAsia="Calibri" w:cs="Calibri"/>
              </w:rPr>
              <w:t>5%</w:t>
            </w:r>
            <w:r>
              <w:t xml:space="preserve">）进 </w:t>
            </w:r>
            <w:r>
              <w:rPr>
                <w:spacing w:val="1"/>
              </w:rPr>
              <w:t>行肢解时对较难拆卸部分采用等离子切割。切割过程农机被切割位置的受热金</w:t>
            </w:r>
            <w:r>
              <w:rPr>
                <w:spacing w:val="16"/>
              </w:rPr>
              <w:t xml:space="preserve"> </w:t>
            </w:r>
            <w:r>
              <w:rPr>
                <w:spacing w:val="1"/>
              </w:rPr>
              <w:t>属熔化，由于局部的高温作用部分金属离子直接以气态形式进入空气中，金属</w:t>
            </w:r>
            <w:r>
              <w:rPr>
                <w:spacing w:val="16"/>
              </w:rPr>
              <w:t xml:space="preserve"> </w:t>
            </w:r>
            <w:r>
              <w:rPr>
                <w:spacing w:val="1"/>
              </w:rPr>
              <w:t>离子在空气中随即冷却形成颗粒物，因此而产生的切割烟尘环境影响较大。根</w:t>
            </w:r>
            <w:r>
              <w:rPr>
                <w:spacing w:val="16"/>
              </w:rPr>
              <w:t xml:space="preserve"> </w:t>
            </w:r>
            <w:r>
              <w:rPr>
                <w:spacing w:val="-5"/>
              </w:rPr>
              <w:t>据被切割件的性质特点，本项目切割烟尘主要成份为金属颗粒物</w:t>
            </w:r>
            <w:r>
              <w:rPr>
                <w:rFonts w:ascii="Calibri" w:hAnsi="Calibri" w:eastAsia="Calibri" w:cs="Calibri"/>
                <w:spacing w:val="-5"/>
              </w:rPr>
              <w:t>(Fe</w:t>
            </w:r>
            <w:r>
              <w:rPr>
                <w:rFonts w:ascii="Calibri" w:hAnsi="Calibri" w:eastAsia="Calibri" w:cs="Calibri"/>
                <w:spacing w:val="-5"/>
                <w:sz w:val="15"/>
                <w:szCs w:val="15"/>
              </w:rPr>
              <w:t>2</w:t>
            </w:r>
            <w:r>
              <w:rPr>
                <w:rFonts w:ascii="Calibri" w:hAnsi="Calibri" w:eastAsia="Calibri" w:cs="Calibri"/>
                <w:spacing w:val="-5"/>
              </w:rPr>
              <w:t>O</w:t>
            </w:r>
            <w:r>
              <w:rPr>
                <w:rFonts w:ascii="Calibri" w:hAnsi="Calibri" w:eastAsia="Calibri" w:cs="Calibri"/>
                <w:spacing w:val="-5"/>
                <w:position w:val="-2"/>
                <w:sz w:val="15"/>
                <w:szCs w:val="15"/>
              </w:rPr>
              <w:t xml:space="preserve">3   </w:t>
            </w:r>
            <w:r>
              <w:rPr>
                <w:spacing w:val="-5"/>
              </w:rPr>
              <w:t>、</w:t>
            </w:r>
            <w:r>
              <w:rPr>
                <w:rFonts w:ascii="Calibri" w:hAnsi="Calibri" w:eastAsia="Calibri" w:cs="Calibri"/>
                <w:spacing w:val="-5"/>
              </w:rPr>
              <w:t>FeO</w:t>
            </w:r>
            <w:r>
              <w:rPr>
                <w:rFonts w:ascii="Calibri" w:hAnsi="Calibri" w:eastAsia="Calibri" w:cs="Calibri"/>
                <w:spacing w:val="-5"/>
                <w:position w:val="-2"/>
                <w:sz w:val="15"/>
                <w:szCs w:val="15"/>
              </w:rPr>
              <w:t xml:space="preserve">2    </w:t>
            </w:r>
            <w:r>
              <w:rPr>
                <w:spacing w:val="-5"/>
              </w:rPr>
              <w:t>、</w:t>
            </w:r>
            <w:r>
              <w:rPr>
                <w:spacing w:val="7"/>
              </w:rPr>
              <w:t xml:space="preserve"> </w:t>
            </w:r>
            <w:r>
              <w:rPr>
                <w:rFonts w:ascii="Calibri" w:hAnsi="Calibri" w:eastAsia="Calibri" w:cs="Calibri"/>
                <w:spacing w:val="-3"/>
              </w:rPr>
              <w:t>MnO</w:t>
            </w:r>
            <w:r>
              <w:rPr>
                <w:rFonts w:ascii="Calibri" w:hAnsi="Calibri" w:eastAsia="Calibri" w:cs="Calibri"/>
                <w:spacing w:val="-3"/>
                <w:position w:val="-1"/>
                <w:sz w:val="15"/>
                <w:szCs w:val="15"/>
              </w:rPr>
              <w:t xml:space="preserve">2    </w:t>
            </w:r>
            <w:r>
              <w:rPr>
                <w:spacing w:val="-3"/>
              </w:rPr>
              <w:t>、</w:t>
            </w:r>
            <w:r>
              <w:rPr>
                <w:rFonts w:ascii="Calibri" w:hAnsi="Calibri" w:eastAsia="Calibri" w:cs="Calibri"/>
                <w:spacing w:val="-3"/>
              </w:rPr>
              <w:t>SiO</w:t>
            </w:r>
            <w:r>
              <w:rPr>
                <w:rFonts w:ascii="Calibri" w:hAnsi="Calibri" w:eastAsia="Calibri" w:cs="Calibri"/>
                <w:spacing w:val="-3"/>
                <w:position w:val="-1"/>
                <w:sz w:val="15"/>
                <w:szCs w:val="15"/>
              </w:rPr>
              <w:t>2</w:t>
            </w:r>
            <w:r>
              <w:rPr>
                <w:rFonts w:ascii="Calibri" w:hAnsi="Calibri" w:eastAsia="Calibri" w:cs="Calibri"/>
                <w:spacing w:val="27"/>
                <w:w w:val="101"/>
                <w:position w:val="-1"/>
                <w:sz w:val="15"/>
                <w:szCs w:val="15"/>
              </w:rPr>
              <w:t xml:space="preserve"> </w:t>
            </w:r>
            <w:r>
              <w:rPr>
                <w:rFonts w:ascii="Calibri" w:hAnsi="Calibri" w:eastAsia="Calibri" w:cs="Calibri"/>
                <w:spacing w:val="-3"/>
              </w:rPr>
              <w:t>)</w:t>
            </w:r>
            <w:r>
              <w:rPr>
                <w:spacing w:val="-3"/>
              </w:rPr>
              <w:t>等。</w:t>
            </w:r>
          </w:p>
          <w:p w14:paraId="5FC14E45">
            <w:pPr>
              <w:pStyle w:val="6"/>
              <w:spacing w:line="354" w:lineRule="auto"/>
              <w:ind w:left="103" w:right="35" w:firstLine="510"/>
            </w:pPr>
            <w:r>
              <w:rPr>
                <w:spacing w:val="-12"/>
              </w:rPr>
              <w:t>由工程分析可知，废钢材总量为</w:t>
            </w:r>
            <w:r>
              <w:rPr>
                <w:spacing w:val="-41"/>
              </w:rPr>
              <w:t xml:space="preserve"> </w:t>
            </w:r>
            <w:r>
              <w:rPr>
                <w:rFonts w:ascii="Calibri" w:hAnsi="Calibri" w:eastAsia="Calibri" w:cs="Calibri"/>
                <w:spacing w:val="-12"/>
              </w:rPr>
              <w:t>2280 t/a</w:t>
            </w:r>
            <w:r>
              <w:rPr>
                <w:spacing w:val="-12"/>
              </w:rPr>
              <w:t>，则其剪切量（占</w:t>
            </w:r>
            <w:r>
              <w:rPr>
                <w:spacing w:val="-50"/>
              </w:rPr>
              <w:t xml:space="preserve"> </w:t>
            </w:r>
            <w:r>
              <w:rPr>
                <w:rFonts w:ascii="Calibri" w:hAnsi="Calibri" w:eastAsia="Calibri" w:cs="Calibri"/>
                <w:spacing w:val="-12"/>
              </w:rPr>
              <w:t>95%</w:t>
            </w:r>
            <w:r>
              <w:rPr>
                <w:spacing w:val="-12"/>
              </w:rPr>
              <w:t xml:space="preserve">）为 </w:t>
            </w:r>
            <w:r>
              <w:rPr>
                <w:rFonts w:ascii="Calibri" w:hAnsi="Calibri" w:eastAsia="Calibri" w:cs="Calibri"/>
                <w:spacing w:val="-12"/>
              </w:rPr>
              <w:t>2166t/a</w:t>
            </w:r>
            <w:r>
              <w:rPr>
                <w:spacing w:val="-12"/>
              </w:rPr>
              <w:t>，</w:t>
            </w:r>
            <w:r>
              <w:t xml:space="preserve"> </w:t>
            </w:r>
            <w:r>
              <w:rPr>
                <w:spacing w:val="1"/>
              </w:rPr>
              <w:t xml:space="preserve">等离子割量（占 </w:t>
            </w:r>
            <w:r>
              <w:rPr>
                <w:rFonts w:ascii="Calibri" w:hAnsi="Calibri" w:eastAsia="Calibri" w:cs="Calibri"/>
                <w:spacing w:val="1"/>
              </w:rPr>
              <w:t>5%</w:t>
            </w:r>
            <w:r>
              <w:rPr>
                <w:spacing w:val="1"/>
              </w:rPr>
              <w:t xml:space="preserve">）为 </w:t>
            </w:r>
            <w:r>
              <w:rPr>
                <w:rFonts w:ascii="Calibri" w:hAnsi="Calibri" w:eastAsia="Calibri" w:cs="Calibri"/>
                <w:spacing w:val="1"/>
              </w:rPr>
              <w:t>114t/a</w:t>
            </w:r>
            <w:r>
              <w:rPr>
                <w:rFonts w:ascii="Calibri" w:hAnsi="Calibri" w:eastAsia="Calibri" w:cs="Calibri"/>
                <w:spacing w:val="-27"/>
              </w:rPr>
              <w:t xml:space="preserve"> </w:t>
            </w:r>
            <w:r>
              <w:rPr>
                <w:spacing w:val="1"/>
              </w:rPr>
              <w:t>，参照《第二次全国污染源普查工</w:t>
            </w:r>
            <w:r>
              <w:t>业污染源产 排污系数手册》“</w:t>
            </w:r>
            <w:r>
              <w:rPr>
                <w:rFonts w:ascii="Calibri" w:hAnsi="Calibri" w:eastAsia="Calibri" w:cs="Calibri"/>
              </w:rPr>
              <w:t xml:space="preserve">42  </w:t>
            </w:r>
            <w:r>
              <w:t>废弃资源综合利用行业系数手册</w:t>
            </w:r>
            <w:r>
              <w:rPr>
                <w:rFonts w:ascii="Calibri" w:hAnsi="Calibri" w:eastAsia="Calibri" w:cs="Calibri"/>
              </w:rPr>
              <w:t>-4</w:t>
            </w:r>
            <w:r>
              <w:rPr>
                <w:rFonts w:ascii="Calibri" w:hAnsi="Calibri" w:eastAsia="Calibri" w:cs="Calibri"/>
                <w:spacing w:val="-1"/>
              </w:rPr>
              <w:t xml:space="preserve">210  </w:t>
            </w:r>
            <w:r>
              <w:rPr>
                <w:spacing w:val="-1"/>
              </w:rPr>
              <w:t>金属废料及碎屑加</w:t>
            </w:r>
            <w:r>
              <w:t xml:space="preserve"> </w:t>
            </w:r>
            <w:r>
              <w:rPr>
                <w:spacing w:val="-3"/>
              </w:rPr>
              <w:t>工处理行业</w:t>
            </w:r>
            <w:r>
              <w:rPr>
                <w:spacing w:val="-85"/>
              </w:rPr>
              <w:t xml:space="preserve"> </w:t>
            </w:r>
            <w:r>
              <w:rPr>
                <w:spacing w:val="-3"/>
              </w:rPr>
              <w:t xml:space="preserve">”，剪切产污系数（无组织）为 </w:t>
            </w:r>
            <w:r>
              <w:rPr>
                <w:rFonts w:ascii="Calibri" w:hAnsi="Calibri" w:eastAsia="Calibri" w:cs="Calibri"/>
                <w:spacing w:val="-3"/>
              </w:rPr>
              <w:t>7.2g/t</w:t>
            </w:r>
            <w:r>
              <w:rPr>
                <w:rFonts w:ascii="Calibri" w:hAnsi="Calibri" w:eastAsia="Calibri" w:cs="Calibri"/>
                <w:spacing w:val="14"/>
              </w:rPr>
              <w:t xml:space="preserve">  </w:t>
            </w:r>
            <w:r>
              <w:rPr>
                <w:spacing w:val="-3"/>
              </w:rPr>
              <w:t>原料，切割产污系数（无组</w:t>
            </w:r>
            <w:r>
              <w:t xml:space="preserve"> </w:t>
            </w:r>
            <w:r>
              <w:rPr>
                <w:spacing w:val="-1"/>
              </w:rPr>
              <w:t xml:space="preserve">织）为 </w:t>
            </w:r>
            <w:r>
              <w:rPr>
                <w:rFonts w:ascii="Calibri" w:hAnsi="Calibri" w:eastAsia="Calibri" w:cs="Calibri"/>
                <w:spacing w:val="-1"/>
              </w:rPr>
              <w:t xml:space="preserve">1.0g/t   </w:t>
            </w:r>
            <w:r>
              <w:rPr>
                <w:spacing w:val="-1"/>
              </w:rPr>
              <w:t>原料，则切割烟尘产生量为</w:t>
            </w:r>
            <w:r>
              <w:rPr>
                <w:spacing w:val="-42"/>
              </w:rPr>
              <w:t xml:space="preserve"> </w:t>
            </w:r>
            <w:r>
              <w:rPr>
                <w:rFonts w:ascii="Calibri" w:hAnsi="Calibri" w:eastAsia="Calibri" w:cs="Calibri"/>
                <w:spacing w:val="-1"/>
              </w:rPr>
              <w:t>0.0157t/a</w:t>
            </w:r>
            <w:r>
              <w:rPr>
                <w:rFonts w:ascii="Calibri" w:hAnsi="Calibri" w:eastAsia="Calibri" w:cs="Calibri"/>
                <w:spacing w:val="-25"/>
              </w:rPr>
              <w:t xml:space="preserve"> </w:t>
            </w:r>
            <w:r>
              <w:rPr>
                <w:spacing w:val="-1"/>
              </w:rPr>
              <w:t>，本项目每天切割约</w:t>
            </w:r>
            <w:r>
              <w:rPr>
                <w:spacing w:val="-52"/>
              </w:rPr>
              <w:t xml:space="preserve"> </w:t>
            </w:r>
            <w:r>
              <w:rPr>
                <w:rFonts w:ascii="Calibri" w:hAnsi="Calibri" w:eastAsia="Calibri" w:cs="Calibri"/>
                <w:spacing w:val="-1"/>
              </w:rPr>
              <w:t>4h</w:t>
            </w:r>
            <w:r>
              <w:rPr>
                <w:rFonts w:ascii="Calibri" w:hAnsi="Calibri" w:eastAsia="Calibri" w:cs="Calibri"/>
                <w:spacing w:val="-24"/>
              </w:rPr>
              <w:t xml:space="preserve"> </w:t>
            </w:r>
            <w:r>
              <w:rPr>
                <w:spacing w:val="-1"/>
              </w:rPr>
              <w:t>，</w:t>
            </w:r>
            <w:r>
              <w:t xml:space="preserve"> 则废钢切割粉尘产生速率 </w:t>
            </w:r>
            <w:r>
              <w:rPr>
                <w:rFonts w:ascii="Calibri" w:hAnsi="Calibri" w:eastAsia="Calibri" w:cs="Calibri"/>
              </w:rPr>
              <w:t>0.0131kg/h</w:t>
            </w:r>
            <w:r>
              <w:rPr>
                <w:rFonts w:ascii="Calibri" w:hAnsi="Calibri" w:eastAsia="Calibri" w:cs="Calibri"/>
                <w:spacing w:val="-18"/>
              </w:rPr>
              <w:t xml:space="preserve"> </w:t>
            </w:r>
            <w:r>
              <w:t>。企业在切割</w:t>
            </w:r>
            <w:r>
              <w:rPr>
                <w:spacing w:val="-1"/>
              </w:rPr>
              <w:t>工序切割工作区上方</w:t>
            </w:r>
            <w:r>
              <w:rPr>
                <w:spacing w:val="-37"/>
              </w:rPr>
              <w:t xml:space="preserve"> </w:t>
            </w:r>
            <w:r>
              <w:rPr>
                <w:rFonts w:ascii="Calibri" w:hAnsi="Calibri" w:eastAsia="Calibri" w:cs="Calibri"/>
                <w:spacing w:val="-1"/>
              </w:rPr>
              <w:t>1m</w:t>
            </w:r>
            <w:r>
              <w:rPr>
                <w:rFonts w:ascii="Calibri" w:hAnsi="Calibri" w:eastAsia="Calibri" w:cs="Calibri"/>
                <w:spacing w:val="23"/>
                <w:w w:val="101"/>
              </w:rPr>
              <w:t xml:space="preserve"> </w:t>
            </w:r>
            <w:r>
              <w:rPr>
                <w:spacing w:val="-1"/>
              </w:rPr>
              <w:t>处</w:t>
            </w:r>
            <w:r>
              <w:t xml:space="preserve"> </w:t>
            </w:r>
            <w:r>
              <w:rPr>
                <w:spacing w:val="-2"/>
              </w:rPr>
              <w:t>设置集气罩对产生的粉尘进行收集，风机风量</w:t>
            </w:r>
            <w:r>
              <w:rPr>
                <w:spacing w:val="-37"/>
              </w:rPr>
              <w:t xml:space="preserve"> </w:t>
            </w:r>
            <w:r>
              <w:rPr>
                <w:rFonts w:ascii="Calibri" w:hAnsi="Calibri" w:eastAsia="Calibri" w:cs="Calibri"/>
                <w:spacing w:val="-2"/>
              </w:rPr>
              <w:t>2000m</w:t>
            </w:r>
            <w:r>
              <w:rPr>
                <w:rFonts w:ascii="Calibri" w:hAnsi="Calibri" w:eastAsia="Calibri" w:cs="Calibri"/>
                <w:spacing w:val="-2"/>
                <w:position w:val="8"/>
                <w:sz w:val="15"/>
                <w:szCs w:val="15"/>
              </w:rPr>
              <w:t>3</w:t>
            </w:r>
            <w:r>
              <w:rPr>
                <w:rFonts w:ascii="Calibri" w:hAnsi="Calibri" w:eastAsia="Calibri" w:cs="Calibri"/>
                <w:spacing w:val="-2"/>
              </w:rPr>
              <w:t>/h</w:t>
            </w:r>
            <w:r>
              <w:rPr>
                <w:rFonts w:ascii="Calibri" w:hAnsi="Calibri" w:eastAsia="Calibri" w:cs="Calibri"/>
                <w:spacing w:val="-27"/>
              </w:rPr>
              <w:t xml:space="preserve"> </w:t>
            </w:r>
            <w:r>
              <w:rPr>
                <w:spacing w:val="-2"/>
              </w:rPr>
              <w:t>，本项目集气罩集气效</w:t>
            </w:r>
            <w:r>
              <w:t xml:space="preserve"> </w:t>
            </w:r>
            <w:r>
              <w:rPr>
                <w:spacing w:val="-1"/>
              </w:rPr>
              <w:t>率约为</w:t>
            </w:r>
            <w:r>
              <w:rPr>
                <w:spacing w:val="-43"/>
              </w:rPr>
              <w:t xml:space="preserve"> </w:t>
            </w:r>
            <w:r>
              <w:rPr>
                <w:rFonts w:ascii="Calibri" w:hAnsi="Calibri" w:eastAsia="Calibri" w:cs="Calibri"/>
                <w:spacing w:val="-1"/>
              </w:rPr>
              <w:t>85%</w:t>
            </w:r>
            <w:r>
              <w:rPr>
                <w:rFonts w:ascii="Calibri" w:hAnsi="Calibri" w:eastAsia="Calibri" w:cs="Calibri"/>
                <w:spacing w:val="-24"/>
              </w:rPr>
              <w:t xml:space="preserve"> </w:t>
            </w:r>
            <w:r>
              <w:rPr>
                <w:spacing w:val="-1"/>
              </w:rPr>
              <w:t>，粉尘经布袋除尘器处理后经</w:t>
            </w:r>
            <w:r>
              <w:rPr>
                <w:spacing w:val="-39"/>
              </w:rPr>
              <w:t xml:space="preserve"> </w:t>
            </w:r>
            <w:r>
              <w:rPr>
                <w:rFonts w:ascii="Calibri" w:hAnsi="Calibri" w:eastAsia="Calibri" w:cs="Calibri"/>
                <w:spacing w:val="-1"/>
              </w:rPr>
              <w:t>15m</w:t>
            </w:r>
            <w:r>
              <w:rPr>
                <w:rFonts w:ascii="Calibri" w:hAnsi="Calibri" w:eastAsia="Calibri" w:cs="Calibri"/>
                <w:spacing w:val="22"/>
              </w:rPr>
              <w:t xml:space="preserve"> </w:t>
            </w:r>
            <w:r>
              <w:rPr>
                <w:spacing w:val="-1"/>
              </w:rPr>
              <w:t>高排气筒（</w:t>
            </w:r>
            <w:r>
              <w:rPr>
                <w:rFonts w:ascii="Calibri" w:hAnsi="Calibri" w:eastAsia="Calibri" w:cs="Calibri"/>
                <w:spacing w:val="-1"/>
              </w:rPr>
              <w:t>DA001</w:t>
            </w:r>
            <w:r>
              <w:rPr>
                <w:spacing w:val="-1"/>
              </w:rPr>
              <w:t>）排放，处理</w:t>
            </w:r>
            <w:r>
              <w:t xml:space="preserve"> </w:t>
            </w:r>
            <w:r>
              <w:rPr>
                <w:spacing w:val="-8"/>
              </w:rPr>
              <w:t>效</w:t>
            </w:r>
            <w:r>
              <w:rPr>
                <w:spacing w:val="-41"/>
              </w:rPr>
              <w:t xml:space="preserve"> </w:t>
            </w:r>
            <w:r>
              <w:rPr>
                <w:spacing w:val="-8"/>
              </w:rPr>
              <w:t xml:space="preserve">率 </w:t>
            </w:r>
            <w:r>
              <w:rPr>
                <w:rFonts w:ascii="Calibri" w:hAnsi="Calibri" w:eastAsia="Calibri" w:cs="Calibri"/>
                <w:spacing w:val="-8"/>
              </w:rPr>
              <w:t>99%</w:t>
            </w:r>
            <w:r>
              <w:rPr>
                <w:rFonts w:ascii="Calibri" w:hAnsi="Calibri" w:eastAsia="Calibri" w:cs="Calibri"/>
                <w:spacing w:val="27"/>
              </w:rPr>
              <w:t xml:space="preserve"> </w:t>
            </w:r>
            <w:r>
              <w:rPr>
                <w:spacing w:val="-8"/>
              </w:rPr>
              <w:t>，</w:t>
            </w:r>
            <w:r>
              <w:rPr>
                <w:spacing w:val="-53"/>
              </w:rPr>
              <w:t xml:space="preserve"> </w:t>
            </w:r>
            <w:r>
              <w:rPr>
                <w:spacing w:val="-8"/>
              </w:rPr>
              <w:t>则</w:t>
            </w:r>
            <w:r>
              <w:rPr>
                <w:spacing w:val="-56"/>
              </w:rPr>
              <w:t xml:space="preserve"> </w:t>
            </w:r>
            <w:r>
              <w:rPr>
                <w:spacing w:val="-8"/>
              </w:rPr>
              <w:t>经</w:t>
            </w:r>
            <w:r>
              <w:rPr>
                <w:spacing w:val="-53"/>
              </w:rPr>
              <w:t xml:space="preserve"> </w:t>
            </w:r>
            <w:r>
              <w:rPr>
                <w:spacing w:val="-8"/>
              </w:rPr>
              <w:t>处</w:t>
            </w:r>
            <w:r>
              <w:rPr>
                <w:spacing w:val="-55"/>
              </w:rPr>
              <w:t xml:space="preserve"> </w:t>
            </w:r>
            <w:r>
              <w:rPr>
                <w:spacing w:val="-8"/>
              </w:rPr>
              <w:t>理</w:t>
            </w:r>
            <w:r>
              <w:rPr>
                <w:spacing w:val="-58"/>
              </w:rPr>
              <w:t xml:space="preserve"> </w:t>
            </w:r>
            <w:r>
              <w:rPr>
                <w:spacing w:val="-8"/>
              </w:rPr>
              <w:t>后</w:t>
            </w:r>
            <w:r>
              <w:rPr>
                <w:spacing w:val="-59"/>
              </w:rPr>
              <w:t xml:space="preserve"> </w:t>
            </w:r>
            <w:r>
              <w:rPr>
                <w:spacing w:val="-8"/>
              </w:rPr>
              <w:t>粉</w:t>
            </w:r>
            <w:r>
              <w:rPr>
                <w:spacing w:val="-56"/>
              </w:rPr>
              <w:t xml:space="preserve"> </w:t>
            </w:r>
            <w:r>
              <w:rPr>
                <w:spacing w:val="-8"/>
              </w:rPr>
              <w:t>尘</w:t>
            </w:r>
            <w:r>
              <w:rPr>
                <w:spacing w:val="-58"/>
              </w:rPr>
              <w:t xml:space="preserve"> </w:t>
            </w:r>
            <w:r>
              <w:rPr>
                <w:spacing w:val="-8"/>
              </w:rPr>
              <w:t>排</w:t>
            </w:r>
            <w:r>
              <w:rPr>
                <w:spacing w:val="-58"/>
              </w:rPr>
              <w:t xml:space="preserve"> </w:t>
            </w:r>
            <w:r>
              <w:rPr>
                <w:spacing w:val="-8"/>
              </w:rPr>
              <w:t>放</w:t>
            </w:r>
            <w:r>
              <w:rPr>
                <w:spacing w:val="-58"/>
              </w:rPr>
              <w:t xml:space="preserve"> </w:t>
            </w:r>
            <w:r>
              <w:rPr>
                <w:spacing w:val="-8"/>
              </w:rPr>
              <w:t xml:space="preserve">量 </w:t>
            </w:r>
            <w:r>
              <w:rPr>
                <w:rFonts w:ascii="Calibri" w:hAnsi="Calibri" w:eastAsia="Calibri" w:cs="Calibri"/>
                <w:spacing w:val="-8"/>
              </w:rPr>
              <w:t>0.000133t/a</w:t>
            </w:r>
            <w:r>
              <w:rPr>
                <w:rFonts w:ascii="Calibri" w:hAnsi="Calibri" w:eastAsia="Calibri" w:cs="Calibri"/>
                <w:spacing w:val="24"/>
              </w:rPr>
              <w:t xml:space="preserve"> </w:t>
            </w:r>
            <w:r>
              <w:rPr>
                <w:spacing w:val="-8"/>
              </w:rPr>
              <w:t>，</w:t>
            </w:r>
            <w:r>
              <w:rPr>
                <w:spacing w:val="-55"/>
              </w:rPr>
              <w:t xml:space="preserve"> </w:t>
            </w:r>
            <w:r>
              <w:rPr>
                <w:spacing w:val="-8"/>
              </w:rPr>
              <w:t>为</w:t>
            </w:r>
            <w:r>
              <w:rPr>
                <w:spacing w:val="-59"/>
              </w:rPr>
              <w:t xml:space="preserve"> </w:t>
            </w:r>
            <w:r>
              <w:rPr>
                <w:spacing w:val="-8"/>
              </w:rPr>
              <w:t>粉</w:t>
            </w:r>
            <w:r>
              <w:rPr>
                <w:spacing w:val="-56"/>
              </w:rPr>
              <w:t xml:space="preserve"> </w:t>
            </w:r>
            <w:r>
              <w:rPr>
                <w:spacing w:val="-8"/>
              </w:rPr>
              <w:t>尘</w:t>
            </w:r>
            <w:r>
              <w:rPr>
                <w:spacing w:val="-58"/>
              </w:rPr>
              <w:t xml:space="preserve"> </w:t>
            </w:r>
            <w:r>
              <w:rPr>
                <w:spacing w:val="-8"/>
              </w:rPr>
              <w:t>排</w:t>
            </w:r>
            <w:r>
              <w:rPr>
                <w:spacing w:val="-60"/>
              </w:rPr>
              <w:t xml:space="preserve"> </w:t>
            </w:r>
            <w:r>
              <w:rPr>
                <w:spacing w:val="-8"/>
              </w:rPr>
              <w:t>放</w:t>
            </w:r>
            <w:r>
              <w:rPr>
                <w:spacing w:val="-59"/>
              </w:rPr>
              <w:t xml:space="preserve"> </w:t>
            </w:r>
            <w:r>
              <w:rPr>
                <w:spacing w:val="-8"/>
              </w:rPr>
              <w:t>速</w:t>
            </w:r>
            <w:r>
              <w:rPr>
                <w:spacing w:val="-56"/>
              </w:rPr>
              <w:t xml:space="preserve"> </w:t>
            </w:r>
            <w:r>
              <w:rPr>
                <w:spacing w:val="-8"/>
              </w:rPr>
              <w:t>率</w:t>
            </w:r>
            <w:r>
              <w:rPr>
                <w:spacing w:val="-55"/>
              </w:rPr>
              <w:t xml:space="preserve"> </w:t>
            </w:r>
            <w:r>
              <w:rPr>
                <w:spacing w:val="-8"/>
              </w:rPr>
              <w:t>为</w:t>
            </w:r>
            <w:r>
              <w:t xml:space="preserve"> </w:t>
            </w:r>
            <w:r>
              <w:rPr>
                <w:rFonts w:ascii="Calibri" w:hAnsi="Calibri" w:eastAsia="Calibri" w:cs="Calibri"/>
                <w:spacing w:val="-3"/>
              </w:rPr>
              <w:t>0.000111kg/h</w:t>
            </w:r>
            <w:r>
              <w:rPr>
                <w:spacing w:val="-3"/>
              </w:rPr>
              <w:t>、排放浓度为</w:t>
            </w:r>
            <w:r>
              <w:rPr>
                <w:spacing w:val="-51"/>
              </w:rPr>
              <w:t xml:space="preserve"> </w:t>
            </w:r>
            <w:r>
              <w:rPr>
                <w:rFonts w:ascii="Calibri" w:hAnsi="Calibri" w:eastAsia="Calibri" w:cs="Calibri"/>
                <w:spacing w:val="-3"/>
              </w:rPr>
              <w:t>0.0555mg/m</w:t>
            </w:r>
            <w:r>
              <w:rPr>
                <w:spacing w:val="-3"/>
              </w:rPr>
              <w:t>³</w:t>
            </w:r>
            <w:r>
              <w:rPr>
                <w:spacing w:val="-91"/>
              </w:rPr>
              <w:t xml:space="preserve"> </w:t>
            </w:r>
            <w:r>
              <w:rPr>
                <w:spacing w:val="-3"/>
              </w:rPr>
              <w:t>, 排放速率及浓度满足《大气污染物综</w:t>
            </w:r>
            <w:r>
              <w:t xml:space="preserve"> 合排放标准》（</w:t>
            </w:r>
            <w:r>
              <w:rPr>
                <w:rFonts w:ascii="Calibri" w:hAnsi="Calibri" w:eastAsia="Calibri" w:cs="Calibri"/>
              </w:rPr>
              <w:t>GB16297-1996</w:t>
            </w:r>
            <w:r>
              <w:t>）中新改扩</w:t>
            </w:r>
            <w:r>
              <w:rPr>
                <w:spacing w:val="-1"/>
              </w:rPr>
              <w:t>建项目二级排放标准。</w:t>
            </w:r>
          </w:p>
          <w:p w14:paraId="04DF8573">
            <w:pPr>
              <w:pStyle w:val="6"/>
              <w:spacing w:before="128" w:line="351" w:lineRule="auto"/>
              <w:ind w:left="108" w:right="155" w:firstLine="480"/>
            </w:pPr>
            <w:r>
              <w:rPr>
                <w:spacing w:val="-2"/>
              </w:rPr>
              <w:t>未捕集粉尘：项目集气罩集气效率为</w:t>
            </w:r>
            <w:r>
              <w:rPr>
                <w:spacing w:val="-51"/>
              </w:rPr>
              <w:t xml:space="preserve"> </w:t>
            </w:r>
            <w:r>
              <w:rPr>
                <w:rFonts w:ascii="Calibri" w:hAnsi="Calibri" w:eastAsia="Calibri" w:cs="Calibri"/>
                <w:spacing w:val="-2"/>
              </w:rPr>
              <w:t>85%</w:t>
            </w:r>
            <w:r>
              <w:rPr>
                <w:rFonts w:ascii="Calibri" w:hAnsi="Calibri" w:eastAsia="Calibri" w:cs="Calibri"/>
                <w:spacing w:val="-23"/>
              </w:rPr>
              <w:t xml:space="preserve"> </w:t>
            </w:r>
            <w:r>
              <w:rPr>
                <w:spacing w:val="-2"/>
              </w:rPr>
              <w:t>，则有</w:t>
            </w:r>
            <w:r>
              <w:rPr>
                <w:spacing w:val="-38"/>
              </w:rPr>
              <w:t xml:space="preserve"> </w:t>
            </w:r>
            <w:r>
              <w:rPr>
                <w:rFonts w:ascii="Calibri" w:hAnsi="Calibri" w:eastAsia="Calibri" w:cs="Calibri"/>
                <w:spacing w:val="-2"/>
              </w:rPr>
              <w:t>15%</w:t>
            </w:r>
            <w:r>
              <w:rPr>
                <w:spacing w:val="-2"/>
              </w:rPr>
              <w:t>切割粉尘未被捕集，</w:t>
            </w:r>
            <w:r>
              <w:t xml:space="preserve"> </w:t>
            </w:r>
            <w:r>
              <w:rPr>
                <w:spacing w:val="-1"/>
              </w:rPr>
              <w:t>该部分产生量为</w:t>
            </w:r>
            <w:r>
              <w:rPr>
                <w:spacing w:val="-52"/>
              </w:rPr>
              <w:t xml:space="preserve"> </w:t>
            </w:r>
            <w:r>
              <w:rPr>
                <w:rFonts w:ascii="Calibri" w:hAnsi="Calibri" w:eastAsia="Calibri" w:cs="Calibri"/>
                <w:spacing w:val="-1"/>
              </w:rPr>
              <w:t>0.02355t/a</w:t>
            </w:r>
            <w:r>
              <w:rPr>
                <w:rFonts w:ascii="Calibri" w:hAnsi="Calibri" w:eastAsia="Calibri" w:cs="Calibri"/>
                <w:spacing w:val="-30"/>
              </w:rPr>
              <w:t xml:space="preserve"> </w:t>
            </w:r>
            <w:r>
              <w:rPr>
                <w:spacing w:val="-1"/>
              </w:rPr>
              <w:t>，以无组织形</w:t>
            </w:r>
            <w:r>
              <w:rPr>
                <w:spacing w:val="-2"/>
              </w:rPr>
              <w:t>式排放，采取加强车间通风处理。</w:t>
            </w:r>
          </w:p>
          <w:p w14:paraId="240CD9BF">
            <w:pPr>
              <w:pStyle w:val="6"/>
              <w:spacing w:before="21" w:line="346" w:lineRule="auto"/>
              <w:ind w:left="105" w:right="16" w:firstLine="490"/>
            </w:pPr>
            <w:r>
              <w:rPr>
                <w:spacing w:val="-3"/>
              </w:rPr>
              <w:t>（</w:t>
            </w:r>
            <w:r>
              <w:rPr>
                <w:rFonts w:ascii="Calibri" w:hAnsi="Calibri" w:eastAsia="Calibri" w:cs="Calibri"/>
                <w:spacing w:val="-3"/>
              </w:rPr>
              <w:t>2</w:t>
            </w:r>
            <w:r>
              <w:rPr>
                <w:spacing w:val="-3"/>
              </w:rPr>
              <w:t>）预处理过程废矿物油抽取和暂存过程中产生的非甲烷总烃：农机拆解</w:t>
            </w:r>
            <w:r>
              <w:rPr>
                <w:spacing w:val="13"/>
              </w:rPr>
              <w:t xml:space="preserve"> </w:t>
            </w:r>
            <w:r>
              <w:rPr>
                <w:spacing w:val="1"/>
              </w:rPr>
              <w:t>收集的废矿物油包括燃油（柴油、汽油）、机油、液压油、润滑油、制动液等</w:t>
            </w:r>
            <w:r>
              <w:rPr>
                <w:spacing w:val="14"/>
              </w:rPr>
              <w:t xml:space="preserve"> </w:t>
            </w:r>
            <w:r>
              <w:rPr>
                <w:spacing w:val="2"/>
              </w:rPr>
              <w:t>各种液体，除了燃油外，其他油液主要对发电机等机械设备起到润滑、清洁、</w:t>
            </w:r>
            <w:r>
              <w:rPr>
                <w:spacing w:val="6"/>
              </w:rPr>
              <w:t xml:space="preserve"> </w:t>
            </w:r>
            <w:r>
              <w:rPr>
                <w:spacing w:val="-3"/>
              </w:rPr>
              <w:t>密封、减磨、防锈等作用，相对于燃油而言稳定性较强，有</w:t>
            </w:r>
            <w:r>
              <w:rPr>
                <w:spacing w:val="-4"/>
              </w:rPr>
              <w:t>较强的氧化稳定性、</w:t>
            </w:r>
            <w:r>
              <w:t xml:space="preserve"> </w:t>
            </w:r>
            <w:r>
              <w:rPr>
                <w:spacing w:val="-1"/>
              </w:rPr>
              <w:t>热稳定性以及低挥发性，拆解回收过程中基本不产生废气。</w:t>
            </w:r>
          </w:p>
        </w:tc>
      </w:tr>
    </w:tbl>
    <w:p w14:paraId="2796FD51">
      <w:pPr>
        <w:pStyle w:val="2"/>
        <w:spacing w:line="158" w:lineRule="exact"/>
        <w:rPr>
          <w:sz w:val="13"/>
        </w:rPr>
      </w:pPr>
    </w:p>
    <w:p w14:paraId="575D515E">
      <w:pPr>
        <w:spacing w:line="158" w:lineRule="exact"/>
        <w:rPr>
          <w:sz w:val="13"/>
          <w:szCs w:val="13"/>
        </w:rPr>
        <w:sectPr>
          <w:footerReference r:id="rId68"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142684D5">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980" w:hRule="atLeast"/>
        </w:trPr>
        <w:tc>
          <w:tcPr>
            <w:tcW w:w="477" w:type="dxa"/>
            <w:tcBorders>
              <w:right w:val="single" w:color="000000" w:sz="2" w:space="0"/>
            </w:tcBorders>
            <w:vAlign w:val="top"/>
          </w:tcPr>
          <w:p w14:paraId="5B1B138F">
            <w:pPr>
              <w:rPr>
                <w:rFonts w:ascii="Arial"/>
                <w:sz w:val="21"/>
              </w:rPr>
            </w:pPr>
          </w:p>
        </w:tc>
        <w:tc>
          <w:tcPr>
            <w:tcW w:w="8425" w:type="dxa"/>
            <w:tcBorders>
              <w:left w:val="single" w:color="000000" w:sz="2" w:space="0"/>
            </w:tcBorders>
            <w:vAlign w:val="top"/>
          </w:tcPr>
          <w:p w14:paraId="0D97A993">
            <w:pPr>
              <w:pStyle w:val="6"/>
              <w:spacing w:before="99" w:line="345" w:lineRule="auto"/>
              <w:ind w:left="103" w:right="35" w:firstLine="484"/>
              <w:jc w:val="both"/>
            </w:pPr>
            <w:r>
              <w:rPr>
                <w:spacing w:val="-4"/>
              </w:rPr>
              <w:t>项目报废农机具在入厂后，首先对农机进行检查，对出现泄漏的总</w:t>
            </w:r>
            <w:r>
              <w:rPr>
                <w:spacing w:val="-5"/>
              </w:rPr>
              <w:t>成部件，</w:t>
            </w:r>
            <w:r>
              <w:t xml:space="preserve"> </w:t>
            </w:r>
            <w:r>
              <w:rPr>
                <w:spacing w:val="1"/>
              </w:rPr>
              <w:t>收集泄漏的液体或封住泄漏处，故泄漏的废油液量很少。项目废油液抽取前和</w:t>
            </w:r>
            <w:r>
              <w:rPr>
                <w:spacing w:val="16"/>
              </w:rPr>
              <w:t xml:space="preserve"> </w:t>
            </w:r>
            <w:r>
              <w:rPr>
                <w:spacing w:val="1"/>
              </w:rPr>
              <w:t>抽取后均在密闭容器内封存，可能产生的非甲烷总烃废气的环节主要为排空油</w:t>
            </w:r>
            <w:r>
              <w:rPr>
                <w:spacing w:val="16"/>
              </w:rPr>
              <w:t xml:space="preserve"> </w:t>
            </w:r>
            <w:r>
              <w:rPr>
                <w:spacing w:val="-1"/>
              </w:rPr>
              <w:t>液的过程中油液的挥发。</w:t>
            </w:r>
          </w:p>
          <w:p w14:paraId="38183619">
            <w:pPr>
              <w:pStyle w:val="6"/>
              <w:spacing w:line="355" w:lineRule="auto"/>
              <w:ind w:left="105" w:right="94" w:firstLine="480"/>
            </w:pPr>
            <w:r>
              <w:rPr>
                <w:spacing w:val="1"/>
              </w:rPr>
              <w:t>本项目参照《散装液态石油产品损耗》（</w:t>
            </w:r>
            <w:r>
              <w:rPr>
                <w:rFonts w:ascii="Calibri" w:hAnsi="Calibri" w:eastAsia="Calibri" w:cs="Calibri"/>
              </w:rPr>
              <w:t>GB</w:t>
            </w:r>
            <w:r>
              <w:rPr>
                <w:rFonts w:ascii="Calibri" w:hAnsi="Calibri" w:eastAsia="Calibri" w:cs="Calibri"/>
                <w:spacing w:val="1"/>
              </w:rPr>
              <w:t>11085-89</w:t>
            </w:r>
            <w:r>
              <w:rPr>
                <w:spacing w:val="1"/>
              </w:rPr>
              <w:t>）之“表</w:t>
            </w:r>
            <w:r>
              <w:rPr>
                <w:spacing w:val="-38"/>
              </w:rPr>
              <w:t xml:space="preserve"> </w:t>
            </w:r>
            <w:r>
              <w:rPr>
                <w:rFonts w:ascii="Calibri" w:hAnsi="Calibri" w:eastAsia="Calibri" w:cs="Calibri"/>
                <w:spacing w:val="1"/>
              </w:rPr>
              <w:t>5</w:t>
            </w:r>
            <w:r>
              <w:rPr>
                <w:rFonts w:ascii="Calibri" w:hAnsi="Calibri" w:eastAsia="Calibri" w:cs="Calibri"/>
                <w:spacing w:val="-16"/>
              </w:rPr>
              <w:t xml:space="preserve"> </w:t>
            </w:r>
            <w:r>
              <w:rPr>
                <w:spacing w:val="1"/>
              </w:rPr>
              <w:t>”中规定</w:t>
            </w:r>
            <w:r>
              <w:t xml:space="preserve"> </w:t>
            </w:r>
            <w:r>
              <w:rPr>
                <w:spacing w:val="-3"/>
              </w:rPr>
              <w:t>的</w:t>
            </w:r>
            <w:r>
              <w:rPr>
                <w:spacing w:val="-54"/>
              </w:rPr>
              <w:t xml:space="preserve"> </w:t>
            </w:r>
            <w:r>
              <w:rPr>
                <w:rFonts w:ascii="Calibri" w:hAnsi="Calibri" w:eastAsia="Calibri" w:cs="Calibri"/>
                <w:spacing w:val="-3"/>
              </w:rPr>
              <w:t>A</w:t>
            </w:r>
            <w:r>
              <w:rPr>
                <w:rFonts w:ascii="Calibri" w:hAnsi="Calibri" w:eastAsia="Calibri" w:cs="Calibri"/>
                <w:spacing w:val="13"/>
              </w:rPr>
              <w:t xml:space="preserve"> </w:t>
            </w:r>
            <w:r>
              <w:rPr>
                <w:spacing w:val="-3"/>
              </w:rPr>
              <w:t>类地区，平均输转损耗率为</w:t>
            </w:r>
            <w:r>
              <w:rPr>
                <w:spacing w:val="-52"/>
              </w:rPr>
              <w:t xml:space="preserve"> </w:t>
            </w:r>
            <w:r>
              <w:rPr>
                <w:rFonts w:ascii="Calibri" w:hAnsi="Calibri" w:eastAsia="Calibri" w:cs="Calibri"/>
                <w:spacing w:val="-3"/>
              </w:rPr>
              <w:t>0.01%</w:t>
            </w:r>
            <w:r>
              <w:rPr>
                <w:spacing w:val="-3"/>
              </w:rPr>
              <w:t>、灌桶损耗率为</w:t>
            </w:r>
            <w:r>
              <w:rPr>
                <w:spacing w:val="-51"/>
              </w:rPr>
              <w:t xml:space="preserve"> </w:t>
            </w:r>
            <w:r>
              <w:rPr>
                <w:rFonts w:ascii="Calibri" w:hAnsi="Calibri" w:eastAsia="Calibri" w:cs="Calibri"/>
                <w:spacing w:val="-3"/>
              </w:rPr>
              <w:t>0.01%</w:t>
            </w:r>
            <w:r>
              <w:rPr>
                <w:spacing w:val="-3"/>
              </w:rPr>
              <w:t>，项目废油采用密</w:t>
            </w:r>
            <w:r>
              <w:t xml:space="preserve"> </w:t>
            </w:r>
            <w:r>
              <w:rPr>
                <w:spacing w:val="1"/>
              </w:rPr>
              <w:t>闭桶承转，因此储存时基本无废气产生。根据建设单位提供资料，报废农机残</w:t>
            </w:r>
            <w:r>
              <w:rPr>
                <w:spacing w:val="14"/>
              </w:rPr>
              <w:t xml:space="preserve"> </w:t>
            </w:r>
            <w:r>
              <w:rPr>
                <w:spacing w:val="-1"/>
              </w:rPr>
              <w:t>余柴油量约为</w:t>
            </w:r>
            <w:r>
              <w:rPr>
                <w:spacing w:val="-43"/>
              </w:rPr>
              <w:t xml:space="preserve"> </w:t>
            </w:r>
            <w:r>
              <w:rPr>
                <w:rFonts w:ascii="Calibri" w:hAnsi="Calibri" w:eastAsia="Calibri" w:cs="Calibri"/>
                <w:spacing w:val="-1"/>
              </w:rPr>
              <w:t>2kg/</w:t>
            </w:r>
            <w:r>
              <w:rPr>
                <w:spacing w:val="-1"/>
              </w:rPr>
              <w:t>辆、机油</w:t>
            </w:r>
            <w:r>
              <w:rPr>
                <w:spacing w:val="-47"/>
              </w:rPr>
              <w:t xml:space="preserve"> </w:t>
            </w:r>
            <w:r>
              <w:rPr>
                <w:rFonts w:ascii="Calibri" w:hAnsi="Calibri" w:eastAsia="Calibri" w:cs="Calibri"/>
                <w:spacing w:val="-1"/>
              </w:rPr>
              <w:t>2kg/</w:t>
            </w:r>
            <w:r>
              <w:rPr>
                <w:spacing w:val="-1"/>
              </w:rPr>
              <w:t>辆。项目年拆解报废农机</w:t>
            </w:r>
            <w:r>
              <w:rPr>
                <w:spacing w:val="-52"/>
              </w:rPr>
              <w:t xml:space="preserve"> </w:t>
            </w:r>
            <w:r>
              <w:rPr>
                <w:rFonts w:ascii="Calibri" w:hAnsi="Calibri" w:eastAsia="Calibri" w:cs="Calibri"/>
                <w:spacing w:val="-1"/>
              </w:rPr>
              <w:t>800</w:t>
            </w:r>
            <w:r>
              <w:rPr>
                <w:rFonts w:ascii="Calibri" w:hAnsi="Calibri" w:eastAsia="Calibri" w:cs="Calibri"/>
                <w:spacing w:val="15"/>
              </w:rPr>
              <w:t xml:space="preserve"> </w:t>
            </w:r>
            <w:r>
              <w:rPr>
                <w:spacing w:val="-1"/>
              </w:rPr>
              <w:t>辆，则残余柴油</w:t>
            </w:r>
            <w:r>
              <w:t xml:space="preserve"> </w:t>
            </w:r>
            <w:r>
              <w:rPr>
                <w:spacing w:val="-3"/>
              </w:rPr>
              <w:t>收集量</w:t>
            </w:r>
            <w:r>
              <w:rPr>
                <w:spacing w:val="-35"/>
              </w:rPr>
              <w:t xml:space="preserve"> </w:t>
            </w:r>
            <w:r>
              <w:rPr>
                <w:rFonts w:ascii="Calibri" w:hAnsi="Calibri" w:eastAsia="Calibri" w:cs="Calibri"/>
                <w:spacing w:val="-3"/>
              </w:rPr>
              <w:t>1.6t/a</w:t>
            </w:r>
            <w:r>
              <w:rPr>
                <w:rFonts w:ascii="Calibri" w:hAnsi="Calibri" w:eastAsia="Calibri" w:cs="Calibri"/>
                <w:spacing w:val="-30"/>
              </w:rPr>
              <w:t xml:space="preserve"> </w:t>
            </w:r>
            <w:r>
              <w:rPr>
                <w:spacing w:val="-3"/>
              </w:rPr>
              <w:t>、残余机油收集量</w:t>
            </w:r>
            <w:r>
              <w:rPr>
                <w:spacing w:val="-37"/>
              </w:rPr>
              <w:t xml:space="preserve"> </w:t>
            </w:r>
            <w:r>
              <w:rPr>
                <w:rFonts w:ascii="Calibri" w:hAnsi="Calibri" w:eastAsia="Calibri" w:cs="Calibri"/>
                <w:spacing w:val="-3"/>
              </w:rPr>
              <w:t>1.6t/a</w:t>
            </w:r>
            <w:r>
              <w:rPr>
                <w:rFonts w:ascii="Calibri" w:hAnsi="Calibri" w:eastAsia="Calibri" w:cs="Calibri"/>
                <w:spacing w:val="-24"/>
              </w:rPr>
              <w:t xml:space="preserve"> </w:t>
            </w:r>
            <w:r>
              <w:rPr>
                <w:spacing w:val="-3"/>
              </w:rPr>
              <w:t>。项目废油液的抽取中转量约为</w:t>
            </w:r>
            <w:r>
              <w:rPr>
                <w:spacing w:val="-48"/>
              </w:rPr>
              <w:t xml:space="preserve"> </w:t>
            </w:r>
            <w:r>
              <w:rPr>
                <w:rFonts w:ascii="Calibri" w:hAnsi="Calibri" w:eastAsia="Calibri" w:cs="Calibri"/>
                <w:spacing w:val="-3"/>
              </w:rPr>
              <w:t>3.2t/a</w:t>
            </w:r>
            <w:r>
              <w:rPr>
                <w:rFonts w:ascii="Calibri" w:hAnsi="Calibri" w:eastAsia="Calibri" w:cs="Calibri"/>
                <w:spacing w:val="-25"/>
              </w:rPr>
              <w:t xml:space="preserve"> </w:t>
            </w:r>
            <w:r>
              <w:rPr>
                <w:spacing w:val="-3"/>
              </w:rPr>
              <w:t>，</w:t>
            </w:r>
            <w:r>
              <w:t xml:space="preserve"> 则废油液挥发产生的非甲烷总烃量约为</w:t>
            </w:r>
            <w:r>
              <w:rPr>
                <w:spacing w:val="-48"/>
              </w:rPr>
              <w:t xml:space="preserve"> </w:t>
            </w:r>
            <w:r>
              <w:rPr>
                <w:rFonts w:ascii="Calibri" w:hAnsi="Calibri" w:eastAsia="Calibri" w:cs="Calibri"/>
              </w:rPr>
              <w:t>3.2</w:t>
            </w:r>
            <w:r>
              <w:rPr>
                <w:rFonts w:ascii="Calibri" w:hAnsi="Calibri" w:eastAsia="Calibri" w:cs="Calibri"/>
                <w:spacing w:val="-1"/>
              </w:rPr>
              <w:t>t/a</w:t>
            </w:r>
            <w:r>
              <w:rPr>
                <w:spacing w:val="-1"/>
              </w:rPr>
              <w:t>×（</w:t>
            </w:r>
            <w:r>
              <w:rPr>
                <w:rFonts w:ascii="Calibri" w:hAnsi="Calibri" w:eastAsia="Calibri" w:cs="Calibri"/>
                <w:spacing w:val="-1"/>
              </w:rPr>
              <w:t>0.01%+0.01%</w:t>
            </w:r>
            <w:r>
              <w:rPr>
                <w:spacing w:val="-1"/>
              </w:rPr>
              <w:t>）</w:t>
            </w:r>
            <w:r>
              <w:rPr>
                <w:rFonts w:ascii="Calibri" w:hAnsi="Calibri" w:eastAsia="Calibri" w:cs="Calibri"/>
                <w:spacing w:val="-1"/>
              </w:rPr>
              <w:t>=0.00064t/a</w:t>
            </w:r>
            <w:r>
              <w:rPr>
                <w:spacing w:val="-1"/>
              </w:rPr>
              <w:t>。</w:t>
            </w:r>
          </w:p>
          <w:p w14:paraId="3763797E">
            <w:pPr>
              <w:pStyle w:val="6"/>
              <w:spacing w:before="30" w:line="355" w:lineRule="auto"/>
              <w:ind w:left="103" w:right="97" w:firstLine="480"/>
            </w:pPr>
            <w:r>
              <w:rPr>
                <w:spacing w:val="-1"/>
              </w:rPr>
              <w:t>抽油液工段与危险废物贮存库共用</w:t>
            </w:r>
            <w:r>
              <w:rPr>
                <w:spacing w:val="-32"/>
              </w:rPr>
              <w:t xml:space="preserve"> </w:t>
            </w:r>
            <w:r>
              <w:rPr>
                <w:spacing w:val="-1"/>
              </w:rPr>
              <w:t>1</w:t>
            </w:r>
            <w:r>
              <w:rPr>
                <w:spacing w:val="-48"/>
              </w:rPr>
              <w:t xml:space="preserve"> </w:t>
            </w:r>
            <w:r>
              <w:rPr>
                <w:spacing w:val="-1"/>
              </w:rPr>
              <w:t>套设置集气装置，收集的废气</w:t>
            </w:r>
            <w:r>
              <w:rPr>
                <w:spacing w:val="-2"/>
              </w:rPr>
              <w:t>经</w:t>
            </w:r>
            <w:r>
              <w:rPr>
                <w:spacing w:val="-30"/>
              </w:rPr>
              <w:t xml:space="preserve"> </w:t>
            </w:r>
            <w:r>
              <w:rPr>
                <w:spacing w:val="-2"/>
              </w:rPr>
              <w:t>1</w:t>
            </w:r>
            <w:r>
              <w:rPr>
                <w:spacing w:val="-47"/>
              </w:rPr>
              <w:t xml:space="preserve"> </w:t>
            </w:r>
            <w:r>
              <w:rPr>
                <w:spacing w:val="-2"/>
              </w:rPr>
              <w:t>套</w:t>
            </w:r>
            <w:r>
              <w:t xml:space="preserve"> </w:t>
            </w:r>
            <w:r>
              <w:rPr>
                <w:spacing w:val="-2"/>
              </w:rPr>
              <w:t>活性碳吸附装置处理后由</w:t>
            </w:r>
            <w:r>
              <w:rPr>
                <w:spacing w:val="-32"/>
              </w:rPr>
              <w:t xml:space="preserve"> </w:t>
            </w:r>
            <w:r>
              <w:rPr>
                <w:spacing w:val="-2"/>
              </w:rPr>
              <w:t>15m</w:t>
            </w:r>
            <w:r>
              <w:rPr>
                <w:spacing w:val="-45"/>
              </w:rPr>
              <w:t xml:space="preserve"> </w:t>
            </w:r>
            <w:r>
              <w:rPr>
                <w:spacing w:val="-2"/>
              </w:rPr>
              <w:t>高排气筒排放（DA002</w:t>
            </w:r>
            <w:r>
              <w:rPr>
                <w:spacing w:val="4"/>
              </w:rPr>
              <w:t>），</w:t>
            </w:r>
            <w:r>
              <w:rPr>
                <w:spacing w:val="-2"/>
              </w:rPr>
              <w:t>集气罩收集效率</w:t>
            </w:r>
            <w:r>
              <w:rPr>
                <w:spacing w:val="-49"/>
              </w:rPr>
              <w:t xml:space="preserve"> </w:t>
            </w:r>
            <w:r>
              <w:rPr>
                <w:spacing w:val="-2"/>
              </w:rPr>
              <w:t>85%，</w:t>
            </w:r>
            <w:r>
              <w:t xml:space="preserve"> 风量</w:t>
            </w:r>
            <w:r>
              <w:rPr>
                <w:spacing w:val="-48"/>
              </w:rPr>
              <w:t xml:space="preserve"> </w:t>
            </w:r>
            <w:r>
              <w:t>2000m</w:t>
            </w:r>
            <w:r>
              <w:rPr>
                <w:position w:val="11"/>
                <w:sz w:val="12"/>
                <w:szCs w:val="12"/>
              </w:rPr>
              <w:t>3</w:t>
            </w:r>
            <w:r>
              <w:t>/h，集气罩收集后的废气经活性炭吸附装置处</w:t>
            </w:r>
            <w:r>
              <w:rPr>
                <w:spacing w:val="-1"/>
              </w:rPr>
              <w:t>理后通过</w:t>
            </w:r>
            <w:r>
              <w:rPr>
                <w:spacing w:val="-33"/>
              </w:rPr>
              <w:t xml:space="preserve"> </w:t>
            </w:r>
            <w:r>
              <w:rPr>
                <w:spacing w:val="-1"/>
              </w:rPr>
              <w:t>15m</w:t>
            </w:r>
            <w:r>
              <w:rPr>
                <w:spacing w:val="-41"/>
              </w:rPr>
              <w:t xml:space="preserve"> </w:t>
            </w:r>
            <w:r>
              <w:rPr>
                <w:spacing w:val="-1"/>
              </w:rPr>
              <w:t>高排气</w:t>
            </w:r>
            <w:r>
              <w:t xml:space="preserve"> </w:t>
            </w:r>
            <w:r>
              <w:rPr>
                <w:spacing w:val="2"/>
              </w:rPr>
              <w:t>筒排放（活性炭吸附装置处理效率为80%，排气筒编号</w:t>
            </w:r>
            <w:r>
              <w:t>DA</w:t>
            </w:r>
            <w:r>
              <w:rPr>
                <w:spacing w:val="2"/>
              </w:rPr>
              <w:t>002</w:t>
            </w:r>
            <w:r>
              <w:rPr>
                <w:spacing w:val="-9"/>
              </w:rPr>
              <w:t>），</w:t>
            </w:r>
            <w:r>
              <w:rPr>
                <w:spacing w:val="2"/>
              </w:rPr>
              <w:t>则项目</w:t>
            </w:r>
            <w:r>
              <w:rPr>
                <w:spacing w:val="1"/>
              </w:rPr>
              <w:t xml:space="preserve">非甲烷 </w:t>
            </w:r>
            <w:r>
              <w:rPr>
                <w:spacing w:val="2"/>
              </w:rPr>
              <w:t>总烃有组织排放量为</w:t>
            </w:r>
            <w:r>
              <w:rPr>
                <w:spacing w:val="-28"/>
              </w:rPr>
              <w:t xml:space="preserve"> </w:t>
            </w:r>
            <w:r>
              <w:rPr>
                <w:spacing w:val="2"/>
              </w:rPr>
              <w:t>0.0001t/a，类比同类企业，平均每辆车的残油抽取时间</w:t>
            </w:r>
            <w:r>
              <w:t xml:space="preserve"> </w:t>
            </w:r>
            <w:r>
              <w:rPr>
                <w:spacing w:val="-2"/>
              </w:rPr>
              <w:t>大概持续约</w:t>
            </w:r>
            <w:r>
              <w:rPr>
                <w:spacing w:val="-45"/>
              </w:rPr>
              <w:t xml:space="preserve"> </w:t>
            </w:r>
            <w:r>
              <w:rPr>
                <w:spacing w:val="-2"/>
              </w:rPr>
              <w:t>5</w:t>
            </w:r>
            <w:r>
              <w:rPr>
                <w:spacing w:val="-48"/>
              </w:rPr>
              <w:t xml:space="preserve"> </w:t>
            </w:r>
            <w:r>
              <w:rPr>
                <w:spacing w:val="-2"/>
              </w:rPr>
              <w:t>分钟，根据本项目拆解周期特点，每天拆解</w:t>
            </w:r>
            <w:r>
              <w:rPr>
                <w:spacing w:val="-48"/>
              </w:rPr>
              <w:t xml:space="preserve"> </w:t>
            </w:r>
            <w:r>
              <w:rPr>
                <w:spacing w:val="-2"/>
              </w:rPr>
              <w:t>2-3</w:t>
            </w:r>
            <w:r>
              <w:rPr>
                <w:spacing w:val="-32"/>
              </w:rPr>
              <w:t xml:space="preserve"> </w:t>
            </w:r>
            <w:r>
              <w:rPr>
                <w:spacing w:val="-3"/>
              </w:rPr>
              <w:t>台设备，按最多</w:t>
            </w:r>
            <w:r>
              <w:t xml:space="preserve"> </w:t>
            </w:r>
            <w:r>
              <w:rPr>
                <w:spacing w:val="-1"/>
              </w:rPr>
              <w:t>3</w:t>
            </w:r>
            <w:r>
              <w:rPr>
                <w:spacing w:val="-32"/>
              </w:rPr>
              <w:t xml:space="preserve"> </w:t>
            </w:r>
            <w:r>
              <w:rPr>
                <w:spacing w:val="-1"/>
              </w:rPr>
              <w:t>台设备计算污染物小时排放的最大量，即抽油时间</w:t>
            </w:r>
            <w:r>
              <w:rPr>
                <w:spacing w:val="-30"/>
              </w:rPr>
              <w:t xml:space="preserve"> </w:t>
            </w:r>
            <w:r>
              <w:rPr>
                <w:spacing w:val="-1"/>
              </w:rPr>
              <w:t>15min/d（75h/a</w:t>
            </w:r>
            <w:r>
              <w:rPr>
                <w:spacing w:val="14"/>
              </w:rPr>
              <w:t>），</w:t>
            </w:r>
            <w:r>
              <w:rPr>
                <w:spacing w:val="-1"/>
              </w:rPr>
              <w:t>排放</w:t>
            </w:r>
            <w:r>
              <w:t xml:space="preserve"> </w:t>
            </w:r>
            <w:r>
              <w:rPr>
                <w:spacing w:val="-1"/>
              </w:rPr>
              <w:t>速率为</w:t>
            </w:r>
            <w:r>
              <w:rPr>
                <w:spacing w:val="-49"/>
              </w:rPr>
              <w:t xml:space="preserve"> </w:t>
            </w:r>
            <w:r>
              <w:rPr>
                <w:spacing w:val="-1"/>
              </w:rPr>
              <w:t>0.00133kg/h，排放浓度为</w:t>
            </w:r>
            <w:r>
              <w:rPr>
                <w:spacing w:val="-49"/>
              </w:rPr>
              <w:t xml:space="preserve"> </w:t>
            </w:r>
            <w:r>
              <w:rPr>
                <w:spacing w:val="-1"/>
              </w:rPr>
              <w:t>0.667mg/m³。</w:t>
            </w:r>
          </w:p>
          <w:p w14:paraId="21C2A548">
            <w:pPr>
              <w:pStyle w:val="6"/>
              <w:spacing w:before="122" w:line="351" w:lineRule="auto"/>
              <w:ind w:left="103" w:right="154" w:firstLine="484"/>
            </w:pPr>
            <w:r>
              <w:rPr>
                <w:spacing w:val="-1"/>
              </w:rPr>
              <w:t>未被收集的有机废气以无组织形式排出室外，无组织非甲烷总烃排放量为</w:t>
            </w:r>
            <w:r>
              <w:rPr>
                <w:spacing w:val="17"/>
              </w:rPr>
              <w:t xml:space="preserve"> </w:t>
            </w:r>
            <w:r>
              <w:rPr>
                <w:rFonts w:ascii="Calibri" w:hAnsi="Calibri" w:eastAsia="Calibri" w:cs="Calibri"/>
                <w:spacing w:val="-1"/>
              </w:rPr>
              <w:t>0.00096t/a</w:t>
            </w:r>
            <w:r>
              <w:rPr>
                <w:spacing w:val="-1"/>
              </w:rPr>
              <w:t>。</w:t>
            </w:r>
          </w:p>
          <w:p w14:paraId="4D064E5E">
            <w:pPr>
              <w:pStyle w:val="6"/>
              <w:spacing w:before="23" w:line="219" w:lineRule="auto"/>
              <w:ind w:left="583"/>
            </w:pPr>
            <w:r>
              <w:rPr>
                <w:spacing w:val="-1"/>
              </w:rPr>
              <w:t>废气污染物排放量核算见下表。</w:t>
            </w:r>
          </w:p>
          <w:p w14:paraId="177C10B2">
            <w:pPr>
              <w:pStyle w:val="6"/>
              <w:spacing w:before="104" w:line="219" w:lineRule="auto"/>
              <w:ind w:left="1783"/>
            </w:pPr>
            <w:r>
              <w:rPr>
                <w:b/>
                <w:bCs/>
                <w:spacing w:val="-1"/>
              </w:rPr>
              <w:t>表</w:t>
            </w:r>
            <w:r>
              <w:rPr>
                <w:spacing w:val="-48"/>
              </w:rPr>
              <w:t xml:space="preserve"> </w:t>
            </w:r>
            <w:r>
              <w:rPr>
                <w:rFonts w:ascii="Calibri" w:hAnsi="Calibri" w:eastAsia="Calibri" w:cs="Calibri"/>
                <w:b/>
                <w:bCs/>
                <w:spacing w:val="-1"/>
              </w:rPr>
              <w:t xml:space="preserve">4-1             </w:t>
            </w:r>
            <w:r>
              <w:rPr>
                <w:b/>
                <w:bCs/>
                <w:spacing w:val="-1"/>
              </w:rPr>
              <w:t>项目废气产排情况一览表</w:t>
            </w:r>
          </w:p>
          <w:p w14:paraId="280CE5C1">
            <w:pPr>
              <w:spacing w:line="147" w:lineRule="exact"/>
            </w:pPr>
          </w:p>
          <w:tbl>
            <w:tblPr>
              <w:tblStyle w:val="5"/>
              <w:tblW w:w="8219"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54"/>
              <w:gridCol w:w="354"/>
              <w:gridCol w:w="353"/>
              <w:gridCol w:w="624"/>
              <w:gridCol w:w="624"/>
              <w:gridCol w:w="634"/>
              <w:gridCol w:w="889"/>
              <w:gridCol w:w="452"/>
              <w:gridCol w:w="452"/>
              <w:gridCol w:w="353"/>
              <w:gridCol w:w="488"/>
              <w:gridCol w:w="760"/>
              <w:gridCol w:w="760"/>
              <w:gridCol w:w="634"/>
              <w:gridCol w:w="488"/>
            </w:tblGrid>
            <w:tr w14:paraId="1DAEA8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4" w:hRule="atLeast"/>
              </w:trPr>
              <w:tc>
                <w:tcPr>
                  <w:tcW w:w="354" w:type="dxa"/>
                  <w:vMerge w:val="restart"/>
                  <w:tcBorders>
                    <w:left w:val="nil"/>
                    <w:bottom w:val="nil"/>
                  </w:tcBorders>
                  <w:vAlign w:val="top"/>
                </w:tcPr>
                <w:p w14:paraId="6A8EA26C">
                  <w:pPr>
                    <w:pStyle w:val="6"/>
                    <w:spacing w:before="179" w:line="235" w:lineRule="auto"/>
                    <w:ind w:left="118"/>
                    <w:rPr>
                      <w:sz w:val="18"/>
                      <w:szCs w:val="18"/>
                    </w:rPr>
                  </w:pPr>
                  <w:r>
                    <w:rPr>
                      <w:b/>
                      <w:bCs/>
                      <w:spacing w:val="-2"/>
                      <w:sz w:val="18"/>
                      <w:szCs w:val="18"/>
                    </w:rPr>
                    <w:t>工</w:t>
                  </w:r>
                </w:p>
                <w:p w14:paraId="556D0DB3">
                  <w:pPr>
                    <w:spacing w:line="349" w:lineRule="auto"/>
                    <w:rPr>
                      <w:rFonts w:ascii="Arial"/>
                      <w:sz w:val="21"/>
                    </w:rPr>
                  </w:pPr>
                </w:p>
                <w:p w14:paraId="27CB9773">
                  <w:pPr>
                    <w:pStyle w:val="6"/>
                    <w:spacing w:before="59" w:line="323" w:lineRule="auto"/>
                    <w:ind w:left="115" w:right="62"/>
                    <w:rPr>
                      <w:sz w:val="18"/>
                      <w:szCs w:val="18"/>
                    </w:rPr>
                  </w:pPr>
                  <w:r>
                    <w:rPr>
                      <w:b/>
                      <w:bCs/>
                      <w:spacing w:val="-9"/>
                      <w:sz w:val="18"/>
                      <w:szCs w:val="18"/>
                    </w:rPr>
                    <w:t>序</w:t>
                  </w:r>
                  <w:r>
                    <w:rPr>
                      <w:sz w:val="18"/>
                      <w:szCs w:val="18"/>
                    </w:rPr>
                    <w:t xml:space="preserve"> </w:t>
                  </w:r>
                  <w:r>
                    <w:rPr>
                      <w:b/>
                      <w:bCs/>
                      <w:spacing w:val="-9"/>
                      <w:sz w:val="18"/>
                      <w:szCs w:val="18"/>
                    </w:rPr>
                    <w:t>/</w:t>
                  </w:r>
                  <w:r>
                    <w:rPr>
                      <w:sz w:val="18"/>
                      <w:szCs w:val="18"/>
                    </w:rPr>
                    <w:t xml:space="preserve">  </w:t>
                  </w:r>
                  <w:r>
                    <w:rPr>
                      <w:b/>
                      <w:bCs/>
                      <w:spacing w:val="-9"/>
                      <w:sz w:val="18"/>
                      <w:szCs w:val="18"/>
                    </w:rPr>
                    <w:t>生</w:t>
                  </w:r>
                  <w:r>
                    <w:rPr>
                      <w:sz w:val="18"/>
                      <w:szCs w:val="18"/>
                    </w:rPr>
                    <w:t xml:space="preserve"> </w:t>
                  </w:r>
                  <w:r>
                    <w:rPr>
                      <w:b/>
                      <w:bCs/>
                      <w:spacing w:val="-9"/>
                      <w:sz w:val="18"/>
                      <w:szCs w:val="18"/>
                    </w:rPr>
                    <w:t>产</w:t>
                  </w:r>
                  <w:r>
                    <w:rPr>
                      <w:sz w:val="18"/>
                      <w:szCs w:val="18"/>
                    </w:rPr>
                    <w:t xml:space="preserve"> </w:t>
                  </w:r>
                  <w:r>
                    <w:rPr>
                      <w:b/>
                      <w:bCs/>
                      <w:spacing w:val="-9"/>
                      <w:sz w:val="18"/>
                      <w:szCs w:val="18"/>
                    </w:rPr>
                    <w:t>线</w:t>
                  </w:r>
                </w:p>
              </w:tc>
              <w:tc>
                <w:tcPr>
                  <w:tcW w:w="354" w:type="dxa"/>
                  <w:vMerge w:val="restart"/>
                  <w:tcBorders>
                    <w:bottom w:val="nil"/>
                  </w:tcBorders>
                  <w:textDirection w:val="tbRlV"/>
                  <w:vAlign w:val="top"/>
                </w:tcPr>
                <w:p w14:paraId="612FB546">
                  <w:pPr>
                    <w:pStyle w:val="6"/>
                    <w:spacing w:before="63" w:line="209" w:lineRule="auto"/>
                    <w:ind w:left="978"/>
                    <w:rPr>
                      <w:sz w:val="18"/>
                      <w:szCs w:val="18"/>
                    </w:rPr>
                  </w:pPr>
                  <w:r>
                    <w:rPr>
                      <w:b/>
                      <w:bCs/>
                      <w:spacing w:val="-3"/>
                      <w:sz w:val="18"/>
                      <w:szCs w:val="18"/>
                    </w:rPr>
                    <w:t>污</w:t>
                  </w:r>
                  <w:r>
                    <w:rPr>
                      <w:spacing w:val="53"/>
                      <w:sz w:val="18"/>
                      <w:szCs w:val="18"/>
                    </w:rPr>
                    <w:t xml:space="preserve"> </w:t>
                  </w:r>
                  <w:r>
                    <w:rPr>
                      <w:b/>
                      <w:bCs/>
                      <w:spacing w:val="-3"/>
                      <w:sz w:val="18"/>
                      <w:szCs w:val="18"/>
                    </w:rPr>
                    <w:t>染</w:t>
                  </w:r>
                  <w:r>
                    <w:rPr>
                      <w:spacing w:val="50"/>
                      <w:sz w:val="18"/>
                      <w:szCs w:val="18"/>
                    </w:rPr>
                    <w:t xml:space="preserve"> </w:t>
                  </w:r>
                  <w:r>
                    <w:rPr>
                      <w:b/>
                      <w:bCs/>
                      <w:spacing w:val="-3"/>
                      <w:sz w:val="18"/>
                      <w:szCs w:val="18"/>
                    </w:rPr>
                    <w:t>物</w:t>
                  </w:r>
                </w:p>
              </w:tc>
              <w:tc>
                <w:tcPr>
                  <w:tcW w:w="2235" w:type="dxa"/>
                  <w:gridSpan w:val="4"/>
                  <w:vAlign w:val="top"/>
                </w:tcPr>
                <w:p w14:paraId="1D7C88AF">
                  <w:pPr>
                    <w:pStyle w:val="6"/>
                    <w:spacing w:before="174" w:line="219" w:lineRule="auto"/>
                    <w:ind w:left="671"/>
                    <w:rPr>
                      <w:sz w:val="18"/>
                      <w:szCs w:val="18"/>
                    </w:rPr>
                  </w:pPr>
                  <w:r>
                    <w:rPr>
                      <w:b/>
                      <w:bCs/>
                      <w:spacing w:val="-4"/>
                      <w:sz w:val="18"/>
                      <w:szCs w:val="18"/>
                    </w:rPr>
                    <w:t>污染物产生</w:t>
                  </w:r>
                </w:p>
              </w:tc>
              <w:tc>
                <w:tcPr>
                  <w:tcW w:w="2146" w:type="dxa"/>
                  <w:gridSpan w:val="4"/>
                  <w:vAlign w:val="top"/>
                </w:tcPr>
                <w:p w14:paraId="6DB1B2A1">
                  <w:pPr>
                    <w:pStyle w:val="6"/>
                    <w:spacing w:before="174" w:line="220" w:lineRule="auto"/>
                    <w:ind w:left="719"/>
                    <w:rPr>
                      <w:sz w:val="18"/>
                      <w:szCs w:val="18"/>
                    </w:rPr>
                  </w:pPr>
                  <w:r>
                    <w:rPr>
                      <w:b/>
                      <w:bCs/>
                      <w:spacing w:val="-5"/>
                      <w:sz w:val="18"/>
                      <w:szCs w:val="18"/>
                    </w:rPr>
                    <w:t>治理措施</w:t>
                  </w:r>
                </w:p>
              </w:tc>
              <w:tc>
                <w:tcPr>
                  <w:tcW w:w="2642" w:type="dxa"/>
                  <w:gridSpan w:val="4"/>
                  <w:vAlign w:val="top"/>
                </w:tcPr>
                <w:p w14:paraId="3826F638">
                  <w:pPr>
                    <w:pStyle w:val="6"/>
                    <w:spacing w:before="174" w:line="220" w:lineRule="auto"/>
                    <w:ind w:left="874"/>
                    <w:rPr>
                      <w:sz w:val="18"/>
                      <w:szCs w:val="18"/>
                    </w:rPr>
                  </w:pPr>
                  <w:r>
                    <w:rPr>
                      <w:b/>
                      <w:bCs/>
                      <w:spacing w:val="-4"/>
                      <w:sz w:val="18"/>
                      <w:szCs w:val="18"/>
                    </w:rPr>
                    <w:t>污染物排放</w:t>
                  </w:r>
                </w:p>
              </w:tc>
              <w:tc>
                <w:tcPr>
                  <w:tcW w:w="488" w:type="dxa"/>
                  <w:vMerge w:val="restart"/>
                  <w:tcBorders>
                    <w:bottom w:val="nil"/>
                    <w:right w:val="nil"/>
                  </w:tcBorders>
                  <w:vAlign w:val="top"/>
                </w:tcPr>
                <w:p w14:paraId="79AE3FBC">
                  <w:pPr>
                    <w:spacing w:line="297" w:lineRule="auto"/>
                    <w:rPr>
                      <w:rFonts w:ascii="Arial"/>
                      <w:sz w:val="21"/>
                    </w:rPr>
                  </w:pPr>
                </w:p>
                <w:p w14:paraId="18F47458">
                  <w:pPr>
                    <w:spacing w:line="298" w:lineRule="auto"/>
                    <w:rPr>
                      <w:rFonts w:ascii="Arial"/>
                      <w:sz w:val="21"/>
                    </w:rPr>
                  </w:pPr>
                </w:p>
                <w:p w14:paraId="27B6E543">
                  <w:pPr>
                    <w:pStyle w:val="6"/>
                    <w:spacing w:before="59" w:line="321" w:lineRule="auto"/>
                    <w:ind w:left="158" w:right="132"/>
                    <w:jc w:val="both"/>
                    <w:rPr>
                      <w:rFonts w:ascii="Calibri" w:hAnsi="Calibri" w:eastAsia="Calibri" w:cs="Calibri"/>
                      <w:sz w:val="18"/>
                      <w:szCs w:val="18"/>
                    </w:rPr>
                  </w:pPr>
                  <w:r>
                    <w:rPr>
                      <w:b/>
                      <w:bCs/>
                      <w:spacing w:val="-9"/>
                      <w:sz w:val="18"/>
                      <w:szCs w:val="18"/>
                    </w:rPr>
                    <w:t>排</w:t>
                  </w:r>
                  <w:r>
                    <w:rPr>
                      <w:sz w:val="18"/>
                      <w:szCs w:val="18"/>
                    </w:rPr>
                    <w:t xml:space="preserve"> </w:t>
                  </w:r>
                  <w:r>
                    <w:rPr>
                      <w:b/>
                      <w:bCs/>
                      <w:spacing w:val="-9"/>
                      <w:sz w:val="18"/>
                      <w:szCs w:val="18"/>
                    </w:rPr>
                    <w:t>放</w:t>
                  </w:r>
                  <w:r>
                    <w:rPr>
                      <w:sz w:val="18"/>
                      <w:szCs w:val="18"/>
                    </w:rPr>
                    <w:t xml:space="preserve"> </w:t>
                  </w:r>
                  <w:r>
                    <w:rPr>
                      <w:b/>
                      <w:bCs/>
                      <w:spacing w:val="-9"/>
                      <w:sz w:val="18"/>
                      <w:szCs w:val="18"/>
                    </w:rPr>
                    <w:t>时</w:t>
                  </w:r>
                  <w:r>
                    <w:rPr>
                      <w:sz w:val="18"/>
                      <w:szCs w:val="18"/>
                    </w:rPr>
                    <w:t xml:space="preserve"> </w:t>
                  </w:r>
                  <w:r>
                    <w:rPr>
                      <w:b/>
                      <w:bCs/>
                      <w:spacing w:val="12"/>
                      <w:sz w:val="18"/>
                      <w:szCs w:val="18"/>
                    </w:rPr>
                    <w:t>间</w:t>
                  </w:r>
                  <w:r>
                    <w:rPr>
                      <w:sz w:val="18"/>
                      <w:szCs w:val="18"/>
                    </w:rPr>
                    <w:t xml:space="preserve"> </w:t>
                  </w:r>
                  <w:r>
                    <w:rPr>
                      <w:rFonts w:ascii="Calibri" w:hAnsi="Calibri" w:eastAsia="Calibri" w:cs="Calibri"/>
                      <w:b/>
                      <w:bCs/>
                      <w:spacing w:val="21"/>
                      <w:w w:val="113"/>
                      <w:sz w:val="18"/>
                      <w:szCs w:val="18"/>
                    </w:rPr>
                    <w:t>h</w:t>
                  </w:r>
                </w:p>
              </w:tc>
            </w:tr>
            <w:tr w14:paraId="0B965A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45" w:hRule="atLeast"/>
              </w:trPr>
              <w:tc>
                <w:tcPr>
                  <w:tcW w:w="354" w:type="dxa"/>
                  <w:vMerge w:val="continue"/>
                  <w:tcBorders>
                    <w:top w:val="nil"/>
                    <w:left w:val="nil"/>
                  </w:tcBorders>
                  <w:vAlign w:val="top"/>
                </w:tcPr>
                <w:p w14:paraId="24A24AA3">
                  <w:pPr>
                    <w:rPr>
                      <w:rFonts w:ascii="Arial"/>
                      <w:sz w:val="21"/>
                    </w:rPr>
                  </w:pPr>
                </w:p>
              </w:tc>
              <w:tc>
                <w:tcPr>
                  <w:tcW w:w="354" w:type="dxa"/>
                  <w:vMerge w:val="continue"/>
                  <w:tcBorders>
                    <w:top w:val="nil"/>
                  </w:tcBorders>
                  <w:textDirection w:val="tbRlV"/>
                  <w:vAlign w:val="top"/>
                </w:tcPr>
                <w:p w14:paraId="0A6C662D">
                  <w:pPr>
                    <w:rPr>
                      <w:rFonts w:ascii="Arial"/>
                      <w:sz w:val="21"/>
                    </w:rPr>
                  </w:pPr>
                </w:p>
              </w:tc>
              <w:tc>
                <w:tcPr>
                  <w:tcW w:w="353" w:type="dxa"/>
                  <w:textDirection w:val="tbRlV"/>
                  <w:vAlign w:val="top"/>
                </w:tcPr>
                <w:p w14:paraId="364F102A">
                  <w:pPr>
                    <w:pStyle w:val="6"/>
                    <w:spacing w:before="61" w:line="207" w:lineRule="auto"/>
                    <w:ind w:left="583"/>
                    <w:rPr>
                      <w:sz w:val="18"/>
                      <w:szCs w:val="18"/>
                    </w:rPr>
                  </w:pPr>
                  <w:r>
                    <w:rPr>
                      <w:b/>
                      <w:bCs/>
                      <w:spacing w:val="-3"/>
                      <w:sz w:val="18"/>
                      <w:szCs w:val="18"/>
                    </w:rPr>
                    <w:t>核</w:t>
                  </w:r>
                  <w:r>
                    <w:rPr>
                      <w:spacing w:val="52"/>
                      <w:sz w:val="18"/>
                      <w:szCs w:val="18"/>
                    </w:rPr>
                    <w:t xml:space="preserve"> </w:t>
                  </w:r>
                  <w:r>
                    <w:rPr>
                      <w:b/>
                      <w:bCs/>
                      <w:spacing w:val="-3"/>
                      <w:sz w:val="18"/>
                      <w:szCs w:val="18"/>
                    </w:rPr>
                    <w:t>算</w:t>
                  </w:r>
                  <w:r>
                    <w:rPr>
                      <w:spacing w:val="49"/>
                      <w:sz w:val="18"/>
                      <w:szCs w:val="18"/>
                    </w:rPr>
                    <w:t xml:space="preserve"> </w:t>
                  </w:r>
                  <w:r>
                    <w:rPr>
                      <w:b/>
                      <w:bCs/>
                      <w:spacing w:val="-3"/>
                      <w:sz w:val="18"/>
                      <w:szCs w:val="18"/>
                    </w:rPr>
                    <w:t>方</w:t>
                  </w:r>
                  <w:r>
                    <w:rPr>
                      <w:spacing w:val="52"/>
                      <w:sz w:val="18"/>
                      <w:szCs w:val="18"/>
                    </w:rPr>
                    <w:t xml:space="preserve"> </w:t>
                  </w:r>
                  <w:r>
                    <w:rPr>
                      <w:b/>
                      <w:bCs/>
                      <w:spacing w:val="-3"/>
                      <w:sz w:val="18"/>
                      <w:szCs w:val="18"/>
                    </w:rPr>
                    <w:t>法</w:t>
                  </w:r>
                </w:p>
              </w:tc>
              <w:tc>
                <w:tcPr>
                  <w:tcW w:w="624" w:type="dxa"/>
                  <w:vAlign w:val="top"/>
                </w:tcPr>
                <w:p w14:paraId="2D1E5F16">
                  <w:pPr>
                    <w:spacing w:line="340" w:lineRule="auto"/>
                    <w:rPr>
                      <w:rFonts w:ascii="Arial"/>
                      <w:sz w:val="21"/>
                    </w:rPr>
                  </w:pPr>
                </w:p>
                <w:p w14:paraId="087F92C4">
                  <w:pPr>
                    <w:spacing w:line="340" w:lineRule="auto"/>
                    <w:rPr>
                      <w:rFonts w:ascii="Arial"/>
                      <w:sz w:val="21"/>
                    </w:rPr>
                  </w:pPr>
                </w:p>
                <w:p w14:paraId="4E9D7BD1">
                  <w:pPr>
                    <w:pStyle w:val="6"/>
                    <w:spacing w:before="59" w:line="335" w:lineRule="auto"/>
                    <w:ind w:left="198" w:right="131" w:hanging="64"/>
                    <w:jc w:val="right"/>
                    <w:rPr>
                      <w:rFonts w:ascii="Calibri" w:hAnsi="Calibri" w:eastAsia="Calibri" w:cs="Calibri"/>
                      <w:sz w:val="18"/>
                      <w:szCs w:val="18"/>
                    </w:rPr>
                  </w:pPr>
                  <w:r>
                    <w:rPr>
                      <w:b/>
                      <w:bCs/>
                      <w:spacing w:val="-6"/>
                      <w:sz w:val="18"/>
                      <w:szCs w:val="18"/>
                    </w:rPr>
                    <w:t>产生</w:t>
                  </w:r>
                  <w:r>
                    <w:rPr>
                      <w:sz w:val="18"/>
                      <w:szCs w:val="18"/>
                    </w:rPr>
                    <w:t xml:space="preserve"> </w:t>
                  </w:r>
                  <w:r>
                    <w:rPr>
                      <w:b/>
                      <w:bCs/>
                      <w:spacing w:val="39"/>
                      <w:sz w:val="18"/>
                      <w:szCs w:val="18"/>
                    </w:rPr>
                    <w:t>量</w:t>
                  </w:r>
                  <w:r>
                    <w:rPr>
                      <w:sz w:val="18"/>
                      <w:szCs w:val="18"/>
                    </w:rPr>
                    <w:t xml:space="preserve"> </w:t>
                  </w:r>
                  <w:r>
                    <w:rPr>
                      <w:rFonts w:ascii="Calibri" w:hAnsi="Calibri" w:eastAsia="Calibri" w:cs="Calibri"/>
                      <w:b/>
                      <w:bCs/>
                      <w:spacing w:val="-2"/>
                      <w:sz w:val="18"/>
                      <w:szCs w:val="18"/>
                    </w:rPr>
                    <w:t>t/a</w:t>
                  </w:r>
                </w:p>
              </w:tc>
              <w:tc>
                <w:tcPr>
                  <w:tcW w:w="624" w:type="dxa"/>
                  <w:vAlign w:val="top"/>
                </w:tcPr>
                <w:p w14:paraId="6B9D3733">
                  <w:pPr>
                    <w:spacing w:line="339" w:lineRule="auto"/>
                    <w:rPr>
                      <w:rFonts w:ascii="Arial"/>
                      <w:sz w:val="21"/>
                    </w:rPr>
                  </w:pPr>
                </w:p>
                <w:p w14:paraId="2FAC8FE0">
                  <w:pPr>
                    <w:spacing w:line="339" w:lineRule="auto"/>
                    <w:rPr>
                      <w:rFonts w:ascii="Arial"/>
                      <w:sz w:val="21"/>
                    </w:rPr>
                  </w:pPr>
                </w:p>
                <w:p w14:paraId="6914F40B">
                  <w:pPr>
                    <w:pStyle w:val="6"/>
                    <w:spacing w:before="58" w:line="334" w:lineRule="auto"/>
                    <w:ind w:left="134" w:right="131"/>
                    <w:jc w:val="both"/>
                    <w:rPr>
                      <w:rFonts w:ascii="Calibri" w:hAnsi="Calibri" w:eastAsia="Calibri" w:cs="Calibri"/>
                      <w:sz w:val="18"/>
                      <w:szCs w:val="18"/>
                    </w:rPr>
                  </w:pPr>
                  <w:r>
                    <w:rPr>
                      <w:b/>
                      <w:bCs/>
                      <w:spacing w:val="-6"/>
                      <w:sz w:val="18"/>
                      <w:szCs w:val="18"/>
                    </w:rPr>
                    <w:t>产生</w:t>
                  </w:r>
                  <w:r>
                    <w:rPr>
                      <w:sz w:val="18"/>
                      <w:szCs w:val="18"/>
                    </w:rPr>
                    <w:t xml:space="preserve"> </w:t>
                  </w:r>
                  <w:r>
                    <w:rPr>
                      <w:b/>
                      <w:bCs/>
                      <w:spacing w:val="-6"/>
                      <w:sz w:val="18"/>
                      <w:szCs w:val="18"/>
                    </w:rPr>
                    <w:t>速率</w:t>
                  </w:r>
                  <w:r>
                    <w:rPr>
                      <w:sz w:val="18"/>
                      <w:szCs w:val="18"/>
                    </w:rPr>
                    <w:t xml:space="preserve"> </w:t>
                  </w:r>
                  <w:r>
                    <w:rPr>
                      <w:rFonts w:ascii="Calibri" w:hAnsi="Calibri" w:eastAsia="Calibri" w:cs="Calibri"/>
                      <w:b/>
                      <w:bCs/>
                      <w:sz w:val="18"/>
                      <w:szCs w:val="18"/>
                    </w:rPr>
                    <w:t>kg/h</w:t>
                  </w:r>
                </w:p>
              </w:tc>
              <w:tc>
                <w:tcPr>
                  <w:tcW w:w="634" w:type="dxa"/>
                  <w:vAlign w:val="top"/>
                </w:tcPr>
                <w:p w14:paraId="68B19DE0">
                  <w:pPr>
                    <w:spacing w:line="261" w:lineRule="auto"/>
                    <w:rPr>
                      <w:rFonts w:ascii="Arial"/>
                      <w:sz w:val="21"/>
                    </w:rPr>
                  </w:pPr>
                </w:p>
                <w:p w14:paraId="1EAA33EA">
                  <w:pPr>
                    <w:spacing w:line="261" w:lineRule="auto"/>
                    <w:rPr>
                      <w:rFonts w:ascii="Arial"/>
                      <w:sz w:val="21"/>
                    </w:rPr>
                  </w:pPr>
                </w:p>
                <w:p w14:paraId="095660E0">
                  <w:pPr>
                    <w:pStyle w:val="6"/>
                    <w:spacing w:before="59" w:line="332" w:lineRule="auto"/>
                    <w:ind w:left="139" w:right="136"/>
                    <w:jc w:val="both"/>
                    <w:rPr>
                      <w:rFonts w:ascii="Calibri" w:hAnsi="Calibri" w:eastAsia="Calibri" w:cs="Calibri"/>
                      <w:sz w:val="18"/>
                      <w:szCs w:val="18"/>
                    </w:rPr>
                  </w:pPr>
                  <w:r>
                    <w:rPr>
                      <w:b/>
                      <w:bCs/>
                      <w:spacing w:val="-6"/>
                      <w:sz w:val="18"/>
                      <w:szCs w:val="18"/>
                    </w:rPr>
                    <w:t>产生</w:t>
                  </w:r>
                  <w:r>
                    <w:rPr>
                      <w:sz w:val="18"/>
                      <w:szCs w:val="18"/>
                    </w:rPr>
                    <w:t xml:space="preserve"> </w:t>
                  </w:r>
                  <w:r>
                    <w:rPr>
                      <w:b/>
                      <w:bCs/>
                      <w:spacing w:val="-6"/>
                      <w:sz w:val="18"/>
                      <w:szCs w:val="18"/>
                    </w:rPr>
                    <w:t>浓度</w:t>
                  </w:r>
                  <w:r>
                    <w:rPr>
                      <w:sz w:val="18"/>
                      <w:szCs w:val="18"/>
                    </w:rPr>
                    <w:t xml:space="preserve"> </w:t>
                  </w:r>
                  <w:r>
                    <w:rPr>
                      <w:rFonts w:ascii="Calibri" w:hAnsi="Calibri" w:eastAsia="Calibri" w:cs="Calibri"/>
                      <w:b/>
                      <w:bCs/>
                      <w:sz w:val="18"/>
                      <w:szCs w:val="18"/>
                    </w:rPr>
                    <w:t>mg</w:t>
                  </w:r>
                  <w:r>
                    <w:rPr>
                      <w:rFonts w:ascii="Calibri" w:hAnsi="Calibri" w:eastAsia="Calibri" w:cs="Calibri"/>
                      <w:b/>
                      <w:bCs/>
                      <w:spacing w:val="20"/>
                      <w:sz w:val="18"/>
                      <w:szCs w:val="18"/>
                    </w:rPr>
                    <w:t>/</w:t>
                  </w:r>
                </w:p>
                <w:p w14:paraId="1D4BF4C7">
                  <w:pPr>
                    <w:spacing w:before="45" w:line="181" w:lineRule="auto"/>
                    <w:ind w:left="206"/>
                    <w:rPr>
                      <w:rFonts w:ascii="Calibri" w:hAnsi="Calibri" w:eastAsia="Calibri" w:cs="Calibri"/>
                      <w:sz w:val="18"/>
                      <w:szCs w:val="18"/>
                    </w:rPr>
                  </w:pPr>
                  <w:r>
                    <w:rPr>
                      <w:rFonts w:ascii="Calibri" w:hAnsi="Calibri" w:eastAsia="Calibri" w:cs="Calibri"/>
                      <w:b/>
                      <w:bCs/>
                      <w:spacing w:val="-6"/>
                      <w:sz w:val="18"/>
                      <w:szCs w:val="18"/>
                    </w:rPr>
                    <w:t>m3</w:t>
                  </w:r>
                </w:p>
              </w:tc>
              <w:tc>
                <w:tcPr>
                  <w:tcW w:w="889" w:type="dxa"/>
                  <w:vAlign w:val="top"/>
                </w:tcPr>
                <w:p w14:paraId="75683653">
                  <w:pPr>
                    <w:spacing w:line="249" w:lineRule="auto"/>
                    <w:rPr>
                      <w:rFonts w:ascii="Arial"/>
                      <w:sz w:val="21"/>
                    </w:rPr>
                  </w:pPr>
                </w:p>
                <w:p w14:paraId="2912B9C9">
                  <w:pPr>
                    <w:spacing w:line="250" w:lineRule="auto"/>
                    <w:rPr>
                      <w:rFonts w:ascii="Arial"/>
                      <w:sz w:val="21"/>
                    </w:rPr>
                  </w:pPr>
                </w:p>
                <w:p w14:paraId="622978AD">
                  <w:pPr>
                    <w:spacing w:line="250" w:lineRule="auto"/>
                    <w:rPr>
                      <w:rFonts w:ascii="Arial"/>
                      <w:sz w:val="21"/>
                    </w:rPr>
                  </w:pPr>
                </w:p>
                <w:p w14:paraId="4B843911">
                  <w:pPr>
                    <w:spacing w:line="250" w:lineRule="auto"/>
                    <w:rPr>
                      <w:rFonts w:ascii="Arial"/>
                      <w:sz w:val="21"/>
                    </w:rPr>
                  </w:pPr>
                </w:p>
                <w:p w14:paraId="3402E984">
                  <w:pPr>
                    <w:pStyle w:val="6"/>
                    <w:spacing w:before="59" w:line="229" w:lineRule="auto"/>
                    <w:ind w:left="271"/>
                    <w:rPr>
                      <w:sz w:val="18"/>
                      <w:szCs w:val="18"/>
                    </w:rPr>
                  </w:pPr>
                  <w:r>
                    <w:rPr>
                      <w:b/>
                      <w:bCs/>
                      <w:spacing w:val="-7"/>
                      <w:sz w:val="18"/>
                      <w:szCs w:val="18"/>
                    </w:rPr>
                    <w:t>工艺</w:t>
                  </w:r>
                </w:p>
              </w:tc>
              <w:tc>
                <w:tcPr>
                  <w:tcW w:w="452" w:type="dxa"/>
                  <w:vAlign w:val="top"/>
                </w:tcPr>
                <w:p w14:paraId="060E31C8">
                  <w:pPr>
                    <w:spacing w:line="360" w:lineRule="auto"/>
                    <w:rPr>
                      <w:rFonts w:ascii="Arial"/>
                      <w:sz w:val="21"/>
                    </w:rPr>
                  </w:pPr>
                </w:p>
                <w:p w14:paraId="182E7A38">
                  <w:pPr>
                    <w:pStyle w:val="6"/>
                    <w:spacing w:before="58" w:line="321" w:lineRule="auto"/>
                    <w:ind w:left="138" w:right="135" w:firstLine="6"/>
                    <w:jc w:val="both"/>
                    <w:rPr>
                      <w:rFonts w:ascii="Calibri" w:hAnsi="Calibri" w:eastAsia="Calibri" w:cs="Calibri"/>
                      <w:sz w:val="18"/>
                      <w:szCs w:val="18"/>
                    </w:rPr>
                  </w:pPr>
                  <w:r>
                    <w:rPr>
                      <w:b/>
                      <w:bCs/>
                      <w:spacing w:val="-16"/>
                      <w:sz w:val="18"/>
                      <w:szCs w:val="18"/>
                    </w:rPr>
                    <w:t>收</w:t>
                  </w:r>
                  <w:r>
                    <w:rPr>
                      <w:sz w:val="18"/>
                      <w:szCs w:val="18"/>
                    </w:rPr>
                    <w:t xml:space="preserve"> </w:t>
                  </w:r>
                  <w:r>
                    <w:rPr>
                      <w:b/>
                      <w:bCs/>
                      <w:spacing w:val="-9"/>
                      <w:sz w:val="18"/>
                      <w:szCs w:val="18"/>
                    </w:rPr>
                    <w:t>集</w:t>
                  </w:r>
                  <w:r>
                    <w:rPr>
                      <w:sz w:val="18"/>
                      <w:szCs w:val="18"/>
                    </w:rPr>
                    <w:t xml:space="preserve"> </w:t>
                  </w:r>
                  <w:r>
                    <w:rPr>
                      <w:b/>
                      <w:bCs/>
                      <w:spacing w:val="-9"/>
                      <w:sz w:val="18"/>
                      <w:szCs w:val="18"/>
                    </w:rPr>
                    <w:t>效</w:t>
                  </w:r>
                  <w:r>
                    <w:rPr>
                      <w:sz w:val="18"/>
                      <w:szCs w:val="18"/>
                    </w:rPr>
                    <w:t xml:space="preserve"> </w:t>
                  </w:r>
                  <w:r>
                    <w:rPr>
                      <w:b/>
                      <w:bCs/>
                      <w:spacing w:val="-9"/>
                      <w:sz w:val="18"/>
                      <w:szCs w:val="18"/>
                    </w:rPr>
                    <w:t>率</w:t>
                  </w:r>
                  <w:r>
                    <w:rPr>
                      <w:sz w:val="18"/>
                      <w:szCs w:val="18"/>
                    </w:rPr>
                    <w:t xml:space="preserve"> </w:t>
                  </w:r>
                  <w:r>
                    <w:rPr>
                      <w:rFonts w:ascii="Calibri" w:hAnsi="Calibri" w:eastAsia="Calibri" w:cs="Calibri"/>
                      <w:b/>
                      <w:bCs/>
                      <w:spacing w:val="19"/>
                      <w:sz w:val="18"/>
                      <w:szCs w:val="18"/>
                    </w:rPr>
                    <w:t>%</w:t>
                  </w:r>
                </w:p>
              </w:tc>
              <w:tc>
                <w:tcPr>
                  <w:tcW w:w="452" w:type="dxa"/>
                  <w:vAlign w:val="top"/>
                </w:tcPr>
                <w:p w14:paraId="429D32D8">
                  <w:pPr>
                    <w:spacing w:line="360" w:lineRule="auto"/>
                    <w:rPr>
                      <w:rFonts w:ascii="Arial"/>
                      <w:sz w:val="21"/>
                    </w:rPr>
                  </w:pPr>
                </w:p>
                <w:p w14:paraId="0917E594">
                  <w:pPr>
                    <w:pStyle w:val="6"/>
                    <w:spacing w:before="58" w:line="321" w:lineRule="auto"/>
                    <w:ind w:left="141" w:right="134" w:firstLine="2"/>
                    <w:jc w:val="both"/>
                    <w:rPr>
                      <w:rFonts w:ascii="Calibri" w:hAnsi="Calibri" w:eastAsia="Calibri" w:cs="Calibri"/>
                      <w:sz w:val="18"/>
                      <w:szCs w:val="18"/>
                    </w:rPr>
                  </w:pPr>
                  <w:r>
                    <w:rPr>
                      <w:b/>
                      <w:bCs/>
                      <w:spacing w:val="-13"/>
                      <w:sz w:val="18"/>
                      <w:szCs w:val="18"/>
                    </w:rPr>
                    <w:t>处</w:t>
                  </w:r>
                  <w:r>
                    <w:rPr>
                      <w:sz w:val="18"/>
                      <w:szCs w:val="18"/>
                    </w:rPr>
                    <w:t xml:space="preserve"> </w:t>
                  </w:r>
                  <w:r>
                    <w:rPr>
                      <w:b/>
                      <w:bCs/>
                      <w:spacing w:val="-11"/>
                      <w:sz w:val="18"/>
                      <w:szCs w:val="18"/>
                    </w:rPr>
                    <w:t>理</w:t>
                  </w:r>
                  <w:r>
                    <w:rPr>
                      <w:sz w:val="18"/>
                      <w:szCs w:val="18"/>
                    </w:rPr>
                    <w:t xml:space="preserve"> </w:t>
                  </w:r>
                  <w:r>
                    <w:rPr>
                      <w:b/>
                      <w:bCs/>
                      <w:spacing w:val="-11"/>
                      <w:sz w:val="18"/>
                      <w:szCs w:val="18"/>
                    </w:rPr>
                    <w:t>效</w:t>
                  </w:r>
                  <w:r>
                    <w:rPr>
                      <w:sz w:val="18"/>
                      <w:szCs w:val="18"/>
                    </w:rPr>
                    <w:t xml:space="preserve"> </w:t>
                  </w:r>
                  <w:r>
                    <w:rPr>
                      <w:b/>
                      <w:bCs/>
                      <w:spacing w:val="-11"/>
                      <w:sz w:val="18"/>
                      <w:szCs w:val="18"/>
                    </w:rPr>
                    <w:t>率</w:t>
                  </w:r>
                  <w:r>
                    <w:rPr>
                      <w:sz w:val="18"/>
                      <w:szCs w:val="18"/>
                    </w:rPr>
                    <w:t xml:space="preserve"> </w:t>
                  </w:r>
                  <w:r>
                    <w:rPr>
                      <w:rFonts w:ascii="Calibri" w:hAnsi="Calibri" w:eastAsia="Calibri" w:cs="Calibri"/>
                      <w:b/>
                      <w:bCs/>
                      <w:spacing w:val="15"/>
                      <w:sz w:val="18"/>
                      <w:szCs w:val="18"/>
                    </w:rPr>
                    <w:t>%</w:t>
                  </w:r>
                </w:p>
              </w:tc>
              <w:tc>
                <w:tcPr>
                  <w:tcW w:w="353" w:type="dxa"/>
                  <w:textDirection w:val="tbRlV"/>
                  <w:vAlign w:val="top"/>
                </w:tcPr>
                <w:p w14:paraId="22EA817F">
                  <w:pPr>
                    <w:pStyle w:val="6"/>
                    <w:spacing w:before="62" w:line="209" w:lineRule="auto"/>
                    <w:ind w:left="583"/>
                    <w:rPr>
                      <w:sz w:val="18"/>
                      <w:szCs w:val="18"/>
                    </w:rPr>
                  </w:pPr>
                  <w:r>
                    <w:rPr>
                      <w:b/>
                      <w:bCs/>
                      <w:spacing w:val="-3"/>
                      <w:sz w:val="18"/>
                      <w:szCs w:val="18"/>
                    </w:rPr>
                    <w:t>排</w:t>
                  </w:r>
                  <w:r>
                    <w:rPr>
                      <w:spacing w:val="52"/>
                      <w:sz w:val="18"/>
                      <w:szCs w:val="18"/>
                    </w:rPr>
                    <w:t xml:space="preserve"> </w:t>
                  </w:r>
                  <w:r>
                    <w:rPr>
                      <w:b/>
                      <w:bCs/>
                      <w:spacing w:val="-3"/>
                      <w:sz w:val="18"/>
                      <w:szCs w:val="18"/>
                    </w:rPr>
                    <w:t>放</w:t>
                  </w:r>
                  <w:r>
                    <w:rPr>
                      <w:spacing w:val="49"/>
                      <w:sz w:val="18"/>
                      <w:szCs w:val="18"/>
                    </w:rPr>
                    <w:t xml:space="preserve"> </w:t>
                  </w:r>
                  <w:r>
                    <w:rPr>
                      <w:b/>
                      <w:bCs/>
                      <w:spacing w:val="-3"/>
                      <w:sz w:val="18"/>
                      <w:szCs w:val="18"/>
                    </w:rPr>
                    <w:t>形</w:t>
                  </w:r>
                  <w:r>
                    <w:rPr>
                      <w:spacing w:val="52"/>
                      <w:sz w:val="18"/>
                      <w:szCs w:val="18"/>
                    </w:rPr>
                    <w:t xml:space="preserve"> </w:t>
                  </w:r>
                  <w:r>
                    <w:rPr>
                      <w:b/>
                      <w:bCs/>
                      <w:spacing w:val="-3"/>
                      <w:sz w:val="18"/>
                      <w:szCs w:val="18"/>
                    </w:rPr>
                    <w:t>式</w:t>
                  </w:r>
                </w:p>
              </w:tc>
              <w:tc>
                <w:tcPr>
                  <w:tcW w:w="488" w:type="dxa"/>
                  <w:vAlign w:val="top"/>
                </w:tcPr>
                <w:p w14:paraId="099E0474">
                  <w:pPr>
                    <w:pStyle w:val="6"/>
                    <w:spacing w:before="105" w:line="321" w:lineRule="auto"/>
                    <w:ind w:left="133" w:right="123" w:firstLine="23"/>
                    <w:jc w:val="both"/>
                    <w:rPr>
                      <w:rFonts w:ascii="Calibri" w:hAnsi="Calibri" w:eastAsia="Calibri" w:cs="Calibri"/>
                      <w:sz w:val="18"/>
                      <w:szCs w:val="18"/>
                    </w:rPr>
                  </w:pPr>
                  <w:r>
                    <w:rPr>
                      <w:b/>
                      <w:bCs/>
                      <w:spacing w:val="-9"/>
                      <w:sz w:val="18"/>
                      <w:szCs w:val="18"/>
                    </w:rPr>
                    <w:t>废</w:t>
                  </w:r>
                  <w:r>
                    <w:rPr>
                      <w:sz w:val="18"/>
                      <w:szCs w:val="18"/>
                    </w:rPr>
                    <w:t xml:space="preserve"> </w:t>
                  </w:r>
                  <w:r>
                    <w:rPr>
                      <w:b/>
                      <w:bCs/>
                      <w:spacing w:val="15"/>
                      <w:sz w:val="18"/>
                      <w:szCs w:val="18"/>
                    </w:rPr>
                    <w:t>气</w:t>
                  </w:r>
                  <w:r>
                    <w:rPr>
                      <w:sz w:val="18"/>
                      <w:szCs w:val="18"/>
                    </w:rPr>
                    <w:t xml:space="preserve"> </w:t>
                  </w:r>
                  <w:r>
                    <w:rPr>
                      <w:b/>
                      <w:bCs/>
                      <w:spacing w:val="15"/>
                      <w:sz w:val="18"/>
                      <w:szCs w:val="18"/>
                    </w:rPr>
                    <w:t>排</w:t>
                  </w:r>
                  <w:r>
                    <w:rPr>
                      <w:sz w:val="18"/>
                      <w:szCs w:val="18"/>
                    </w:rPr>
                    <w:t xml:space="preserve"> </w:t>
                  </w:r>
                  <w:r>
                    <w:rPr>
                      <w:b/>
                      <w:bCs/>
                      <w:spacing w:val="15"/>
                      <w:sz w:val="18"/>
                      <w:szCs w:val="18"/>
                    </w:rPr>
                    <w:t>放</w:t>
                  </w:r>
                  <w:r>
                    <w:rPr>
                      <w:sz w:val="18"/>
                      <w:szCs w:val="18"/>
                    </w:rPr>
                    <w:t xml:space="preserve"> </w:t>
                  </w:r>
                  <w:r>
                    <w:rPr>
                      <w:b/>
                      <w:bCs/>
                      <w:spacing w:val="37"/>
                      <w:sz w:val="18"/>
                      <w:szCs w:val="18"/>
                    </w:rPr>
                    <w:t>量</w:t>
                  </w:r>
                  <w:r>
                    <w:rPr>
                      <w:sz w:val="18"/>
                      <w:szCs w:val="18"/>
                    </w:rPr>
                    <w:t xml:space="preserve"> </w:t>
                  </w:r>
                  <w:r>
                    <w:rPr>
                      <w:rFonts w:ascii="Calibri" w:hAnsi="Calibri" w:eastAsia="Calibri" w:cs="Calibri"/>
                      <w:b/>
                      <w:bCs/>
                      <w:spacing w:val="-6"/>
                      <w:sz w:val="18"/>
                      <w:szCs w:val="18"/>
                    </w:rPr>
                    <w:t>m3</w:t>
                  </w:r>
                </w:p>
                <w:p w14:paraId="3F7EE32A">
                  <w:pPr>
                    <w:spacing w:before="27" w:line="243" w:lineRule="exact"/>
                    <w:ind w:left="153"/>
                    <w:rPr>
                      <w:rFonts w:ascii="Calibri" w:hAnsi="Calibri" w:eastAsia="Calibri" w:cs="Calibri"/>
                      <w:sz w:val="18"/>
                      <w:szCs w:val="18"/>
                    </w:rPr>
                  </w:pPr>
                  <w:r>
                    <w:rPr>
                      <w:rFonts w:ascii="Calibri" w:hAnsi="Calibri" w:eastAsia="Calibri" w:cs="Calibri"/>
                      <w:b/>
                      <w:bCs/>
                      <w:spacing w:val="-1"/>
                      <w:position w:val="2"/>
                      <w:sz w:val="18"/>
                      <w:szCs w:val="18"/>
                    </w:rPr>
                    <w:t>/h</w:t>
                  </w:r>
                </w:p>
              </w:tc>
              <w:tc>
                <w:tcPr>
                  <w:tcW w:w="760" w:type="dxa"/>
                  <w:vAlign w:val="top"/>
                </w:tcPr>
                <w:p w14:paraId="01CBB2D2">
                  <w:pPr>
                    <w:spacing w:line="340" w:lineRule="auto"/>
                    <w:rPr>
                      <w:rFonts w:ascii="Arial"/>
                      <w:sz w:val="21"/>
                    </w:rPr>
                  </w:pPr>
                </w:p>
                <w:p w14:paraId="165629EF">
                  <w:pPr>
                    <w:spacing w:line="340" w:lineRule="auto"/>
                    <w:rPr>
                      <w:rFonts w:ascii="Arial"/>
                      <w:sz w:val="21"/>
                    </w:rPr>
                  </w:pPr>
                </w:p>
                <w:p w14:paraId="5F7BE03A">
                  <w:pPr>
                    <w:pStyle w:val="6"/>
                    <w:spacing w:before="59" w:line="335" w:lineRule="auto"/>
                    <w:ind w:left="266" w:right="199" w:hanging="64"/>
                    <w:jc w:val="both"/>
                    <w:rPr>
                      <w:rFonts w:ascii="Calibri" w:hAnsi="Calibri" w:eastAsia="Calibri" w:cs="Calibri"/>
                      <w:sz w:val="18"/>
                      <w:szCs w:val="18"/>
                    </w:rPr>
                  </w:pPr>
                  <w:r>
                    <w:rPr>
                      <w:b/>
                      <w:bCs/>
                      <w:spacing w:val="-6"/>
                      <w:sz w:val="18"/>
                      <w:szCs w:val="18"/>
                    </w:rPr>
                    <w:t>排放</w:t>
                  </w:r>
                  <w:r>
                    <w:rPr>
                      <w:sz w:val="18"/>
                      <w:szCs w:val="18"/>
                    </w:rPr>
                    <w:t xml:space="preserve"> </w:t>
                  </w:r>
                  <w:r>
                    <w:rPr>
                      <w:b/>
                      <w:bCs/>
                      <w:spacing w:val="17"/>
                      <w:sz w:val="18"/>
                      <w:szCs w:val="18"/>
                    </w:rPr>
                    <w:t>量</w:t>
                  </w:r>
                  <w:r>
                    <w:rPr>
                      <w:sz w:val="18"/>
                      <w:szCs w:val="18"/>
                    </w:rPr>
                    <w:t xml:space="preserve">  </w:t>
                  </w:r>
                  <w:r>
                    <w:rPr>
                      <w:rFonts w:ascii="Calibri" w:hAnsi="Calibri" w:eastAsia="Calibri" w:cs="Calibri"/>
                      <w:b/>
                      <w:bCs/>
                      <w:spacing w:val="-1"/>
                      <w:sz w:val="18"/>
                      <w:szCs w:val="18"/>
                    </w:rPr>
                    <w:t>t/a</w:t>
                  </w:r>
                </w:p>
              </w:tc>
              <w:tc>
                <w:tcPr>
                  <w:tcW w:w="760" w:type="dxa"/>
                  <w:vAlign w:val="top"/>
                </w:tcPr>
                <w:p w14:paraId="16A0CB8C">
                  <w:pPr>
                    <w:spacing w:line="339" w:lineRule="auto"/>
                    <w:rPr>
                      <w:rFonts w:ascii="Arial"/>
                      <w:sz w:val="21"/>
                    </w:rPr>
                  </w:pPr>
                </w:p>
                <w:p w14:paraId="24388BDE">
                  <w:pPr>
                    <w:spacing w:line="339" w:lineRule="auto"/>
                    <w:rPr>
                      <w:rFonts w:ascii="Arial"/>
                      <w:sz w:val="21"/>
                    </w:rPr>
                  </w:pPr>
                </w:p>
                <w:p w14:paraId="2F4D895D">
                  <w:pPr>
                    <w:pStyle w:val="6"/>
                    <w:spacing w:before="58" w:line="334" w:lineRule="auto"/>
                    <w:ind w:left="202" w:right="198"/>
                    <w:jc w:val="both"/>
                    <w:rPr>
                      <w:rFonts w:ascii="Calibri" w:hAnsi="Calibri" w:eastAsia="Calibri" w:cs="Calibri"/>
                      <w:sz w:val="18"/>
                      <w:szCs w:val="18"/>
                    </w:rPr>
                  </w:pPr>
                  <w:r>
                    <w:rPr>
                      <w:b/>
                      <w:bCs/>
                      <w:spacing w:val="-6"/>
                      <w:sz w:val="18"/>
                      <w:szCs w:val="18"/>
                    </w:rPr>
                    <w:t>排放</w:t>
                  </w:r>
                  <w:r>
                    <w:rPr>
                      <w:sz w:val="18"/>
                      <w:szCs w:val="18"/>
                    </w:rPr>
                    <w:t xml:space="preserve"> </w:t>
                  </w:r>
                  <w:r>
                    <w:rPr>
                      <w:b/>
                      <w:bCs/>
                      <w:spacing w:val="-6"/>
                      <w:sz w:val="18"/>
                      <w:szCs w:val="18"/>
                    </w:rPr>
                    <w:t>速率</w:t>
                  </w:r>
                  <w:r>
                    <w:rPr>
                      <w:sz w:val="18"/>
                      <w:szCs w:val="18"/>
                    </w:rPr>
                    <w:t xml:space="preserve"> </w:t>
                  </w:r>
                  <w:r>
                    <w:rPr>
                      <w:rFonts w:ascii="Calibri" w:hAnsi="Calibri" w:eastAsia="Calibri" w:cs="Calibri"/>
                      <w:b/>
                      <w:bCs/>
                      <w:sz w:val="18"/>
                      <w:szCs w:val="18"/>
                    </w:rPr>
                    <w:t>kg/h</w:t>
                  </w:r>
                </w:p>
              </w:tc>
              <w:tc>
                <w:tcPr>
                  <w:tcW w:w="634" w:type="dxa"/>
                  <w:vAlign w:val="top"/>
                </w:tcPr>
                <w:p w14:paraId="55B25F39">
                  <w:pPr>
                    <w:spacing w:line="261" w:lineRule="auto"/>
                    <w:rPr>
                      <w:rFonts w:ascii="Arial"/>
                      <w:sz w:val="21"/>
                    </w:rPr>
                  </w:pPr>
                </w:p>
                <w:p w14:paraId="76199953">
                  <w:pPr>
                    <w:spacing w:line="261" w:lineRule="auto"/>
                    <w:rPr>
                      <w:rFonts w:ascii="Arial"/>
                      <w:sz w:val="21"/>
                    </w:rPr>
                  </w:pPr>
                </w:p>
                <w:p w14:paraId="0C3A06AB">
                  <w:pPr>
                    <w:pStyle w:val="6"/>
                    <w:spacing w:before="59" w:line="332" w:lineRule="auto"/>
                    <w:ind w:left="139" w:right="136"/>
                    <w:jc w:val="both"/>
                    <w:rPr>
                      <w:rFonts w:ascii="Calibri" w:hAnsi="Calibri" w:eastAsia="Calibri" w:cs="Calibri"/>
                      <w:sz w:val="18"/>
                      <w:szCs w:val="18"/>
                    </w:rPr>
                  </w:pPr>
                  <w:r>
                    <w:rPr>
                      <w:b/>
                      <w:bCs/>
                      <w:spacing w:val="-6"/>
                      <w:sz w:val="18"/>
                      <w:szCs w:val="18"/>
                    </w:rPr>
                    <w:t>排放</w:t>
                  </w:r>
                  <w:r>
                    <w:rPr>
                      <w:sz w:val="18"/>
                      <w:szCs w:val="18"/>
                    </w:rPr>
                    <w:t xml:space="preserve"> </w:t>
                  </w:r>
                  <w:r>
                    <w:rPr>
                      <w:b/>
                      <w:bCs/>
                      <w:spacing w:val="-6"/>
                      <w:sz w:val="18"/>
                      <w:szCs w:val="18"/>
                    </w:rPr>
                    <w:t>浓度</w:t>
                  </w:r>
                  <w:r>
                    <w:rPr>
                      <w:sz w:val="18"/>
                      <w:szCs w:val="18"/>
                    </w:rPr>
                    <w:t xml:space="preserve"> </w:t>
                  </w:r>
                  <w:r>
                    <w:rPr>
                      <w:rFonts w:ascii="Calibri" w:hAnsi="Calibri" w:eastAsia="Calibri" w:cs="Calibri"/>
                      <w:b/>
                      <w:bCs/>
                      <w:sz w:val="18"/>
                      <w:szCs w:val="18"/>
                    </w:rPr>
                    <w:t>mg</w:t>
                  </w:r>
                  <w:r>
                    <w:rPr>
                      <w:rFonts w:ascii="Calibri" w:hAnsi="Calibri" w:eastAsia="Calibri" w:cs="Calibri"/>
                      <w:b/>
                      <w:bCs/>
                      <w:spacing w:val="20"/>
                      <w:sz w:val="18"/>
                      <w:szCs w:val="18"/>
                    </w:rPr>
                    <w:t>/</w:t>
                  </w:r>
                </w:p>
                <w:p w14:paraId="745C5372">
                  <w:pPr>
                    <w:spacing w:before="45" w:line="181" w:lineRule="auto"/>
                    <w:ind w:left="206"/>
                    <w:rPr>
                      <w:rFonts w:ascii="Calibri" w:hAnsi="Calibri" w:eastAsia="Calibri" w:cs="Calibri"/>
                      <w:sz w:val="18"/>
                      <w:szCs w:val="18"/>
                    </w:rPr>
                  </w:pPr>
                  <w:r>
                    <w:rPr>
                      <w:rFonts w:ascii="Calibri" w:hAnsi="Calibri" w:eastAsia="Calibri" w:cs="Calibri"/>
                      <w:b/>
                      <w:bCs/>
                      <w:spacing w:val="-6"/>
                      <w:sz w:val="18"/>
                      <w:szCs w:val="18"/>
                    </w:rPr>
                    <w:t>m3</w:t>
                  </w:r>
                </w:p>
              </w:tc>
              <w:tc>
                <w:tcPr>
                  <w:tcW w:w="488" w:type="dxa"/>
                  <w:vMerge w:val="continue"/>
                  <w:tcBorders>
                    <w:top w:val="nil"/>
                    <w:right w:val="nil"/>
                  </w:tcBorders>
                  <w:vAlign w:val="top"/>
                </w:tcPr>
                <w:p w14:paraId="286B4366">
                  <w:pPr>
                    <w:rPr>
                      <w:rFonts w:ascii="Arial"/>
                      <w:sz w:val="21"/>
                    </w:rPr>
                  </w:pPr>
                </w:p>
              </w:tc>
            </w:tr>
            <w:tr w14:paraId="6B2E04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8" w:hRule="atLeast"/>
              </w:trPr>
              <w:tc>
                <w:tcPr>
                  <w:tcW w:w="354" w:type="dxa"/>
                  <w:tcBorders>
                    <w:left w:val="nil"/>
                    <w:bottom w:val="nil"/>
                  </w:tcBorders>
                  <w:textDirection w:val="tbRlV"/>
                  <w:vAlign w:val="top"/>
                </w:tcPr>
                <w:p w14:paraId="637359CE">
                  <w:pPr>
                    <w:pStyle w:val="6"/>
                    <w:spacing w:before="62" w:line="207" w:lineRule="auto"/>
                    <w:ind w:left="102"/>
                    <w:rPr>
                      <w:sz w:val="18"/>
                      <w:szCs w:val="18"/>
                    </w:rPr>
                  </w:pPr>
                  <w:r>
                    <w:rPr>
                      <w:spacing w:val="-1"/>
                      <w:sz w:val="18"/>
                      <w:szCs w:val="18"/>
                    </w:rPr>
                    <w:t>预</w:t>
                  </w:r>
                  <w:r>
                    <w:rPr>
                      <w:spacing w:val="53"/>
                      <w:sz w:val="18"/>
                      <w:szCs w:val="18"/>
                    </w:rPr>
                    <w:t xml:space="preserve"> </w:t>
                  </w:r>
                  <w:r>
                    <w:rPr>
                      <w:spacing w:val="-1"/>
                      <w:sz w:val="18"/>
                      <w:szCs w:val="18"/>
                    </w:rPr>
                    <w:t>处</w:t>
                  </w:r>
                  <w:r>
                    <w:rPr>
                      <w:spacing w:val="49"/>
                      <w:sz w:val="18"/>
                      <w:szCs w:val="18"/>
                    </w:rPr>
                    <w:t xml:space="preserve"> </w:t>
                  </w:r>
                  <w:r>
                    <w:rPr>
                      <w:spacing w:val="-1"/>
                      <w:sz w:val="18"/>
                      <w:szCs w:val="18"/>
                    </w:rPr>
                    <w:t>理</w:t>
                  </w:r>
                </w:p>
              </w:tc>
              <w:tc>
                <w:tcPr>
                  <w:tcW w:w="354" w:type="dxa"/>
                  <w:tcBorders>
                    <w:bottom w:val="nil"/>
                  </w:tcBorders>
                  <w:textDirection w:val="tbRlV"/>
                  <w:vAlign w:val="top"/>
                </w:tcPr>
                <w:p w14:paraId="19637919">
                  <w:pPr>
                    <w:pStyle w:val="6"/>
                    <w:spacing w:before="63" w:line="208" w:lineRule="auto"/>
                    <w:ind w:left="102"/>
                    <w:rPr>
                      <w:sz w:val="18"/>
                      <w:szCs w:val="18"/>
                    </w:rPr>
                  </w:pPr>
                  <w:r>
                    <w:rPr>
                      <w:spacing w:val="-1"/>
                      <w:sz w:val="18"/>
                      <w:szCs w:val="18"/>
                    </w:rPr>
                    <w:t>非</w:t>
                  </w:r>
                  <w:r>
                    <w:rPr>
                      <w:spacing w:val="53"/>
                      <w:sz w:val="18"/>
                      <w:szCs w:val="18"/>
                    </w:rPr>
                    <w:t xml:space="preserve"> </w:t>
                  </w:r>
                  <w:r>
                    <w:rPr>
                      <w:spacing w:val="-1"/>
                      <w:sz w:val="18"/>
                      <w:szCs w:val="18"/>
                    </w:rPr>
                    <w:t>甲</w:t>
                  </w:r>
                  <w:r>
                    <w:rPr>
                      <w:spacing w:val="49"/>
                      <w:sz w:val="18"/>
                      <w:szCs w:val="18"/>
                    </w:rPr>
                    <w:t xml:space="preserve"> </w:t>
                  </w:r>
                  <w:r>
                    <w:rPr>
                      <w:spacing w:val="-1"/>
                      <w:sz w:val="18"/>
                      <w:szCs w:val="18"/>
                    </w:rPr>
                    <w:t>烷</w:t>
                  </w:r>
                </w:p>
              </w:tc>
              <w:tc>
                <w:tcPr>
                  <w:tcW w:w="353" w:type="dxa"/>
                  <w:tcBorders>
                    <w:bottom w:val="nil"/>
                  </w:tcBorders>
                  <w:textDirection w:val="tbRlV"/>
                  <w:vAlign w:val="top"/>
                </w:tcPr>
                <w:p w14:paraId="32E56C3F">
                  <w:pPr>
                    <w:pStyle w:val="6"/>
                    <w:spacing w:before="61" w:line="208" w:lineRule="auto"/>
                    <w:ind w:left="102"/>
                    <w:rPr>
                      <w:sz w:val="18"/>
                      <w:szCs w:val="18"/>
                    </w:rPr>
                  </w:pPr>
                  <w:r>
                    <w:rPr>
                      <w:spacing w:val="-1"/>
                      <w:sz w:val="18"/>
                      <w:szCs w:val="18"/>
                    </w:rPr>
                    <w:t>产</w:t>
                  </w:r>
                  <w:r>
                    <w:rPr>
                      <w:spacing w:val="53"/>
                      <w:sz w:val="18"/>
                      <w:szCs w:val="18"/>
                    </w:rPr>
                    <w:t xml:space="preserve"> </w:t>
                  </w:r>
                  <w:r>
                    <w:rPr>
                      <w:spacing w:val="-1"/>
                      <w:sz w:val="18"/>
                      <w:szCs w:val="18"/>
                    </w:rPr>
                    <w:t>物</w:t>
                  </w:r>
                  <w:r>
                    <w:rPr>
                      <w:spacing w:val="49"/>
                      <w:sz w:val="18"/>
                      <w:szCs w:val="18"/>
                    </w:rPr>
                    <w:t xml:space="preserve"> </w:t>
                  </w:r>
                  <w:r>
                    <w:rPr>
                      <w:spacing w:val="-1"/>
                      <w:sz w:val="18"/>
                      <w:szCs w:val="18"/>
                    </w:rPr>
                    <w:t>系</w:t>
                  </w:r>
                </w:p>
              </w:tc>
              <w:tc>
                <w:tcPr>
                  <w:tcW w:w="624" w:type="dxa"/>
                  <w:tcBorders>
                    <w:bottom w:val="nil"/>
                  </w:tcBorders>
                  <w:vAlign w:val="top"/>
                </w:tcPr>
                <w:p w14:paraId="0A0F33F4">
                  <w:pPr>
                    <w:pStyle w:val="6"/>
                    <w:spacing w:before="291" w:line="333" w:lineRule="auto"/>
                    <w:ind w:left="226" w:right="127" w:hanging="88"/>
                    <w:rPr>
                      <w:sz w:val="18"/>
                      <w:szCs w:val="18"/>
                    </w:rPr>
                  </w:pPr>
                  <w:r>
                    <w:rPr>
                      <w:spacing w:val="-2"/>
                      <w:sz w:val="18"/>
                      <w:szCs w:val="18"/>
                    </w:rPr>
                    <w:t>0.00</w:t>
                  </w:r>
                  <w:r>
                    <w:rPr>
                      <w:sz w:val="18"/>
                      <w:szCs w:val="18"/>
                    </w:rPr>
                    <w:t xml:space="preserve"> </w:t>
                  </w:r>
                  <w:r>
                    <w:rPr>
                      <w:spacing w:val="-4"/>
                      <w:sz w:val="18"/>
                      <w:szCs w:val="18"/>
                    </w:rPr>
                    <w:t>64</w:t>
                  </w:r>
                </w:p>
              </w:tc>
              <w:tc>
                <w:tcPr>
                  <w:tcW w:w="624" w:type="dxa"/>
                  <w:tcBorders>
                    <w:bottom w:val="nil"/>
                  </w:tcBorders>
                  <w:vAlign w:val="top"/>
                </w:tcPr>
                <w:p w14:paraId="07398584">
                  <w:pPr>
                    <w:pStyle w:val="6"/>
                    <w:spacing w:before="291" w:line="333" w:lineRule="auto"/>
                    <w:ind w:left="226" w:right="127" w:hanging="88"/>
                    <w:rPr>
                      <w:sz w:val="18"/>
                      <w:szCs w:val="18"/>
                    </w:rPr>
                  </w:pPr>
                  <w:r>
                    <w:rPr>
                      <w:spacing w:val="-2"/>
                      <w:sz w:val="18"/>
                      <w:szCs w:val="18"/>
                    </w:rPr>
                    <w:t>0.00</w:t>
                  </w:r>
                  <w:r>
                    <w:rPr>
                      <w:sz w:val="18"/>
                      <w:szCs w:val="18"/>
                    </w:rPr>
                    <w:t xml:space="preserve"> </w:t>
                  </w:r>
                  <w:r>
                    <w:rPr>
                      <w:spacing w:val="-4"/>
                      <w:sz w:val="18"/>
                      <w:szCs w:val="18"/>
                    </w:rPr>
                    <w:t>85</w:t>
                  </w:r>
                </w:p>
              </w:tc>
              <w:tc>
                <w:tcPr>
                  <w:tcW w:w="634" w:type="dxa"/>
                  <w:tcBorders>
                    <w:bottom w:val="nil"/>
                  </w:tcBorders>
                  <w:vAlign w:val="top"/>
                </w:tcPr>
                <w:p w14:paraId="3B4E93B4">
                  <w:pPr>
                    <w:spacing w:line="391" w:lineRule="auto"/>
                    <w:rPr>
                      <w:rFonts w:ascii="Arial"/>
                      <w:sz w:val="21"/>
                    </w:rPr>
                  </w:pPr>
                </w:p>
                <w:p w14:paraId="70402CF0">
                  <w:pPr>
                    <w:pStyle w:val="6"/>
                    <w:spacing w:before="59" w:line="183" w:lineRule="auto"/>
                    <w:ind w:left="141"/>
                    <w:rPr>
                      <w:sz w:val="18"/>
                      <w:szCs w:val="18"/>
                    </w:rPr>
                  </w:pPr>
                  <w:r>
                    <w:rPr>
                      <w:spacing w:val="-2"/>
                      <w:sz w:val="18"/>
                      <w:szCs w:val="18"/>
                    </w:rPr>
                    <w:t>4.25</w:t>
                  </w:r>
                </w:p>
              </w:tc>
              <w:tc>
                <w:tcPr>
                  <w:tcW w:w="889" w:type="dxa"/>
                  <w:tcBorders>
                    <w:bottom w:val="nil"/>
                  </w:tcBorders>
                  <w:vAlign w:val="top"/>
                </w:tcPr>
                <w:p w14:paraId="3F42EFFF">
                  <w:pPr>
                    <w:pStyle w:val="6"/>
                    <w:spacing w:before="102" w:line="289" w:lineRule="auto"/>
                    <w:ind w:left="178" w:right="173" w:hanging="2"/>
                    <w:jc w:val="both"/>
                    <w:rPr>
                      <w:sz w:val="18"/>
                      <w:szCs w:val="18"/>
                    </w:rPr>
                  </w:pPr>
                  <w:r>
                    <w:rPr>
                      <w:spacing w:val="-3"/>
                      <w:sz w:val="18"/>
                      <w:szCs w:val="18"/>
                    </w:rPr>
                    <w:t>抽油液</w:t>
                  </w:r>
                  <w:r>
                    <w:rPr>
                      <w:spacing w:val="1"/>
                      <w:sz w:val="18"/>
                      <w:szCs w:val="18"/>
                    </w:rPr>
                    <w:t xml:space="preserve"> </w:t>
                  </w:r>
                  <w:r>
                    <w:rPr>
                      <w:spacing w:val="-4"/>
                      <w:sz w:val="18"/>
                      <w:szCs w:val="18"/>
                    </w:rPr>
                    <w:t>工段与</w:t>
                  </w:r>
                  <w:r>
                    <w:rPr>
                      <w:spacing w:val="1"/>
                      <w:sz w:val="18"/>
                      <w:szCs w:val="18"/>
                    </w:rPr>
                    <w:t xml:space="preserve"> </w:t>
                  </w:r>
                  <w:r>
                    <w:rPr>
                      <w:spacing w:val="-4"/>
                      <w:sz w:val="18"/>
                      <w:szCs w:val="18"/>
                    </w:rPr>
                    <w:t>危险废</w:t>
                  </w:r>
                </w:p>
              </w:tc>
              <w:tc>
                <w:tcPr>
                  <w:tcW w:w="452" w:type="dxa"/>
                  <w:tcBorders>
                    <w:bottom w:val="nil"/>
                  </w:tcBorders>
                  <w:vAlign w:val="top"/>
                </w:tcPr>
                <w:p w14:paraId="0B3A8923">
                  <w:pPr>
                    <w:spacing w:line="391" w:lineRule="auto"/>
                    <w:rPr>
                      <w:rFonts w:ascii="Arial"/>
                      <w:sz w:val="21"/>
                    </w:rPr>
                  </w:pPr>
                </w:p>
                <w:p w14:paraId="3186BE3A">
                  <w:pPr>
                    <w:pStyle w:val="6"/>
                    <w:spacing w:before="59" w:line="183" w:lineRule="auto"/>
                    <w:ind w:left="141"/>
                    <w:rPr>
                      <w:sz w:val="18"/>
                      <w:szCs w:val="18"/>
                    </w:rPr>
                  </w:pPr>
                  <w:r>
                    <w:rPr>
                      <w:spacing w:val="-4"/>
                      <w:sz w:val="18"/>
                      <w:szCs w:val="18"/>
                    </w:rPr>
                    <w:t>85</w:t>
                  </w:r>
                </w:p>
              </w:tc>
              <w:tc>
                <w:tcPr>
                  <w:tcW w:w="452" w:type="dxa"/>
                  <w:tcBorders>
                    <w:bottom w:val="nil"/>
                  </w:tcBorders>
                  <w:vAlign w:val="top"/>
                </w:tcPr>
                <w:p w14:paraId="5863BEF5">
                  <w:pPr>
                    <w:spacing w:line="391" w:lineRule="auto"/>
                    <w:rPr>
                      <w:rFonts w:ascii="Arial"/>
                      <w:sz w:val="21"/>
                    </w:rPr>
                  </w:pPr>
                </w:p>
                <w:p w14:paraId="260D235F">
                  <w:pPr>
                    <w:pStyle w:val="6"/>
                    <w:spacing w:before="59" w:line="183" w:lineRule="auto"/>
                    <w:ind w:left="140"/>
                    <w:rPr>
                      <w:sz w:val="18"/>
                      <w:szCs w:val="18"/>
                    </w:rPr>
                  </w:pPr>
                  <w:r>
                    <w:rPr>
                      <w:spacing w:val="-4"/>
                      <w:sz w:val="18"/>
                      <w:szCs w:val="18"/>
                    </w:rPr>
                    <w:t>80</w:t>
                  </w:r>
                </w:p>
              </w:tc>
              <w:tc>
                <w:tcPr>
                  <w:tcW w:w="353" w:type="dxa"/>
                  <w:tcBorders>
                    <w:bottom w:val="nil"/>
                  </w:tcBorders>
                  <w:textDirection w:val="tbRlV"/>
                  <w:vAlign w:val="top"/>
                </w:tcPr>
                <w:p w14:paraId="38E39380">
                  <w:pPr>
                    <w:pStyle w:val="6"/>
                    <w:spacing w:before="62" w:line="208" w:lineRule="auto"/>
                    <w:ind w:left="102"/>
                    <w:rPr>
                      <w:sz w:val="18"/>
                      <w:szCs w:val="18"/>
                    </w:rPr>
                  </w:pPr>
                  <w:r>
                    <w:rPr>
                      <w:spacing w:val="-1"/>
                      <w:sz w:val="18"/>
                      <w:szCs w:val="18"/>
                    </w:rPr>
                    <w:t>有</w:t>
                  </w:r>
                  <w:r>
                    <w:rPr>
                      <w:spacing w:val="53"/>
                      <w:sz w:val="18"/>
                      <w:szCs w:val="18"/>
                    </w:rPr>
                    <w:t xml:space="preserve"> </w:t>
                  </w:r>
                  <w:r>
                    <w:rPr>
                      <w:spacing w:val="-1"/>
                      <w:sz w:val="18"/>
                      <w:szCs w:val="18"/>
                    </w:rPr>
                    <w:t>组</w:t>
                  </w:r>
                  <w:r>
                    <w:rPr>
                      <w:spacing w:val="49"/>
                      <w:sz w:val="18"/>
                      <w:szCs w:val="18"/>
                    </w:rPr>
                    <w:t xml:space="preserve"> </w:t>
                  </w:r>
                  <w:r>
                    <w:rPr>
                      <w:spacing w:val="-1"/>
                      <w:sz w:val="18"/>
                      <w:szCs w:val="18"/>
                    </w:rPr>
                    <w:t>织</w:t>
                  </w:r>
                </w:p>
              </w:tc>
              <w:tc>
                <w:tcPr>
                  <w:tcW w:w="488" w:type="dxa"/>
                  <w:tcBorders>
                    <w:bottom w:val="nil"/>
                  </w:tcBorders>
                  <w:vAlign w:val="top"/>
                </w:tcPr>
                <w:p w14:paraId="65534C5A">
                  <w:pPr>
                    <w:pStyle w:val="6"/>
                    <w:spacing w:before="291" w:line="183" w:lineRule="auto"/>
                    <w:ind w:left="114"/>
                    <w:rPr>
                      <w:sz w:val="18"/>
                      <w:szCs w:val="18"/>
                    </w:rPr>
                  </w:pPr>
                  <w:r>
                    <w:rPr>
                      <w:spacing w:val="-3"/>
                      <w:sz w:val="18"/>
                      <w:szCs w:val="18"/>
                    </w:rPr>
                    <w:t>200</w:t>
                  </w:r>
                </w:p>
                <w:p w14:paraId="0AFDD526">
                  <w:pPr>
                    <w:pStyle w:val="6"/>
                    <w:spacing w:before="140" w:line="183" w:lineRule="auto"/>
                    <w:ind w:left="205"/>
                    <w:rPr>
                      <w:sz w:val="18"/>
                      <w:szCs w:val="18"/>
                    </w:rPr>
                  </w:pPr>
                  <w:r>
                    <w:rPr>
                      <w:sz w:val="18"/>
                      <w:szCs w:val="18"/>
                    </w:rPr>
                    <w:t>0</w:t>
                  </w:r>
                </w:p>
              </w:tc>
              <w:tc>
                <w:tcPr>
                  <w:tcW w:w="760" w:type="dxa"/>
                  <w:tcBorders>
                    <w:bottom w:val="nil"/>
                  </w:tcBorders>
                  <w:vAlign w:val="top"/>
                </w:tcPr>
                <w:p w14:paraId="7B2E2A27">
                  <w:pPr>
                    <w:spacing w:line="390" w:lineRule="auto"/>
                    <w:rPr>
                      <w:rFonts w:ascii="Arial"/>
                      <w:sz w:val="21"/>
                    </w:rPr>
                  </w:pPr>
                </w:p>
                <w:p w14:paraId="30DA3E01">
                  <w:pPr>
                    <w:pStyle w:val="6"/>
                    <w:spacing w:before="59" w:line="184" w:lineRule="auto"/>
                    <w:ind w:left="115"/>
                    <w:rPr>
                      <w:sz w:val="18"/>
                      <w:szCs w:val="18"/>
                    </w:rPr>
                  </w:pPr>
                  <w:r>
                    <w:rPr>
                      <w:spacing w:val="-2"/>
                      <w:sz w:val="18"/>
                      <w:szCs w:val="18"/>
                    </w:rPr>
                    <w:t>0.0001</w:t>
                  </w:r>
                </w:p>
              </w:tc>
              <w:tc>
                <w:tcPr>
                  <w:tcW w:w="760" w:type="dxa"/>
                  <w:tcBorders>
                    <w:bottom w:val="nil"/>
                  </w:tcBorders>
                  <w:vAlign w:val="top"/>
                </w:tcPr>
                <w:p w14:paraId="4ECDDB0B">
                  <w:pPr>
                    <w:pStyle w:val="6"/>
                    <w:spacing w:before="290" w:line="333" w:lineRule="auto"/>
                    <w:ind w:left="343" w:right="105" w:hanging="227"/>
                    <w:rPr>
                      <w:sz w:val="18"/>
                      <w:szCs w:val="18"/>
                    </w:rPr>
                  </w:pPr>
                  <w:r>
                    <w:rPr>
                      <w:spacing w:val="-2"/>
                      <w:sz w:val="18"/>
                      <w:szCs w:val="18"/>
                    </w:rPr>
                    <w:t>0.0013</w:t>
                  </w:r>
                  <w:r>
                    <w:rPr>
                      <w:spacing w:val="3"/>
                      <w:sz w:val="18"/>
                      <w:szCs w:val="18"/>
                    </w:rPr>
                    <w:t xml:space="preserve"> </w:t>
                  </w:r>
                  <w:r>
                    <w:rPr>
                      <w:sz w:val="18"/>
                      <w:szCs w:val="18"/>
                    </w:rPr>
                    <w:t>3</w:t>
                  </w:r>
                </w:p>
              </w:tc>
              <w:tc>
                <w:tcPr>
                  <w:tcW w:w="634" w:type="dxa"/>
                  <w:tcBorders>
                    <w:bottom w:val="nil"/>
                  </w:tcBorders>
                  <w:vAlign w:val="top"/>
                </w:tcPr>
                <w:p w14:paraId="490B4146">
                  <w:pPr>
                    <w:pStyle w:val="6"/>
                    <w:spacing w:before="291" w:line="333" w:lineRule="auto"/>
                    <w:ind w:left="280" w:right="132" w:hanging="137"/>
                    <w:rPr>
                      <w:sz w:val="18"/>
                      <w:szCs w:val="18"/>
                    </w:rPr>
                  </w:pPr>
                  <w:r>
                    <w:rPr>
                      <w:spacing w:val="-2"/>
                      <w:sz w:val="18"/>
                      <w:szCs w:val="18"/>
                    </w:rPr>
                    <w:t>0.66</w:t>
                  </w:r>
                  <w:r>
                    <w:rPr>
                      <w:sz w:val="18"/>
                      <w:szCs w:val="18"/>
                    </w:rPr>
                    <w:t xml:space="preserve"> 7</w:t>
                  </w:r>
                </w:p>
              </w:tc>
              <w:tc>
                <w:tcPr>
                  <w:tcW w:w="488" w:type="dxa"/>
                  <w:tcBorders>
                    <w:bottom w:val="nil"/>
                    <w:right w:val="nil"/>
                  </w:tcBorders>
                  <w:vAlign w:val="top"/>
                </w:tcPr>
                <w:p w14:paraId="783F4E01">
                  <w:pPr>
                    <w:spacing w:line="392" w:lineRule="auto"/>
                    <w:rPr>
                      <w:rFonts w:ascii="Arial"/>
                      <w:sz w:val="21"/>
                    </w:rPr>
                  </w:pPr>
                </w:p>
                <w:p w14:paraId="1E7719A1">
                  <w:pPr>
                    <w:pStyle w:val="6"/>
                    <w:spacing w:before="59" w:line="182" w:lineRule="auto"/>
                    <w:ind w:left="162"/>
                    <w:rPr>
                      <w:sz w:val="18"/>
                      <w:szCs w:val="18"/>
                    </w:rPr>
                  </w:pPr>
                  <w:r>
                    <w:rPr>
                      <w:spacing w:val="-6"/>
                      <w:sz w:val="18"/>
                      <w:szCs w:val="18"/>
                    </w:rPr>
                    <w:t>75</w:t>
                  </w:r>
                </w:p>
              </w:tc>
            </w:tr>
          </w:tbl>
          <w:p w14:paraId="61DAFBFF">
            <w:pPr>
              <w:spacing w:line="23" w:lineRule="exact"/>
              <w:rPr>
                <w:rFonts w:ascii="Arial"/>
                <w:sz w:val="2"/>
              </w:rPr>
            </w:pPr>
          </w:p>
        </w:tc>
      </w:tr>
    </w:tbl>
    <w:p w14:paraId="45FB9C45">
      <w:pPr>
        <w:pStyle w:val="2"/>
      </w:pPr>
    </w:p>
    <w:p w14:paraId="79967143">
      <w:pPr>
        <w:sectPr>
          <w:footerReference r:id="rId69" w:type="default"/>
          <w:pgSz w:w="11906" w:h="16839"/>
          <w:pgMar w:top="1270" w:right="1489" w:bottom="1263" w:left="1488" w:header="0" w:footer="1097" w:gutter="0"/>
          <w:cols w:space="720" w:num="1"/>
        </w:sectPr>
      </w:pPr>
    </w:p>
    <w:tbl>
      <w:tblPr>
        <w:tblStyle w:val="5"/>
        <w:tblW w:w="890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461"/>
        <w:gridCol w:w="100"/>
        <w:gridCol w:w="253"/>
        <w:gridCol w:w="352"/>
        <w:gridCol w:w="622"/>
        <w:gridCol w:w="327"/>
        <w:gridCol w:w="295"/>
        <w:gridCol w:w="552"/>
        <w:gridCol w:w="80"/>
        <w:gridCol w:w="769"/>
        <w:gridCol w:w="118"/>
        <w:gridCol w:w="451"/>
        <w:gridCol w:w="451"/>
        <w:gridCol w:w="352"/>
        <w:gridCol w:w="487"/>
        <w:gridCol w:w="260"/>
        <w:gridCol w:w="497"/>
        <w:gridCol w:w="209"/>
        <w:gridCol w:w="548"/>
        <w:gridCol w:w="301"/>
        <w:gridCol w:w="331"/>
        <w:gridCol w:w="609"/>
      </w:tblGrid>
      <w:tr w14:paraId="67DBBF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11" w:hRule="atLeast"/>
        </w:trPr>
        <w:tc>
          <w:tcPr>
            <w:tcW w:w="477" w:type="dxa"/>
            <w:vMerge w:val="restart"/>
            <w:tcBorders>
              <w:top w:val="single" w:color="000000" w:sz="10" w:space="0"/>
              <w:left w:val="single" w:color="000000" w:sz="10" w:space="0"/>
              <w:bottom w:val="nil"/>
            </w:tcBorders>
            <w:vAlign w:val="top"/>
          </w:tcPr>
          <w:p w14:paraId="460596DC">
            <w:pPr>
              <w:rPr>
                <w:rFonts w:ascii="Arial"/>
                <w:sz w:val="21"/>
              </w:rPr>
            </w:pPr>
          </w:p>
        </w:tc>
        <w:tc>
          <w:tcPr>
            <w:tcW w:w="461" w:type="dxa"/>
            <w:vMerge w:val="restart"/>
            <w:tcBorders>
              <w:top w:val="single" w:color="000000" w:sz="10" w:space="0"/>
              <w:bottom w:val="nil"/>
            </w:tcBorders>
            <w:textDirection w:val="tbRlV"/>
            <w:vAlign w:val="top"/>
          </w:tcPr>
          <w:p w14:paraId="07B28185">
            <w:pPr>
              <w:pStyle w:val="6"/>
              <w:spacing w:before="72" w:line="210" w:lineRule="auto"/>
              <w:ind w:left="96"/>
              <w:rPr>
                <w:sz w:val="18"/>
                <w:szCs w:val="18"/>
              </w:rPr>
            </w:pPr>
            <w:r>
              <w:rPr>
                <w:spacing w:val="-1"/>
                <w:sz w:val="18"/>
                <w:szCs w:val="18"/>
              </w:rPr>
              <w:t>工</w:t>
            </w:r>
            <w:r>
              <w:rPr>
                <w:spacing w:val="50"/>
                <w:sz w:val="18"/>
                <w:szCs w:val="18"/>
              </w:rPr>
              <w:t xml:space="preserve"> </w:t>
            </w:r>
            <w:r>
              <w:rPr>
                <w:spacing w:val="-1"/>
                <w:sz w:val="18"/>
                <w:szCs w:val="18"/>
              </w:rPr>
              <w:t>序</w:t>
            </w:r>
          </w:p>
        </w:tc>
        <w:tc>
          <w:tcPr>
            <w:tcW w:w="353" w:type="dxa"/>
            <w:gridSpan w:val="2"/>
            <w:tcBorders>
              <w:top w:val="single" w:color="000000" w:sz="10" w:space="0"/>
            </w:tcBorders>
            <w:textDirection w:val="tbRlV"/>
            <w:vAlign w:val="top"/>
          </w:tcPr>
          <w:p w14:paraId="23F65670">
            <w:pPr>
              <w:pStyle w:val="6"/>
              <w:spacing w:before="72" w:line="208" w:lineRule="auto"/>
              <w:ind w:left="96"/>
              <w:rPr>
                <w:sz w:val="18"/>
                <w:szCs w:val="18"/>
              </w:rPr>
            </w:pPr>
            <w:r>
              <w:rPr>
                <w:spacing w:val="-1"/>
                <w:sz w:val="18"/>
                <w:szCs w:val="18"/>
              </w:rPr>
              <w:t>总</w:t>
            </w:r>
            <w:r>
              <w:rPr>
                <w:spacing w:val="50"/>
                <w:sz w:val="18"/>
                <w:szCs w:val="18"/>
              </w:rPr>
              <w:t xml:space="preserve"> </w:t>
            </w:r>
            <w:r>
              <w:rPr>
                <w:spacing w:val="-1"/>
                <w:sz w:val="18"/>
                <w:szCs w:val="18"/>
              </w:rPr>
              <w:t>烃</w:t>
            </w:r>
          </w:p>
        </w:tc>
        <w:tc>
          <w:tcPr>
            <w:tcW w:w="352" w:type="dxa"/>
            <w:tcBorders>
              <w:top w:val="single" w:color="000000" w:sz="10" w:space="0"/>
            </w:tcBorders>
            <w:textDirection w:val="tbRlV"/>
            <w:vAlign w:val="top"/>
          </w:tcPr>
          <w:p w14:paraId="4C7B4FB0">
            <w:pPr>
              <w:pStyle w:val="6"/>
              <w:spacing w:before="69" w:line="207" w:lineRule="auto"/>
              <w:ind w:left="96"/>
              <w:rPr>
                <w:sz w:val="18"/>
                <w:szCs w:val="18"/>
              </w:rPr>
            </w:pPr>
            <w:r>
              <w:rPr>
                <w:spacing w:val="-1"/>
                <w:sz w:val="18"/>
                <w:szCs w:val="18"/>
              </w:rPr>
              <w:t>数</w:t>
            </w:r>
            <w:r>
              <w:rPr>
                <w:spacing w:val="50"/>
                <w:sz w:val="18"/>
                <w:szCs w:val="18"/>
              </w:rPr>
              <w:t xml:space="preserve"> </w:t>
            </w:r>
            <w:r>
              <w:rPr>
                <w:spacing w:val="-1"/>
                <w:sz w:val="18"/>
                <w:szCs w:val="18"/>
              </w:rPr>
              <w:t>法</w:t>
            </w:r>
          </w:p>
        </w:tc>
        <w:tc>
          <w:tcPr>
            <w:tcW w:w="622" w:type="dxa"/>
            <w:tcBorders>
              <w:top w:val="single" w:color="000000" w:sz="10" w:space="0"/>
            </w:tcBorders>
            <w:vAlign w:val="top"/>
          </w:tcPr>
          <w:p w14:paraId="59CD7026">
            <w:pPr>
              <w:rPr>
                <w:rFonts w:ascii="Arial"/>
                <w:sz w:val="21"/>
              </w:rPr>
            </w:pPr>
          </w:p>
        </w:tc>
        <w:tc>
          <w:tcPr>
            <w:tcW w:w="622" w:type="dxa"/>
            <w:gridSpan w:val="2"/>
            <w:tcBorders>
              <w:top w:val="single" w:color="000000" w:sz="10" w:space="0"/>
            </w:tcBorders>
            <w:vAlign w:val="top"/>
          </w:tcPr>
          <w:p w14:paraId="6381BC1A">
            <w:pPr>
              <w:rPr>
                <w:rFonts w:ascii="Arial"/>
                <w:sz w:val="21"/>
              </w:rPr>
            </w:pPr>
          </w:p>
        </w:tc>
        <w:tc>
          <w:tcPr>
            <w:tcW w:w="632" w:type="dxa"/>
            <w:gridSpan w:val="2"/>
            <w:tcBorders>
              <w:top w:val="single" w:color="000000" w:sz="10" w:space="0"/>
            </w:tcBorders>
            <w:vAlign w:val="top"/>
          </w:tcPr>
          <w:p w14:paraId="7336CB39">
            <w:pPr>
              <w:rPr>
                <w:rFonts w:ascii="Arial"/>
                <w:sz w:val="21"/>
              </w:rPr>
            </w:pPr>
          </w:p>
        </w:tc>
        <w:tc>
          <w:tcPr>
            <w:tcW w:w="887" w:type="dxa"/>
            <w:gridSpan w:val="2"/>
            <w:tcBorders>
              <w:top w:val="single" w:color="000000" w:sz="10" w:space="0"/>
            </w:tcBorders>
            <w:vAlign w:val="top"/>
          </w:tcPr>
          <w:p w14:paraId="47FB7521">
            <w:pPr>
              <w:pStyle w:val="6"/>
              <w:spacing w:before="97" w:line="219" w:lineRule="auto"/>
              <w:ind w:left="175"/>
              <w:rPr>
                <w:sz w:val="18"/>
                <w:szCs w:val="18"/>
              </w:rPr>
            </w:pPr>
            <w:r>
              <w:rPr>
                <w:spacing w:val="-3"/>
                <w:sz w:val="18"/>
                <w:szCs w:val="18"/>
              </w:rPr>
              <w:t>物贮存</w:t>
            </w:r>
          </w:p>
          <w:p w14:paraId="6811C2DD">
            <w:pPr>
              <w:pStyle w:val="6"/>
              <w:spacing w:before="105" w:line="219" w:lineRule="auto"/>
              <w:ind w:left="111"/>
              <w:rPr>
                <w:rFonts w:ascii="Times New Roman" w:hAnsi="Times New Roman" w:eastAsia="Times New Roman" w:cs="Times New Roman"/>
                <w:sz w:val="18"/>
                <w:szCs w:val="18"/>
              </w:rPr>
            </w:pPr>
            <w:r>
              <w:rPr>
                <w:spacing w:val="-2"/>
                <w:sz w:val="18"/>
                <w:szCs w:val="18"/>
              </w:rPr>
              <w:t>库共用</w:t>
            </w:r>
            <w:r>
              <w:rPr>
                <w:spacing w:val="-26"/>
                <w:sz w:val="18"/>
                <w:szCs w:val="18"/>
              </w:rPr>
              <w:t xml:space="preserve"> </w:t>
            </w:r>
            <w:r>
              <w:rPr>
                <w:rFonts w:ascii="Times New Roman" w:hAnsi="Times New Roman" w:eastAsia="Times New Roman" w:cs="Times New Roman"/>
                <w:spacing w:val="-2"/>
                <w:sz w:val="18"/>
                <w:szCs w:val="18"/>
              </w:rPr>
              <w:t>1</w:t>
            </w:r>
          </w:p>
          <w:p w14:paraId="1712A011">
            <w:pPr>
              <w:pStyle w:val="6"/>
              <w:spacing w:before="107" w:line="220" w:lineRule="auto"/>
              <w:ind w:left="176"/>
              <w:rPr>
                <w:sz w:val="18"/>
                <w:szCs w:val="18"/>
              </w:rPr>
            </w:pPr>
            <w:r>
              <w:rPr>
                <w:spacing w:val="-3"/>
                <w:sz w:val="18"/>
                <w:szCs w:val="18"/>
              </w:rPr>
              <w:t>套设置</w:t>
            </w:r>
          </w:p>
          <w:p w14:paraId="783D8912">
            <w:pPr>
              <w:pStyle w:val="6"/>
              <w:spacing w:before="104" w:line="219" w:lineRule="auto"/>
              <w:ind w:left="175"/>
              <w:rPr>
                <w:sz w:val="18"/>
                <w:szCs w:val="18"/>
              </w:rPr>
            </w:pPr>
            <w:r>
              <w:rPr>
                <w:spacing w:val="-3"/>
                <w:sz w:val="18"/>
                <w:szCs w:val="18"/>
              </w:rPr>
              <w:t>集气装</w:t>
            </w:r>
          </w:p>
          <w:p w14:paraId="7B219F05">
            <w:pPr>
              <w:pStyle w:val="6"/>
              <w:spacing w:before="106" w:line="219" w:lineRule="auto"/>
              <w:ind w:left="109"/>
              <w:rPr>
                <w:sz w:val="18"/>
                <w:szCs w:val="18"/>
              </w:rPr>
            </w:pPr>
            <w:r>
              <w:rPr>
                <w:spacing w:val="-14"/>
                <w:sz w:val="18"/>
                <w:szCs w:val="18"/>
              </w:rPr>
              <w:t>置，收集</w:t>
            </w:r>
          </w:p>
          <w:p w14:paraId="60831EBA">
            <w:pPr>
              <w:pStyle w:val="6"/>
              <w:spacing w:before="108" w:line="220" w:lineRule="auto"/>
              <w:ind w:left="190"/>
              <w:rPr>
                <w:sz w:val="18"/>
                <w:szCs w:val="18"/>
              </w:rPr>
            </w:pPr>
            <w:r>
              <w:rPr>
                <w:spacing w:val="-8"/>
                <w:sz w:val="18"/>
                <w:szCs w:val="18"/>
              </w:rPr>
              <w:t>的废气</w:t>
            </w:r>
          </w:p>
          <w:p w14:paraId="5F288D80">
            <w:pPr>
              <w:pStyle w:val="6"/>
              <w:spacing w:before="104" w:line="220" w:lineRule="auto"/>
              <w:ind w:left="177"/>
              <w:rPr>
                <w:sz w:val="18"/>
                <w:szCs w:val="18"/>
              </w:rPr>
            </w:pPr>
            <w:r>
              <w:rPr>
                <w:spacing w:val="-10"/>
                <w:sz w:val="18"/>
                <w:szCs w:val="18"/>
              </w:rPr>
              <w:t>经</w:t>
            </w:r>
            <w:r>
              <w:rPr>
                <w:spacing w:val="-24"/>
                <w:sz w:val="18"/>
                <w:szCs w:val="18"/>
              </w:rPr>
              <w:t xml:space="preserve"> </w:t>
            </w:r>
            <w:r>
              <w:rPr>
                <w:rFonts w:ascii="Times New Roman" w:hAnsi="Times New Roman" w:eastAsia="Times New Roman" w:cs="Times New Roman"/>
                <w:spacing w:val="-10"/>
                <w:sz w:val="18"/>
                <w:szCs w:val="18"/>
              </w:rPr>
              <w:t>1</w:t>
            </w:r>
            <w:r>
              <w:rPr>
                <w:rFonts w:ascii="Times New Roman" w:hAnsi="Times New Roman" w:eastAsia="Times New Roman" w:cs="Times New Roman"/>
                <w:spacing w:val="7"/>
                <w:sz w:val="18"/>
                <w:szCs w:val="18"/>
              </w:rPr>
              <w:t xml:space="preserve"> </w:t>
            </w:r>
            <w:r>
              <w:rPr>
                <w:spacing w:val="-10"/>
                <w:sz w:val="18"/>
                <w:szCs w:val="18"/>
              </w:rPr>
              <w:t>套</w:t>
            </w:r>
          </w:p>
          <w:p w14:paraId="23A9F579">
            <w:pPr>
              <w:pStyle w:val="6"/>
              <w:spacing w:before="105" w:line="220" w:lineRule="auto"/>
              <w:ind w:left="178"/>
              <w:rPr>
                <w:sz w:val="18"/>
                <w:szCs w:val="18"/>
              </w:rPr>
            </w:pPr>
            <w:r>
              <w:rPr>
                <w:spacing w:val="-4"/>
                <w:sz w:val="18"/>
                <w:szCs w:val="18"/>
              </w:rPr>
              <w:t>活性碳</w:t>
            </w:r>
          </w:p>
          <w:p w14:paraId="2F2D903E">
            <w:pPr>
              <w:pStyle w:val="6"/>
              <w:spacing w:before="107" w:line="219" w:lineRule="auto"/>
              <w:ind w:left="182"/>
              <w:rPr>
                <w:sz w:val="18"/>
                <w:szCs w:val="18"/>
              </w:rPr>
            </w:pPr>
            <w:r>
              <w:rPr>
                <w:spacing w:val="-5"/>
                <w:sz w:val="18"/>
                <w:szCs w:val="18"/>
              </w:rPr>
              <w:t>吸附装</w:t>
            </w:r>
          </w:p>
          <w:p w14:paraId="48F3C343">
            <w:pPr>
              <w:pStyle w:val="6"/>
              <w:spacing w:before="106" w:line="224" w:lineRule="auto"/>
              <w:ind w:left="174"/>
              <w:rPr>
                <w:sz w:val="18"/>
                <w:szCs w:val="18"/>
              </w:rPr>
            </w:pPr>
            <w:r>
              <w:rPr>
                <w:spacing w:val="-2"/>
                <w:sz w:val="18"/>
                <w:szCs w:val="18"/>
              </w:rPr>
              <w:t>置处理</w:t>
            </w:r>
          </w:p>
          <w:p w14:paraId="708525FF">
            <w:pPr>
              <w:pStyle w:val="6"/>
              <w:spacing w:before="101" w:line="220" w:lineRule="auto"/>
              <w:ind w:left="268"/>
              <w:rPr>
                <w:sz w:val="18"/>
                <w:szCs w:val="18"/>
              </w:rPr>
            </w:pPr>
            <w:r>
              <w:rPr>
                <w:spacing w:val="-5"/>
                <w:sz w:val="18"/>
                <w:szCs w:val="18"/>
              </w:rPr>
              <w:t>后由</w:t>
            </w:r>
          </w:p>
          <w:p w14:paraId="6EF6A1F2">
            <w:pPr>
              <w:pStyle w:val="6"/>
              <w:spacing w:before="107" w:line="219" w:lineRule="auto"/>
              <w:ind w:left="187"/>
              <w:rPr>
                <w:sz w:val="18"/>
                <w:szCs w:val="18"/>
              </w:rPr>
            </w:pPr>
            <w:r>
              <w:rPr>
                <w:rFonts w:ascii="Times New Roman" w:hAnsi="Times New Roman" w:eastAsia="Times New Roman" w:cs="Times New Roman"/>
                <w:spacing w:val="-6"/>
                <w:sz w:val="18"/>
                <w:szCs w:val="18"/>
              </w:rPr>
              <w:t>15m</w:t>
            </w:r>
            <w:r>
              <w:rPr>
                <w:rFonts w:ascii="Times New Roman" w:hAnsi="Times New Roman" w:eastAsia="Times New Roman" w:cs="Times New Roman"/>
                <w:spacing w:val="16"/>
                <w:sz w:val="18"/>
                <w:szCs w:val="18"/>
              </w:rPr>
              <w:t xml:space="preserve"> </w:t>
            </w:r>
            <w:r>
              <w:rPr>
                <w:spacing w:val="-6"/>
                <w:sz w:val="18"/>
                <w:szCs w:val="18"/>
              </w:rPr>
              <w:t>高</w:t>
            </w:r>
          </w:p>
          <w:p w14:paraId="30CE1AAE">
            <w:pPr>
              <w:pStyle w:val="6"/>
              <w:spacing w:before="106" w:line="219" w:lineRule="auto"/>
              <w:ind w:left="175"/>
              <w:rPr>
                <w:sz w:val="18"/>
                <w:szCs w:val="18"/>
              </w:rPr>
            </w:pPr>
            <w:r>
              <w:rPr>
                <w:spacing w:val="-3"/>
                <w:sz w:val="18"/>
                <w:szCs w:val="18"/>
              </w:rPr>
              <w:t>排气筒</w:t>
            </w:r>
          </w:p>
          <w:p w14:paraId="7587139F">
            <w:pPr>
              <w:pStyle w:val="6"/>
              <w:spacing w:before="105" w:line="221" w:lineRule="auto"/>
              <w:ind w:left="266"/>
              <w:rPr>
                <w:sz w:val="18"/>
                <w:szCs w:val="18"/>
              </w:rPr>
            </w:pPr>
            <w:r>
              <w:rPr>
                <w:spacing w:val="-4"/>
                <w:sz w:val="18"/>
                <w:szCs w:val="18"/>
              </w:rPr>
              <w:t>排放</w:t>
            </w:r>
          </w:p>
          <w:p w14:paraId="7BFAC1CE">
            <w:pPr>
              <w:pStyle w:val="6"/>
              <w:spacing w:before="107" w:line="268" w:lineRule="auto"/>
              <w:ind w:left="309" w:right="133" w:hanging="162"/>
              <w:rPr>
                <w:sz w:val="18"/>
                <w:szCs w:val="18"/>
              </w:rPr>
            </w:pPr>
            <w:r>
              <w:rPr>
                <w:spacing w:val="-4"/>
                <w:sz w:val="18"/>
                <w:szCs w:val="18"/>
              </w:rPr>
              <w:t>（</w:t>
            </w:r>
            <w:r>
              <w:rPr>
                <w:rFonts w:ascii="Times New Roman" w:hAnsi="Times New Roman" w:eastAsia="Times New Roman" w:cs="Times New Roman"/>
                <w:spacing w:val="-4"/>
                <w:sz w:val="18"/>
                <w:szCs w:val="18"/>
              </w:rPr>
              <w:t>DA00</w:t>
            </w:r>
            <w:r>
              <w:rPr>
                <w:rFonts w:ascii="Times New Roman" w:hAnsi="Times New Roman" w:eastAsia="Times New Roman" w:cs="Times New Roman"/>
                <w:sz w:val="18"/>
                <w:szCs w:val="18"/>
              </w:rPr>
              <w:t xml:space="preserve"> </w:t>
            </w:r>
            <w:r>
              <w:rPr>
                <w:rFonts w:ascii="Times New Roman" w:hAnsi="Times New Roman" w:eastAsia="Times New Roman" w:cs="Times New Roman"/>
                <w:spacing w:val="-2"/>
                <w:sz w:val="18"/>
                <w:szCs w:val="18"/>
              </w:rPr>
              <w:t>2</w:t>
            </w:r>
            <w:r>
              <w:rPr>
                <w:spacing w:val="-2"/>
                <w:sz w:val="18"/>
                <w:szCs w:val="18"/>
              </w:rPr>
              <w:t>）</w:t>
            </w:r>
          </w:p>
        </w:tc>
        <w:tc>
          <w:tcPr>
            <w:tcW w:w="451" w:type="dxa"/>
            <w:tcBorders>
              <w:top w:val="single" w:color="000000" w:sz="10" w:space="0"/>
            </w:tcBorders>
            <w:vAlign w:val="top"/>
          </w:tcPr>
          <w:p w14:paraId="36ABD313">
            <w:pPr>
              <w:rPr>
                <w:rFonts w:ascii="Arial"/>
                <w:sz w:val="21"/>
              </w:rPr>
            </w:pPr>
          </w:p>
        </w:tc>
        <w:tc>
          <w:tcPr>
            <w:tcW w:w="451" w:type="dxa"/>
            <w:tcBorders>
              <w:top w:val="single" w:color="000000" w:sz="10" w:space="0"/>
            </w:tcBorders>
            <w:vAlign w:val="top"/>
          </w:tcPr>
          <w:p w14:paraId="023F19E6">
            <w:pPr>
              <w:rPr>
                <w:rFonts w:ascii="Arial"/>
                <w:sz w:val="21"/>
              </w:rPr>
            </w:pPr>
          </w:p>
        </w:tc>
        <w:tc>
          <w:tcPr>
            <w:tcW w:w="352" w:type="dxa"/>
            <w:tcBorders>
              <w:top w:val="single" w:color="000000" w:sz="10" w:space="0"/>
            </w:tcBorders>
            <w:textDirection w:val="tbRlV"/>
            <w:vAlign w:val="top"/>
          </w:tcPr>
          <w:p w14:paraId="4BB095C1">
            <w:pPr>
              <w:pStyle w:val="6"/>
              <w:spacing w:before="59" w:line="207" w:lineRule="auto"/>
              <w:ind w:left="2177"/>
              <w:rPr>
                <w:sz w:val="18"/>
                <w:szCs w:val="18"/>
              </w:rPr>
            </w:pPr>
            <w:r>
              <w:rPr>
                <w:spacing w:val="-1"/>
                <w:sz w:val="18"/>
                <w:szCs w:val="18"/>
              </w:rPr>
              <w:t>无</w:t>
            </w:r>
            <w:r>
              <w:rPr>
                <w:spacing w:val="51"/>
                <w:sz w:val="18"/>
                <w:szCs w:val="18"/>
              </w:rPr>
              <w:t xml:space="preserve"> </w:t>
            </w:r>
            <w:r>
              <w:rPr>
                <w:spacing w:val="-1"/>
                <w:sz w:val="18"/>
                <w:szCs w:val="18"/>
              </w:rPr>
              <w:t>组</w:t>
            </w:r>
            <w:r>
              <w:rPr>
                <w:spacing w:val="49"/>
                <w:sz w:val="18"/>
                <w:szCs w:val="18"/>
              </w:rPr>
              <w:t xml:space="preserve"> </w:t>
            </w:r>
            <w:r>
              <w:rPr>
                <w:spacing w:val="-1"/>
                <w:sz w:val="18"/>
                <w:szCs w:val="18"/>
              </w:rPr>
              <w:t>织</w:t>
            </w:r>
          </w:p>
        </w:tc>
        <w:tc>
          <w:tcPr>
            <w:tcW w:w="487" w:type="dxa"/>
            <w:tcBorders>
              <w:top w:val="single" w:color="000000" w:sz="10" w:space="0"/>
            </w:tcBorders>
            <w:vAlign w:val="top"/>
          </w:tcPr>
          <w:p w14:paraId="39B83AF1">
            <w:pPr>
              <w:spacing w:line="250" w:lineRule="auto"/>
              <w:rPr>
                <w:rFonts w:ascii="Arial"/>
                <w:sz w:val="21"/>
              </w:rPr>
            </w:pPr>
          </w:p>
          <w:p w14:paraId="0B366CAE">
            <w:pPr>
              <w:spacing w:line="250" w:lineRule="auto"/>
              <w:rPr>
                <w:rFonts w:ascii="Arial"/>
                <w:sz w:val="21"/>
              </w:rPr>
            </w:pPr>
          </w:p>
          <w:p w14:paraId="6405516B">
            <w:pPr>
              <w:spacing w:line="250" w:lineRule="auto"/>
              <w:rPr>
                <w:rFonts w:ascii="Arial"/>
                <w:sz w:val="21"/>
              </w:rPr>
            </w:pPr>
          </w:p>
          <w:p w14:paraId="6A46880A">
            <w:pPr>
              <w:spacing w:line="251" w:lineRule="auto"/>
              <w:rPr>
                <w:rFonts w:ascii="Arial"/>
                <w:sz w:val="21"/>
              </w:rPr>
            </w:pPr>
          </w:p>
          <w:p w14:paraId="755A3072">
            <w:pPr>
              <w:spacing w:line="251" w:lineRule="auto"/>
              <w:rPr>
                <w:rFonts w:ascii="Arial"/>
                <w:sz w:val="21"/>
              </w:rPr>
            </w:pPr>
          </w:p>
          <w:p w14:paraId="3E69CB36">
            <w:pPr>
              <w:spacing w:line="251" w:lineRule="auto"/>
              <w:rPr>
                <w:rFonts w:ascii="Arial"/>
                <w:sz w:val="21"/>
              </w:rPr>
            </w:pPr>
          </w:p>
          <w:p w14:paraId="384670D3">
            <w:pPr>
              <w:spacing w:line="251" w:lineRule="auto"/>
              <w:rPr>
                <w:rFonts w:ascii="Arial"/>
                <w:sz w:val="21"/>
              </w:rPr>
            </w:pPr>
          </w:p>
          <w:p w14:paraId="3FEE7194">
            <w:pPr>
              <w:spacing w:line="251" w:lineRule="auto"/>
              <w:rPr>
                <w:rFonts w:ascii="Arial"/>
                <w:sz w:val="21"/>
              </w:rPr>
            </w:pPr>
          </w:p>
          <w:p w14:paraId="14557A82">
            <w:pPr>
              <w:spacing w:line="251" w:lineRule="auto"/>
              <w:rPr>
                <w:rFonts w:ascii="Arial"/>
                <w:sz w:val="21"/>
              </w:rPr>
            </w:pPr>
          </w:p>
          <w:p w14:paraId="4A1FC5AD">
            <w:pPr>
              <w:spacing w:line="251" w:lineRule="auto"/>
              <w:rPr>
                <w:rFonts w:ascii="Arial"/>
                <w:sz w:val="21"/>
              </w:rPr>
            </w:pPr>
          </w:p>
          <w:p w14:paraId="72401C2F">
            <w:pPr>
              <w:pStyle w:val="6"/>
              <w:spacing w:before="59" w:line="122" w:lineRule="exact"/>
              <w:ind w:left="159"/>
              <w:rPr>
                <w:sz w:val="18"/>
                <w:szCs w:val="18"/>
              </w:rPr>
            </w:pPr>
            <w:r>
              <w:rPr>
                <w:position w:val="-3"/>
                <w:sz w:val="18"/>
                <w:szCs w:val="18"/>
              </w:rPr>
              <w:t>—</w:t>
            </w:r>
          </w:p>
        </w:tc>
        <w:tc>
          <w:tcPr>
            <w:tcW w:w="757" w:type="dxa"/>
            <w:gridSpan w:val="2"/>
            <w:tcBorders>
              <w:top w:val="single" w:color="000000" w:sz="10" w:space="0"/>
            </w:tcBorders>
            <w:vAlign w:val="top"/>
          </w:tcPr>
          <w:p w14:paraId="08ED23E7">
            <w:pPr>
              <w:spacing w:line="254" w:lineRule="auto"/>
              <w:rPr>
                <w:rFonts w:ascii="Arial"/>
                <w:sz w:val="21"/>
              </w:rPr>
            </w:pPr>
          </w:p>
          <w:p w14:paraId="1F3F8752">
            <w:pPr>
              <w:spacing w:line="254" w:lineRule="auto"/>
              <w:rPr>
                <w:rFonts w:ascii="Arial"/>
                <w:sz w:val="21"/>
              </w:rPr>
            </w:pPr>
          </w:p>
          <w:p w14:paraId="3969838F">
            <w:pPr>
              <w:spacing w:line="254" w:lineRule="auto"/>
              <w:rPr>
                <w:rFonts w:ascii="Arial"/>
                <w:sz w:val="21"/>
              </w:rPr>
            </w:pPr>
          </w:p>
          <w:p w14:paraId="413F6385">
            <w:pPr>
              <w:spacing w:line="255" w:lineRule="auto"/>
              <w:rPr>
                <w:rFonts w:ascii="Arial"/>
                <w:sz w:val="21"/>
              </w:rPr>
            </w:pPr>
          </w:p>
          <w:p w14:paraId="475DB6BB">
            <w:pPr>
              <w:spacing w:line="255" w:lineRule="auto"/>
              <w:rPr>
                <w:rFonts w:ascii="Arial"/>
                <w:sz w:val="21"/>
              </w:rPr>
            </w:pPr>
          </w:p>
          <w:p w14:paraId="71DEB781">
            <w:pPr>
              <w:spacing w:line="255" w:lineRule="auto"/>
              <w:rPr>
                <w:rFonts w:ascii="Arial"/>
                <w:sz w:val="21"/>
              </w:rPr>
            </w:pPr>
          </w:p>
          <w:p w14:paraId="27C04DB2">
            <w:pPr>
              <w:spacing w:line="255" w:lineRule="auto"/>
              <w:rPr>
                <w:rFonts w:ascii="Arial"/>
                <w:sz w:val="21"/>
              </w:rPr>
            </w:pPr>
          </w:p>
          <w:p w14:paraId="6017576D">
            <w:pPr>
              <w:spacing w:line="255" w:lineRule="auto"/>
              <w:rPr>
                <w:rFonts w:ascii="Arial"/>
                <w:sz w:val="21"/>
              </w:rPr>
            </w:pPr>
          </w:p>
          <w:p w14:paraId="495602DB">
            <w:pPr>
              <w:spacing w:line="255" w:lineRule="auto"/>
              <w:rPr>
                <w:rFonts w:ascii="Arial"/>
                <w:sz w:val="21"/>
              </w:rPr>
            </w:pPr>
          </w:p>
          <w:p w14:paraId="44EA1551">
            <w:pPr>
              <w:pStyle w:val="6"/>
              <w:spacing w:before="58" w:line="335" w:lineRule="auto"/>
              <w:ind w:left="344" w:right="99" w:hanging="225"/>
              <w:rPr>
                <w:sz w:val="18"/>
                <w:szCs w:val="18"/>
              </w:rPr>
            </w:pPr>
            <w:r>
              <w:rPr>
                <w:spacing w:val="-2"/>
                <w:sz w:val="18"/>
                <w:szCs w:val="18"/>
              </w:rPr>
              <w:t>0.0009</w:t>
            </w:r>
            <w:r>
              <w:rPr>
                <w:spacing w:val="3"/>
                <w:sz w:val="18"/>
                <w:szCs w:val="18"/>
              </w:rPr>
              <w:t xml:space="preserve"> </w:t>
            </w:r>
            <w:r>
              <w:rPr>
                <w:sz w:val="18"/>
                <w:szCs w:val="18"/>
              </w:rPr>
              <w:t>6</w:t>
            </w:r>
          </w:p>
        </w:tc>
        <w:tc>
          <w:tcPr>
            <w:tcW w:w="757" w:type="dxa"/>
            <w:gridSpan w:val="2"/>
            <w:tcBorders>
              <w:top w:val="single" w:color="000000" w:sz="10" w:space="0"/>
            </w:tcBorders>
            <w:vAlign w:val="top"/>
          </w:tcPr>
          <w:p w14:paraId="04C97DF2">
            <w:pPr>
              <w:spacing w:line="250" w:lineRule="auto"/>
              <w:rPr>
                <w:rFonts w:ascii="Arial"/>
                <w:sz w:val="21"/>
              </w:rPr>
            </w:pPr>
          </w:p>
          <w:p w14:paraId="27CE39A3">
            <w:pPr>
              <w:spacing w:line="250" w:lineRule="auto"/>
              <w:rPr>
                <w:rFonts w:ascii="Arial"/>
                <w:sz w:val="21"/>
              </w:rPr>
            </w:pPr>
          </w:p>
          <w:p w14:paraId="149E62CB">
            <w:pPr>
              <w:spacing w:line="250" w:lineRule="auto"/>
              <w:rPr>
                <w:rFonts w:ascii="Arial"/>
                <w:sz w:val="21"/>
              </w:rPr>
            </w:pPr>
          </w:p>
          <w:p w14:paraId="3B2643A5">
            <w:pPr>
              <w:spacing w:line="251" w:lineRule="auto"/>
              <w:rPr>
                <w:rFonts w:ascii="Arial"/>
                <w:sz w:val="21"/>
              </w:rPr>
            </w:pPr>
          </w:p>
          <w:p w14:paraId="5A9E754B">
            <w:pPr>
              <w:spacing w:line="251" w:lineRule="auto"/>
              <w:rPr>
                <w:rFonts w:ascii="Arial"/>
                <w:sz w:val="21"/>
              </w:rPr>
            </w:pPr>
          </w:p>
          <w:p w14:paraId="56A9752B">
            <w:pPr>
              <w:spacing w:line="251" w:lineRule="auto"/>
              <w:rPr>
                <w:rFonts w:ascii="Arial"/>
                <w:sz w:val="21"/>
              </w:rPr>
            </w:pPr>
          </w:p>
          <w:p w14:paraId="4D6F8352">
            <w:pPr>
              <w:spacing w:line="251" w:lineRule="auto"/>
              <w:rPr>
                <w:rFonts w:ascii="Arial"/>
                <w:sz w:val="21"/>
              </w:rPr>
            </w:pPr>
          </w:p>
          <w:p w14:paraId="3E243433">
            <w:pPr>
              <w:spacing w:line="251" w:lineRule="auto"/>
              <w:rPr>
                <w:rFonts w:ascii="Arial"/>
                <w:sz w:val="21"/>
              </w:rPr>
            </w:pPr>
          </w:p>
          <w:p w14:paraId="3E448EF9">
            <w:pPr>
              <w:spacing w:line="251" w:lineRule="auto"/>
              <w:rPr>
                <w:rFonts w:ascii="Arial"/>
                <w:sz w:val="21"/>
              </w:rPr>
            </w:pPr>
          </w:p>
          <w:p w14:paraId="5F3B0F36">
            <w:pPr>
              <w:spacing w:line="251" w:lineRule="auto"/>
              <w:rPr>
                <w:rFonts w:ascii="Arial"/>
                <w:sz w:val="21"/>
              </w:rPr>
            </w:pPr>
          </w:p>
          <w:p w14:paraId="364394EC">
            <w:pPr>
              <w:pStyle w:val="6"/>
              <w:spacing w:before="59" w:line="122" w:lineRule="exact"/>
              <w:ind w:left="345"/>
              <w:rPr>
                <w:sz w:val="18"/>
                <w:szCs w:val="18"/>
              </w:rPr>
            </w:pPr>
            <w:r>
              <w:rPr>
                <w:position w:val="-3"/>
                <w:sz w:val="18"/>
                <w:szCs w:val="18"/>
              </w:rPr>
              <w:t>-</w:t>
            </w:r>
          </w:p>
        </w:tc>
        <w:tc>
          <w:tcPr>
            <w:tcW w:w="632" w:type="dxa"/>
            <w:gridSpan w:val="2"/>
            <w:tcBorders>
              <w:top w:val="single" w:color="000000" w:sz="10" w:space="0"/>
            </w:tcBorders>
            <w:vAlign w:val="top"/>
          </w:tcPr>
          <w:p w14:paraId="013600EF">
            <w:pPr>
              <w:spacing w:line="250" w:lineRule="auto"/>
              <w:rPr>
                <w:rFonts w:ascii="Arial"/>
                <w:sz w:val="21"/>
              </w:rPr>
            </w:pPr>
          </w:p>
          <w:p w14:paraId="50797923">
            <w:pPr>
              <w:spacing w:line="250" w:lineRule="auto"/>
              <w:rPr>
                <w:rFonts w:ascii="Arial"/>
                <w:sz w:val="21"/>
              </w:rPr>
            </w:pPr>
          </w:p>
          <w:p w14:paraId="14AEE19F">
            <w:pPr>
              <w:spacing w:line="250" w:lineRule="auto"/>
              <w:rPr>
                <w:rFonts w:ascii="Arial"/>
                <w:sz w:val="21"/>
              </w:rPr>
            </w:pPr>
          </w:p>
          <w:p w14:paraId="6F74A498">
            <w:pPr>
              <w:spacing w:line="251" w:lineRule="auto"/>
              <w:rPr>
                <w:rFonts w:ascii="Arial"/>
                <w:sz w:val="21"/>
              </w:rPr>
            </w:pPr>
          </w:p>
          <w:p w14:paraId="2243934A">
            <w:pPr>
              <w:spacing w:line="251" w:lineRule="auto"/>
              <w:rPr>
                <w:rFonts w:ascii="Arial"/>
                <w:sz w:val="21"/>
              </w:rPr>
            </w:pPr>
          </w:p>
          <w:p w14:paraId="57B7DEB9">
            <w:pPr>
              <w:spacing w:line="251" w:lineRule="auto"/>
              <w:rPr>
                <w:rFonts w:ascii="Arial"/>
                <w:sz w:val="21"/>
              </w:rPr>
            </w:pPr>
          </w:p>
          <w:p w14:paraId="2D683852">
            <w:pPr>
              <w:spacing w:line="251" w:lineRule="auto"/>
              <w:rPr>
                <w:rFonts w:ascii="Arial"/>
                <w:sz w:val="21"/>
              </w:rPr>
            </w:pPr>
          </w:p>
          <w:p w14:paraId="2C894AB7">
            <w:pPr>
              <w:spacing w:line="251" w:lineRule="auto"/>
              <w:rPr>
                <w:rFonts w:ascii="Arial"/>
                <w:sz w:val="21"/>
              </w:rPr>
            </w:pPr>
          </w:p>
          <w:p w14:paraId="3A229615">
            <w:pPr>
              <w:spacing w:line="251" w:lineRule="auto"/>
              <w:rPr>
                <w:rFonts w:ascii="Arial"/>
                <w:sz w:val="21"/>
              </w:rPr>
            </w:pPr>
          </w:p>
          <w:p w14:paraId="1DA24235">
            <w:pPr>
              <w:spacing w:line="251" w:lineRule="auto"/>
              <w:rPr>
                <w:rFonts w:ascii="Arial"/>
                <w:sz w:val="21"/>
              </w:rPr>
            </w:pPr>
          </w:p>
          <w:p w14:paraId="292E5361">
            <w:pPr>
              <w:pStyle w:val="6"/>
              <w:spacing w:before="59" w:line="122" w:lineRule="exact"/>
              <w:ind w:left="239"/>
              <w:rPr>
                <w:sz w:val="18"/>
                <w:szCs w:val="18"/>
              </w:rPr>
            </w:pPr>
            <w:r>
              <w:rPr>
                <w:position w:val="-3"/>
                <w:sz w:val="18"/>
                <w:szCs w:val="18"/>
              </w:rPr>
              <w:t>—</w:t>
            </w:r>
          </w:p>
        </w:tc>
        <w:tc>
          <w:tcPr>
            <w:tcW w:w="609" w:type="dxa"/>
            <w:tcBorders>
              <w:top w:val="single" w:color="000000" w:sz="10" w:space="0"/>
              <w:right w:val="single" w:color="000000" w:sz="10" w:space="0"/>
            </w:tcBorders>
            <w:vAlign w:val="top"/>
          </w:tcPr>
          <w:p w14:paraId="421DFE77">
            <w:pPr>
              <w:rPr>
                <w:rFonts w:ascii="Arial"/>
                <w:sz w:val="21"/>
              </w:rPr>
            </w:pPr>
          </w:p>
        </w:tc>
      </w:tr>
      <w:tr w14:paraId="7D1446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3" w:hRule="atLeast"/>
        </w:trPr>
        <w:tc>
          <w:tcPr>
            <w:tcW w:w="477" w:type="dxa"/>
            <w:vMerge w:val="continue"/>
            <w:tcBorders>
              <w:top w:val="nil"/>
              <w:left w:val="single" w:color="000000" w:sz="10" w:space="0"/>
              <w:bottom w:val="nil"/>
            </w:tcBorders>
            <w:vAlign w:val="top"/>
          </w:tcPr>
          <w:p w14:paraId="1AF0B5B0">
            <w:pPr>
              <w:rPr>
                <w:rFonts w:ascii="Arial"/>
                <w:sz w:val="21"/>
              </w:rPr>
            </w:pPr>
          </w:p>
        </w:tc>
        <w:tc>
          <w:tcPr>
            <w:tcW w:w="461" w:type="dxa"/>
            <w:vMerge w:val="continue"/>
            <w:tcBorders>
              <w:top w:val="nil"/>
              <w:bottom w:val="nil"/>
            </w:tcBorders>
            <w:textDirection w:val="tbRlV"/>
            <w:vAlign w:val="top"/>
          </w:tcPr>
          <w:p w14:paraId="7AEB0037">
            <w:pPr>
              <w:rPr>
                <w:rFonts w:ascii="Arial"/>
                <w:sz w:val="21"/>
              </w:rPr>
            </w:pPr>
          </w:p>
        </w:tc>
        <w:tc>
          <w:tcPr>
            <w:tcW w:w="353" w:type="dxa"/>
            <w:gridSpan w:val="2"/>
            <w:vMerge w:val="restart"/>
            <w:tcBorders>
              <w:bottom w:val="nil"/>
            </w:tcBorders>
            <w:textDirection w:val="tbRlV"/>
            <w:vAlign w:val="top"/>
          </w:tcPr>
          <w:p w14:paraId="6D5BEB8D">
            <w:pPr>
              <w:pStyle w:val="6"/>
              <w:spacing w:before="73" w:line="209" w:lineRule="auto"/>
              <w:ind w:left="1871"/>
              <w:rPr>
                <w:sz w:val="18"/>
                <w:szCs w:val="18"/>
              </w:rPr>
            </w:pPr>
            <w:r>
              <w:rPr>
                <w:spacing w:val="-1"/>
                <w:sz w:val="18"/>
                <w:szCs w:val="18"/>
              </w:rPr>
              <w:t>颗</w:t>
            </w:r>
            <w:r>
              <w:rPr>
                <w:spacing w:val="51"/>
                <w:sz w:val="18"/>
                <w:szCs w:val="18"/>
              </w:rPr>
              <w:t xml:space="preserve"> </w:t>
            </w:r>
            <w:r>
              <w:rPr>
                <w:spacing w:val="-1"/>
                <w:sz w:val="18"/>
                <w:szCs w:val="18"/>
              </w:rPr>
              <w:t>粒</w:t>
            </w:r>
            <w:r>
              <w:rPr>
                <w:spacing w:val="51"/>
                <w:sz w:val="18"/>
                <w:szCs w:val="18"/>
              </w:rPr>
              <w:t xml:space="preserve"> </w:t>
            </w:r>
            <w:r>
              <w:rPr>
                <w:spacing w:val="-1"/>
                <w:sz w:val="18"/>
                <w:szCs w:val="18"/>
              </w:rPr>
              <w:t>物</w:t>
            </w:r>
          </w:p>
        </w:tc>
        <w:tc>
          <w:tcPr>
            <w:tcW w:w="352" w:type="dxa"/>
            <w:vMerge w:val="restart"/>
            <w:tcBorders>
              <w:bottom w:val="nil"/>
            </w:tcBorders>
            <w:textDirection w:val="tbRlV"/>
            <w:vAlign w:val="top"/>
          </w:tcPr>
          <w:p w14:paraId="5AA1C7EC">
            <w:pPr>
              <w:pStyle w:val="6"/>
              <w:spacing w:before="69" w:line="208" w:lineRule="auto"/>
              <w:ind w:left="1871"/>
              <w:rPr>
                <w:sz w:val="18"/>
                <w:szCs w:val="18"/>
              </w:rPr>
            </w:pPr>
            <w:r>
              <w:rPr>
                <w:spacing w:val="-1"/>
                <w:sz w:val="18"/>
                <w:szCs w:val="18"/>
              </w:rPr>
              <w:t>类</w:t>
            </w:r>
            <w:r>
              <w:rPr>
                <w:spacing w:val="51"/>
                <w:sz w:val="18"/>
                <w:szCs w:val="18"/>
              </w:rPr>
              <w:t xml:space="preserve"> </w:t>
            </w:r>
            <w:r>
              <w:rPr>
                <w:spacing w:val="-1"/>
                <w:sz w:val="18"/>
                <w:szCs w:val="18"/>
              </w:rPr>
              <w:t>比</w:t>
            </w:r>
            <w:r>
              <w:rPr>
                <w:spacing w:val="51"/>
                <w:sz w:val="18"/>
                <w:szCs w:val="18"/>
              </w:rPr>
              <w:t xml:space="preserve"> </w:t>
            </w:r>
            <w:r>
              <w:rPr>
                <w:spacing w:val="-1"/>
                <w:sz w:val="18"/>
                <w:szCs w:val="18"/>
              </w:rPr>
              <w:t>法</w:t>
            </w:r>
          </w:p>
        </w:tc>
        <w:tc>
          <w:tcPr>
            <w:tcW w:w="622" w:type="dxa"/>
            <w:vMerge w:val="restart"/>
            <w:tcBorders>
              <w:bottom w:val="nil"/>
            </w:tcBorders>
            <w:vAlign w:val="top"/>
          </w:tcPr>
          <w:p w14:paraId="735884AD">
            <w:pPr>
              <w:spacing w:line="248" w:lineRule="auto"/>
              <w:rPr>
                <w:rFonts w:ascii="Arial"/>
                <w:sz w:val="21"/>
              </w:rPr>
            </w:pPr>
          </w:p>
          <w:p w14:paraId="1B100E5C">
            <w:pPr>
              <w:spacing w:line="248" w:lineRule="auto"/>
              <w:rPr>
                <w:rFonts w:ascii="Arial"/>
                <w:sz w:val="21"/>
              </w:rPr>
            </w:pPr>
          </w:p>
          <w:p w14:paraId="42A070D4">
            <w:pPr>
              <w:spacing w:line="248" w:lineRule="auto"/>
              <w:rPr>
                <w:rFonts w:ascii="Arial"/>
                <w:sz w:val="21"/>
              </w:rPr>
            </w:pPr>
          </w:p>
          <w:p w14:paraId="3BD3682B">
            <w:pPr>
              <w:spacing w:line="248" w:lineRule="auto"/>
              <w:rPr>
                <w:rFonts w:ascii="Arial"/>
                <w:sz w:val="21"/>
              </w:rPr>
            </w:pPr>
          </w:p>
          <w:p w14:paraId="06B5D5F3">
            <w:pPr>
              <w:spacing w:line="249" w:lineRule="auto"/>
              <w:rPr>
                <w:rFonts w:ascii="Arial"/>
                <w:sz w:val="21"/>
              </w:rPr>
            </w:pPr>
          </w:p>
          <w:p w14:paraId="605BDE26">
            <w:pPr>
              <w:spacing w:line="249" w:lineRule="auto"/>
              <w:rPr>
                <w:rFonts w:ascii="Arial"/>
                <w:sz w:val="21"/>
              </w:rPr>
            </w:pPr>
          </w:p>
          <w:p w14:paraId="131B6398">
            <w:pPr>
              <w:spacing w:line="249" w:lineRule="auto"/>
              <w:rPr>
                <w:rFonts w:ascii="Arial"/>
                <w:sz w:val="21"/>
              </w:rPr>
            </w:pPr>
          </w:p>
          <w:p w14:paraId="6364BCED">
            <w:pPr>
              <w:spacing w:line="249" w:lineRule="auto"/>
              <w:rPr>
                <w:rFonts w:ascii="Arial"/>
                <w:sz w:val="21"/>
              </w:rPr>
            </w:pPr>
          </w:p>
          <w:p w14:paraId="6F283695">
            <w:pPr>
              <w:pStyle w:val="6"/>
              <w:spacing w:before="58" w:line="333" w:lineRule="auto"/>
              <w:ind w:left="220" w:right="133" w:hanging="90"/>
              <w:rPr>
                <w:sz w:val="18"/>
                <w:szCs w:val="18"/>
              </w:rPr>
            </w:pPr>
            <w:r>
              <w:rPr>
                <w:spacing w:val="-2"/>
                <w:sz w:val="18"/>
                <w:szCs w:val="18"/>
              </w:rPr>
              <w:t>0.01</w:t>
            </w:r>
            <w:r>
              <w:rPr>
                <w:sz w:val="18"/>
                <w:szCs w:val="18"/>
              </w:rPr>
              <w:t xml:space="preserve"> </w:t>
            </w:r>
            <w:r>
              <w:rPr>
                <w:spacing w:val="-5"/>
                <w:sz w:val="18"/>
                <w:szCs w:val="18"/>
              </w:rPr>
              <w:t>57</w:t>
            </w:r>
          </w:p>
        </w:tc>
        <w:tc>
          <w:tcPr>
            <w:tcW w:w="622" w:type="dxa"/>
            <w:gridSpan w:val="2"/>
            <w:vMerge w:val="restart"/>
            <w:tcBorders>
              <w:bottom w:val="nil"/>
            </w:tcBorders>
            <w:vAlign w:val="top"/>
          </w:tcPr>
          <w:p w14:paraId="431C7779">
            <w:pPr>
              <w:spacing w:line="248" w:lineRule="auto"/>
              <w:rPr>
                <w:rFonts w:ascii="Arial"/>
                <w:sz w:val="21"/>
              </w:rPr>
            </w:pPr>
          </w:p>
          <w:p w14:paraId="5A03E086">
            <w:pPr>
              <w:spacing w:line="248" w:lineRule="auto"/>
              <w:rPr>
                <w:rFonts w:ascii="Arial"/>
                <w:sz w:val="21"/>
              </w:rPr>
            </w:pPr>
          </w:p>
          <w:p w14:paraId="46BD9210">
            <w:pPr>
              <w:spacing w:line="248" w:lineRule="auto"/>
              <w:rPr>
                <w:rFonts w:ascii="Arial"/>
                <w:sz w:val="21"/>
              </w:rPr>
            </w:pPr>
          </w:p>
          <w:p w14:paraId="36EA6BF4">
            <w:pPr>
              <w:spacing w:line="248" w:lineRule="auto"/>
              <w:rPr>
                <w:rFonts w:ascii="Arial"/>
                <w:sz w:val="21"/>
              </w:rPr>
            </w:pPr>
          </w:p>
          <w:p w14:paraId="0851B623">
            <w:pPr>
              <w:spacing w:line="249" w:lineRule="auto"/>
              <w:rPr>
                <w:rFonts w:ascii="Arial"/>
                <w:sz w:val="21"/>
              </w:rPr>
            </w:pPr>
          </w:p>
          <w:p w14:paraId="432F5EB8">
            <w:pPr>
              <w:spacing w:line="249" w:lineRule="auto"/>
              <w:rPr>
                <w:rFonts w:ascii="Arial"/>
                <w:sz w:val="21"/>
              </w:rPr>
            </w:pPr>
          </w:p>
          <w:p w14:paraId="4D21B03D">
            <w:pPr>
              <w:spacing w:line="249" w:lineRule="auto"/>
              <w:rPr>
                <w:rFonts w:ascii="Arial"/>
                <w:sz w:val="21"/>
              </w:rPr>
            </w:pPr>
          </w:p>
          <w:p w14:paraId="0EBB6CB6">
            <w:pPr>
              <w:spacing w:line="249" w:lineRule="auto"/>
              <w:rPr>
                <w:rFonts w:ascii="Arial"/>
                <w:sz w:val="21"/>
              </w:rPr>
            </w:pPr>
          </w:p>
          <w:p w14:paraId="72EC40D2">
            <w:pPr>
              <w:pStyle w:val="6"/>
              <w:spacing w:before="58" w:line="333" w:lineRule="auto"/>
              <w:ind w:left="222" w:right="131" w:hanging="90"/>
              <w:rPr>
                <w:sz w:val="18"/>
                <w:szCs w:val="18"/>
              </w:rPr>
            </w:pPr>
            <w:r>
              <w:rPr>
                <w:spacing w:val="-2"/>
                <w:sz w:val="18"/>
                <w:szCs w:val="18"/>
              </w:rPr>
              <w:t>0.01</w:t>
            </w:r>
            <w:r>
              <w:rPr>
                <w:sz w:val="18"/>
                <w:szCs w:val="18"/>
              </w:rPr>
              <w:t xml:space="preserve"> </w:t>
            </w:r>
            <w:r>
              <w:rPr>
                <w:spacing w:val="-5"/>
                <w:sz w:val="18"/>
                <w:szCs w:val="18"/>
              </w:rPr>
              <w:t>31</w:t>
            </w:r>
          </w:p>
        </w:tc>
        <w:tc>
          <w:tcPr>
            <w:tcW w:w="632" w:type="dxa"/>
            <w:gridSpan w:val="2"/>
            <w:vMerge w:val="restart"/>
            <w:tcBorders>
              <w:bottom w:val="nil"/>
            </w:tcBorders>
            <w:vAlign w:val="top"/>
          </w:tcPr>
          <w:p w14:paraId="4D2DBA06">
            <w:pPr>
              <w:spacing w:line="268" w:lineRule="auto"/>
              <w:rPr>
                <w:rFonts w:ascii="Arial"/>
                <w:sz w:val="21"/>
              </w:rPr>
            </w:pPr>
          </w:p>
          <w:p w14:paraId="2EB564D4">
            <w:pPr>
              <w:spacing w:line="268" w:lineRule="auto"/>
              <w:rPr>
                <w:rFonts w:ascii="Arial"/>
                <w:sz w:val="21"/>
              </w:rPr>
            </w:pPr>
          </w:p>
          <w:p w14:paraId="66E7DB4E">
            <w:pPr>
              <w:spacing w:line="268" w:lineRule="auto"/>
              <w:rPr>
                <w:rFonts w:ascii="Arial"/>
                <w:sz w:val="21"/>
              </w:rPr>
            </w:pPr>
          </w:p>
          <w:p w14:paraId="5C08258B">
            <w:pPr>
              <w:spacing w:line="268" w:lineRule="auto"/>
              <w:rPr>
                <w:rFonts w:ascii="Arial"/>
                <w:sz w:val="21"/>
              </w:rPr>
            </w:pPr>
          </w:p>
          <w:p w14:paraId="421953B4">
            <w:pPr>
              <w:spacing w:line="268" w:lineRule="auto"/>
              <w:rPr>
                <w:rFonts w:ascii="Arial"/>
                <w:sz w:val="21"/>
              </w:rPr>
            </w:pPr>
          </w:p>
          <w:p w14:paraId="3B9EC58E">
            <w:pPr>
              <w:spacing w:line="269" w:lineRule="auto"/>
              <w:rPr>
                <w:rFonts w:ascii="Arial"/>
                <w:sz w:val="21"/>
              </w:rPr>
            </w:pPr>
          </w:p>
          <w:p w14:paraId="1FAF4194">
            <w:pPr>
              <w:spacing w:line="269" w:lineRule="auto"/>
              <w:rPr>
                <w:rFonts w:ascii="Arial"/>
                <w:sz w:val="21"/>
              </w:rPr>
            </w:pPr>
          </w:p>
          <w:p w14:paraId="4B752A8E">
            <w:pPr>
              <w:spacing w:line="269" w:lineRule="auto"/>
              <w:rPr>
                <w:rFonts w:ascii="Arial"/>
                <w:sz w:val="21"/>
              </w:rPr>
            </w:pPr>
          </w:p>
          <w:p w14:paraId="30405729">
            <w:pPr>
              <w:pStyle w:val="6"/>
              <w:spacing w:before="58" w:line="183" w:lineRule="auto"/>
              <w:ind w:left="139"/>
              <w:rPr>
                <w:sz w:val="18"/>
                <w:szCs w:val="18"/>
              </w:rPr>
            </w:pPr>
            <w:r>
              <w:rPr>
                <w:spacing w:val="-2"/>
                <w:sz w:val="18"/>
                <w:szCs w:val="18"/>
              </w:rPr>
              <w:t>6.55</w:t>
            </w:r>
          </w:p>
        </w:tc>
        <w:tc>
          <w:tcPr>
            <w:tcW w:w="887" w:type="dxa"/>
            <w:gridSpan w:val="2"/>
            <w:vMerge w:val="restart"/>
            <w:tcBorders>
              <w:bottom w:val="nil"/>
            </w:tcBorders>
            <w:vAlign w:val="top"/>
          </w:tcPr>
          <w:p w14:paraId="4FC02F4F">
            <w:pPr>
              <w:pStyle w:val="6"/>
              <w:spacing w:before="114" w:line="327" w:lineRule="auto"/>
              <w:ind w:left="110" w:right="103" w:firstLine="65"/>
              <w:jc w:val="both"/>
              <w:rPr>
                <w:rFonts w:ascii="Times New Roman" w:hAnsi="Times New Roman" w:eastAsia="Times New Roman" w:cs="Times New Roman"/>
                <w:sz w:val="18"/>
                <w:szCs w:val="18"/>
              </w:rPr>
            </w:pPr>
            <w:r>
              <w:rPr>
                <w:spacing w:val="-3"/>
                <w:sz w:val="18"/>
                <w:szCs w:val="18"/>
              </w:rPr>
              <w:t>拆解区</w:t>
            </w:r>
            <w:r>
              <w:rPr>
                <w:sz w:val="18"/>
                <w:szCs w:val="18"/>
              </w:rPr>
              <w:t xml:space="preserve">  </w:t>
            </w:r>
            <w:r>
              <w:rPr>
                <w:spacing w:val="19"/>
                <w:sz w:val="18"/>
                <w:szCs w:val="18"/>
              </w:rPr>
              <w:t>切割工</w:t>
            </w:r>
            <w:r>
              <w:rPr>
                <w:sz w:val="18"/>
                <w:szCs w:val="18"/>
              </w:rPr>
              <w:t xml:space="preserve">  </w:t>
            </w:r>
            <w:r>
              <w:rPr>
                <w:spacing w:val="19"/>
                <w:sz w:val="18"/>
                <w:szCs w:val="18"/>
              </w:rPr>
              <w:t>段设置</w:t>
            </w:r>
            <w:r>
              <w:rPr>
                <w:sz w:val="18"/>
                <w:szCs w:val="18"/>
              </w:rPr>
              <w:t xml:space="preserve">  </w:t>
            </w:r>
            <w:r>
              <w:rPr>
                <w:spacing w:val="-13"/>
                <w:sz w:val="18"/>
                <w:szCs w:val="18"/>
              </w:rPr>
              <w:t>集气罩，</w:t>
            </w:r>
            <w:r>
              <w:rPr>
                <w:sz w:val="18"/>
                <w:szCs w:val="18"/>
              </w:rPr>
              <w:t xml:space="preserve"> </w:t>
            </w:r>
            <w:r>
              <w:rPr>
                <w:spacing w:val="19"/>
                <w:sz w:val="18"/>
                <w:szCs w:val="18"/>
              </w:rPr>
              <w:t>收集的</w:t>
            </w:r>
            <w:r>
              <w:rPr>
                <w:sz w:val="18"/>
                <w:szCs w:val="18"/>
              </w:rPr>
              <w:t xml:space="preserve">  </w:t>
            </w:r>
            <w:r>
              <w:rPr>
                <w:spacing w:val="-7"/>
                <w:sz w:val="18"/>
                <w:szCs w:val="18"/>
              </w:rPr>
              <w:t>废气经</w:t>
            </w:r>
            <w:r>
              <w:rPr>
                <w:spacing w:val="-26"/>
                <w:sz w:val="18"/>
                <w:szCs w:val="18"/>
              </w:rPr>
              <w:t xml:space="preserve"> </w:t>
            </w:r>
            <w:r>
              <w:rPr>
                <w:rFonts w:ascii="Times New Roman" w:hAnsi="Times New Roman" w:eastAsia="Times New Roman" w:cs="Times New Roman"/>
                <w:spacing w:val="-7"/>
                <w:sz w:val="18"/>
                <w:szCs w:val="18"/>
              </w:rPr>
              <w:t>1</w:t>
            </w:r>
            <w:r>
              <w:rPr>
                <w:rFonts w:ascii="Times New Roman" w:hAnsi="Times New Roman" w:eastAsia="Times New Roman" w:cs="Times New Roman"/>
                <w:sz w:val="18"/>
                <w:szCs w:val="18"/>
              </w:rPr>
              <w:t xml:space="preserve"> </w:t>
            </w:r>
            <w:r>
              <w:rPr>
                <w:spacing w:val="19"/>
                <w:sz w:val="18"/>
                <w:szCs w:val="18"/>
              </w:rPr>
              <w:t>套布袋</w:t>
            </w:r>
            <w:r>
              <w:rPr>
                <w:sz w:val="18"/>
                <w:szCs w:val="18"/>
              </w:rPr>
              <w:t xml:space="preserve">  </w:t>
            </w:r>
            <w:r>
              <w:rPr>
                <w:spacing w:val="19"/>
                <w:sz w:val="18"/>
                <w:szCs w:val="18"/>
              </w:rPr>
              <w:t>除尘器</w:t>
            </w:r>
            <w:r>
              <w:rPr>
                <w:sz w:val="18"/>
                <w:szCs w:val="18"/>
              </w:rPr>
              <w:t xml:space="preserve">  </w:t>
            </w:r>
            <w:r>
              <w:rPr>
                <w:spacing w:val="19"/>
                <w:sz w:val="18"/>
                <w:szCs w:val="18"/>
              </w:rPr>
              <w:t>处理后</w:t>
            </w:r>
            <w:r>
              <w:rPr>
                <w:sz w:val="18"/>
                <w:szCs w:val="18"/>
              </w:rPr>
              <w:t xml:space="preserve">  </w:t>
            </w:r>
            <w:r>
              <w:rPr>
                <w:spacing w:val="8"/>
                <w:sz w:val="18"/>
                <w:szCs w:val="18"/>
              </w:rPr>
              <w:t>由</w:t>
            </w:r>
            <w:r>
              <w:rPr>
                <w:spacing w:val="-22"/>
                <w:sz w:val="18"/>
                <w:szCs w:val="18"/>
              </w:rPr>
              <w:t xml:space="preserve"> </w:t>
            </w:r>
            <w:r>
              <w:rPr>
                <w:rFonts w:ascii="Times New Roman" w:hAnsi="Times New Roman" w:eastAsia="Times New Roman" w:cs="Times New Roman"/>
                <w:spacing w:val="8"/>
                <w:sz w:val="18"/>
                <w:szCs w:val="18"/>
              </w:rPr>
              <w:t>15m</w:t>
            </w:r>
            <w:r>
              <w:rPr>
                <w:rFonts w:ascii="Times New Roman" w:hAnsi="Times New Roman" w:eastAsia="Times New Roman" w:cs="Times New Roman"/>
                <w:sz w:val="18"/>
                <w:szCs w:val="18"/>
              </w:rPr>
              <w:t xml:space="preserve">  </w:t>
            </w:r>
            <w:r>
              <w:rPr>
                <w:spacing w:val="19"/>
                <w:sz w:val="18"/>
                <w:szCs w:val="18"/>
              </w:rPr>
              <w:t>高排气</w:t>
            </w:r>
            <w:r>
              <w:rPr>
                <w:sz w:val="18"/>
                <w:szCs w:val="18"/>
              </w:rPr>
              <w:t xml:space="preserve">  </w:t>
            </w:r>
            <w:r>
              <w:rPr>
                <w:spacing w:val="19"/>
                <w:sz w:val="18"/>
                <w:szCs w:val="18"/>
              </w:rPr>
              <w:t>筒排放</w:t>
            </w:r>
            <w:r>
              <w:rPr>
                <w:sz w:val="18"/>
                <w:szCs w:val="18"/>
              </w:rPr>
              <w:t xml:space="preserve">  </w:t>
            </w:r>
            <w:r>
              <w:rPr>
                <w:spacing w:val="6"/>
                <w:sz w:val="18"/>
                <w:szCs w:val="18"/>
              </w:rPr>
              <w:t>（</w:t>
            </w:r>
            <w:r>
              <w:rPr>
                <w:rFonts w:ascii="Times New Roman" w:hAnsi="Times New Roman" w:eastAsia="Times New Roman" w:cs="Times New Roman"/>
                <w:sz w:val="18"/>
                <w:szCs w:val="18"/>
              </w:rPr>
              <w:t>DA</w:t>
            </w:r>
            <w:r>
              <w:rPr>
                <w:rFonts w:ascii="Times New Roman" w:hAnsi="Times New Roman" w:eastAsia="Times New Roman" w:cs="Times New Roman"/>
                <w:spacing w:val="6"/>
                <w:sz w:val="18"/>
                <w:szCs w:val="18"/>
              </w:rPr>
              <w:t>00</w:t>
            </w:r>
          </w:p>
          <w:p w14:paraId="1EDE0065">
            <w:pPr>
              <w:pStyle w:val="6"/>
              <w:spacing w:before="12" w:line="201" w:lineRule="auto"/>
              <w:ind w:left="326"/>
              <w:rPr>
                <w:sz w:val="18"/>
                <w:szCs w:val="18"/>
              </w:rPr>
            </w:pPr>
            <w:r>
              <w:rPr>
                <w:rFonts w:ascii="Times New Roman" w:hAnsi="Times New Roman" w:eastAsia="Times New Roman" w:cs="Times New Roman"/>
                <w:spacing w:val="-11"/>
                <w:sz w:val="18"/>
                <w:szCs w:val="18"/>
              </w:rPr>
              <w:t>1</w:t>
            </w:r>
            <w:r>
              <w:rPr>
                <w:spacing w:val="-11"/>
                <w:sz w:val="18"/>
                <w:szCs w:val="18"/>
              </w:rPr>
              <w:t>）</w:t>
            </w:r>
          </w:p>
        </w:tc>
        <w:tc>
          <w:tcPr>
            <w:tcW w:w="451" w:type="dxa"/>
            <w:vMerge w:val="restart"/>
            <w:tcBorders>
              <w:bottom w:val="nil"/>
            </w:tcBorders>
            <w:vAlign w:val="top"/>
          </w:tcPr>
          <w:p w14:paraId="400AD629">
            <w:pPr>
              <w:spacing w:line="268" w:lineRule="auto"/>
              <w:rPr>
                <w:rFonts w:ascii="Arial"/>
                <w:sz w:val="21"/>
              </w:rPr>
            </w:pPr>
          </w:p>
          <w:p w14:paraId="7DCC9506">
            <w:pPr>
              <w:spacing w:line="268" w:lineRule="auto"/>
              <w:rPr>
                <w:rFonts w:ascii="Arial"/>
                <w:sz w:val="21"/>
              </w:rPr>
            </w:pPr>
          </w:p>
          <w:p w14:paraId="5044E9A2">
            <w:pPr>
              <w:spacing w:line="268" w:lineRule="auto"/>
              <w:rPr>
                <w:rFonts w:ascii="Arial"/>
                <w:sz w:val="21"/>
              </w:rPr>
            </w:pPr>
          </w:p>
          <w:p w14:paraId="2E17BA3F">
            <w:pPr>
              <w:spacing w:line="268" w:lineRule="auto"/>
              <w:rPr>
                <w:rFonts w:ascii="Arial"/>
                <w:sz w:val="21"/>
              </w:rPr>
            </w:pPr>
          </w:p>
          <w:p w14:paraId="505C536D">
            <w:pPr>
              <w:spacing w:line="268" w:lineRule="auto"/>
              <w:rPr>
                <w:rFonts w:ascii="Arial"/>
                <w:sz w:val="21"/>
              </w:rPr>
            </w:pPr>
          </w:p>
          <w:p w14:paraId="5AF5F1E8">
            <w:pPr>
              <w:spacing w:line="269" w:lineRule="auto"/>
              <w:rPr>
                <w:rFonts w:ascii="Arial"/>
                <w:sz w:val="21"/>
              </w:rPr>
            </w:pPr>
          </w:p>
          <w:p w14:paraId="1A82424F">
            <w:pPr>
              <w:spacing w:line="269" w:lineRule="auto"/>
              <w:rPr>
                <w:rFonts w:ascii="Arial"/>
                <w:sz w:val="21"/>
              </w:rPr>
            </w:pPr>
          </w:p>
          <w:p w14:paraId="64BCE87D">
            <w:pPr>
              <w:spacing w:line="269" w:lineRule="auto"/>
              <w:rPr>
                <w:rFonts w:ascii="Arial"/>
                <w:sz w:val="21"/>
              </w:rPr>
            </w:pPr>
          </w:p>
          <w:p w14:paraId="02FC4E97">
            <w:pPr>
              <w:pStyle w:val="6"/>
              <w:spacing w:before="58" w:line="183" w:lineRule="auto"/>
              <w:ind w:left="141"/>
              <w:rPr>
                <w:sz w:val="18"/>
                <w:szCs w:val="18"/>
              </w:rPr>
            </w:pPr>
            <w:r>
              <w:rPr>
                <w:spacing w:val="-4"/>
                <w:sz w:val="18"/>
                <w:szCs w:val="18"/>
              </w:rPr>
              <w:t>85</w:t>
            </w:r>
          </w:p>
        </w:tc>
        <w:tc>
          <w:tcPr>
            <w:tcW w:w="451" w:type="dxa"/>
            <w:vMerge w:val="restart"/>
            <w:tcBorders>
              <w:bottom w:val="nil"/>
            </w:tcBorders>
            <w:vAlign w:val="top"/>
          </w:tcPr>
          <w:p w14:paraId="7974BD28">
            <w:pPr>
              <w:spacing w:line="268" w:lineRule="auto"/>
              <w:rPr>
                <w:rFonts w:ascii="Arial"/>
                <w:sz w:val="21"/>
              </w:rPr>
            </w:pPr>
          </w:p>
          <w:p w14:paraId="5FAC8841">
            <w:pPr>
              <w:spacing w:line="268" w:lineRule="auto"/>
              <w:rPr>
                <w:rFonts w:ascii="Arial"/>
                <w:sz w:val="21"/>
              </w:rPr>
            </w:pPr>
          </w:p>
          <w:p w14:paraId="1AD68AA6">
            <w:pPr>
              <w:spacing w:line="268" w:lineRule="auto"/>
              <w:rPr>
                <w:rFonts w:ascii="Arial"/>
                <w:sz w:val="21"/>
              </w:rPr>
            </w:pPr>
          </w:p>
          <w:p w14:paraId="5DADD9A8">
            <w:pPr>
              <w:spacing w:line="268" w:lineRule="auto"/>
              <w:rPr>
                <w:rFonts w:ascii="Arial"/>
                <w:sz w:val="21"/>
              </w:rPr>
            </w:pPr>
          </w:p>
          <w:p w14:paraId="10762D7C">
            <w:pPr>
              <w:spacing w:line="268" w:lineRule="auto"/>
              <w:rPr>
                <w:rFonts w:ascii="Arial"/>
                <w:sz w:val="21"/>
              </w:rPr>
            </w:pPr>
          </w:p>
          <w:p w14:paraId="5403574B">
            <w:pPr>
              <w:spacing w:line="269" w:lineRule="auto"/>
              <w:rPr>
                <w:rFonts w:ascii="Arial"/>
                <w:sz w:val="21"/>
              </w:rPr>
            </w:pPr>
          </w:p>
          <w:p w14:paraId="02DD52AC">
            <w:pPr>
              <w:spacing w:line="269" w:lineRule="auto"/>
              <w:rPr>
                <w:rFonts w:ascii="Arial"/>
                <w:sz w:val="21"/>
              </w:rPr>
            </w:pPr>
          </w:p>
          <w:p w14:paraId="09CAA491">
            <w:pPr>
              <w:spacing w:line="269" w:lineRule="auto"/>
              <w:rPr>
                <w:rFonts w:ascii="Arial"/>
                <w:sz w:val="21"/>
              </w:rPr>
            </w:pPr>
          </w:p>
          <w:p w14:paraId="4417C57C">
            <w:pPr>
              <w:pStyle w:val="6"/>
              <w:spacing w:before="58" w:line="183" w:lineRule="auto"/>
              <w:ind w:left="115"/>
              <w:rPr>
                <w:sz w:val="18"/>
                <w:szCs w:val="18"/>
              </w:rPr>
            </w:pPr>
            <w:r>
              <w:rPr>
                <w:spacing w:val="-4"/>
                <w:sz w:val="18"/>
                <w:szCs w:val="18"/>
              </w:rPr>
              <w:t>99</w:t>
            </w:r>
          </w:p>
        </w:tc>
        <w:tc>
          <w:tcPr>
            <w:tcW w:w="352" w:type="dxa"/>
            <w:textDirection w:val="tbRlV"/>
            <w:vAlign w:val="top"/>
          </w:tcPr>
          <w:p w14:paraId="348F44A4">
            <w:pPr>
              <w:pStyle w:val="6"/>
              <w:spacing w:before="59" w:line="208" w:lineRule="auto"/>
              <w:ind w:left="112"/>
              <w:rPr>
                <w:sz w:val="18"/>
                <w:szCs w:val="18"/>
              </w:rPr>
            </w:pPr>
            <w:r>
              <w:rPr>
                <w:spacing w:val="-1"/>
                <w:sz w:val="18"/>
                <w:szCs w:val="18"/>
              </w:rPr>
              <w:t>有</w:t>
            </w:r>
            <w:r>
              <w:rPr>
                <w:spacing w:val="51"/>
                <w:sz w:val="18"/>
                <w:szCs w:val="18"/>
              </w:rPr>
              <w:t xml:space="preserve"> </w:t>
            </w:r>
            <w:r>
              <w:rPr>
                <w:spacing w:val="-1"/>
                <w:sz w:val="18"/>
                <w:szCs w:val="18"/>
              </w:rPr>
              <w:t>组</w:t>
            </w:r>
            <w:r>
              <w:rPr>
                <w:spacing w:val="49"/>
                <w:sz w:val="18"/>
                <w:szCs w:val="18"/>
              </w:rPr>
              <w:t xml:space="preserve"> </w:t>
            </w:r>
            <w:r>
              <w:rPr>
                <w:spacing w:val="-1"/>
                <w:sz w:val="18"/>
                <w:szCs w:val="18"/>
              </w:rPr>
              <w:t>织</w:t>
            </w:r>
          </w:p>
        </w:tc>
        <w:tc>
          <w:tcPr>
            <w:tcW w:w="487" w:type="dxa"/>
            <w:vAlign w:val="top"/>
          </w:tcPr>
          <w:p w14:paraId="0D8298EE">
            <w:pPr>
              <w:pStyle w:val="6"/>
              <w:spacing w:before="299" w:line="183" w:lineRule="auto"/>
              <w:ind w:left="117"/>
              <w:rPr>
                <w:sz w:val="18"/>
                <w:szCs w:val="18"/>
              </w:rPr>
            </w:pPr>
            <w:r>
              <w:rPr>
                <w:spacing w:val="-3"/>
                <w:sz w:val="18"/>
                <w:szCs w:val="18"/>
              </w:rPr>
              <w:t>200</w:t>
            </w:r>
          </w:p>
          <w:p w14:paraId="5B34D7BD">
            <w:pPr>
              <w:pStyle w:val="6"/>
              <w:spacing w:before="143" w:line="183" w:lineRule="auto"/>
              <w:ind w:left="208"/>
              <w:rPr>
                <w:sz w:val="18"/>
                <w:szCs w:val="18"/>
              </w:rPr>
            </w:pPr>
            <w:r>
              <w:rPr>
                <w:sz w:val="18"/>
                <w:szCs w:val="18"/>
              </w:rPr>
              <w:t>0</w:t>
            </w:r>
          </w:p>
        </w:tc>
        <w:tc>
          <w:tcPr>
            <w:tcW w:w="757" w:type="dxa"/>
            <w:gridSpan w:val="2"/>
            <w:vAlign w:val="top"/>
          </w:tcPr>
          <w:p w14:paraId="617324A8">
            <w:pPr>
              <w:pStyle w:val="6"/>
              <w:spacing w:before="298" w:line="335" w:lineRule="auto"/>
              <w:ind w:left="301" w:right="99" w:hanging="182"/>
              <w:rPr>
                <w:sz w:val="18"/>
                <w:szCs w:val="18"/>
              </w:rPr>
            </w:pPr>
            <w:r>
              <w:rPr>
                <w:spacing w:val="-2"/>
                <w:sz w:val="18"/>
                <w:szCs w:val="18"/>
              </w:rPr>
              <w:t>0.0001</w:t>
            </w:r>
            <w:r>
              <w:rPr>
                <w:spacing w:val="3"/>
                <w:sz w:val="18"/>
                <w:szCs w:val="18"/>
              </w:rPr>
              <w:t xml:space="preserve"> </w:t>
            </w:r>
            <w:r>
              <w:rPr>
                <w:spacing w:val="-5"/>
                <w:sz w:val="18"/>
                <w:szCs w:val="18"/>
              </w:rPr>
              <w:t>33</w:t>
            </w:r>
          </w:p>
        </w:tc>
        <w:tc>
          <w:tcPr>
            <w:tcW w:w="757" w:type="dxa"/>
            <w:gridSpan w:val="2"/>
            <w:vAlign w:val="top"/>
          </w:tcPr>
          <w:p w14:paraId="3A09410B">
            <w:pPr>
              <w:pStyle w:val="6"/>
              <w:spacing w:before="298" w:line="334" w:lineRule="auto"/>
              <w:ind w:left="314" w:right="96" w:hanging="191"/>
              <w:rPr>
                <w:sz w:val="18"/>
                <w:szCs w:val="18"/>
              </w:rPr>
            </w:pPr>
            <w:r>
              <w:rPr>
                <w:spacing w:val="-2"/>
                <w:sz w:val="18"/>
                <w:szCs w:val="18"/>
              </w:rPr>
              <w:t>0.0001</w:t>
            </w:r>
            <w:r>
              <w:rPr>
                <w:spacing w:val="3"/>
                <w:sz w:val="18"/>
                <w:szCs w:val="18"/>
              </w:rPr>
              <w:t xml:space="preserve"> </w:t>
            </w:r>
            <w:r>
              <w:rPr>
                <w:spacing w:val="-10"/>
                <w:sz w:val="18"/>
                <w:szCs w:val="18"/>
              </w:rPr>
              <w:t>11</w:t>
            </w:r>
          </w:p>
        </w:tc>
        <w:tc>
          <w:tcPr>
            <w:tcW w:w="632" w:type="dxa"/>
            <w:gridSpan w:val="2"/>
            <w:vAlign w:val="top"/>
          </w:tcPr>
          <w:p w14:paraId="065C7468">
            <w:pPr>
              <w:pStyle w:val="6"/>
              <w:spacing w:before="299" w:line="335" w:lineRule="auto"/>
              <w:ind w:left="243" w:right="120" w:hanging="90"/>
              <w:rPr>
                <w:sz w:val="18"/>
                <w:szCs w:val="18"/>
              </w:rPr>
            </w:pPr>
            <w:r>
              <w:rPr>
                <w:spacing w:val="-2"/>
                <w:sz w:val="18"/>
                <w:szCs w:val="18"/>
              </w:rPr>
              <w:t>0.05</w:t>
            </w:r>
            <w:r>
              <w:rPr>
                <w:sz w:val="18"/>
                <w:szCs w:val="18"/>
              </w:rPr>
              <w:t xml:space="preserve"> </w:t>
            </w:r>
            <w:r>
              <w:rPr>
                <w:spacing w:val="-5"/>
                <w:sz w:val="18"/>
                <w:szCs w:val="18"/>
              </w:rPr>
              <w:t>55</w:t>
            </w:r>
          </w:p>
        </w:tc>
        <w:tc>
          <w:tcPr>
            <w:tcW w:w="609" w:type="dxa"/>
            <w:vMerge w:val="restart"/>
            <w:tcBorders>
              <w:bottom w:val="nil"/>
              <w:right w:val="single" w:color="000000" w:sz="10" w:space="0"/>
            </w:tcBorders>
            <w:vAlign w:val="top"/>
          </w:tcPr>
          <w:p w14:paraId="58C42B4C">
            <w:pPr>
              <w:spacing w:line="248" w:lineRule="auto"/>
              <w:rPr>
                <w:rFonts w:ascii="Arial"/>
                <w:sz w:val="21"/>
              </w:rPr>
            </w:pPr>
          </w:p>
          <w:p w14:paraId="2931BE31">
            <w:pPr>
              <w:spacing w:line="248" w:lineRule="auto"/>
              <w:rPr>
                <w:rFonts w:ascii="Arial"/>
                <w:sz w:val="21"/>
              </w:rPr>
            </w:pPr>
          </w:p>
          <w:p w14:paraId="2531C17C">
            <w:pPr>
              <w:spacing w:line="248" w:lineRule="auto"/>
              <w:rPr>
                <w:rFonts w:ascii="Arial"/>
                <w:sz w:val="21"/>
              </w:rPr>
            </w:pPr>
          </w:p>
          <w:p w14:paraId="137C66DE">
            <w:pPr>
              <w:spacing w:line="248" w:lineRule="auto"/>
              <w:rPr>
                <w:rFonts w:ascii="Arial"/>
                <w:sz w:val="21"/>
              </w:rPr>
            </w:pPr>
          </w:p>
          <w:p w14:paraId="21507B5C">
            <w:pPr>
              <w:spacing w:line="249" w:lineRule="auto"/>
              <w:rPr>
                <w:rFonts w:ascii="Arial"/>
                <w:sz w:val="21"/>
              </w:rPr>
            </w:pPr>
          </w:p>
          <w:p w14:paraId="50DC9F14">
            <w:pPr>
              <w:spacing w:line="249" w:lineRule="auto"/>
              <w:rPr>
                <w:rFonts w:ascii="Arial"/>
                <w:sz w:val="21"/>
              </w:rPr>
            </w:pPr>
          </w:p>
          <w:p w14:paraId="0B8EE43F">
            <w:pPr>
              <w:spacing w:line="249" w:lineRule="auto"/>
              <w:rPr>
                <w:rFonts w:ascii="Arial"/>
                <w:sz w:val="21"/>
              </w:rPr>
            </w:pPr>
          </w:p>
          <w:p w14:paraId="365E9104">
            <w:pPr>
              <w:spacing w:line="249" w:lineRule="auto"/>
              <w:rPr>
                <w:rFonts w:ascii="Arial"/>
                <w:sz w:val="21"/>
              </w:rPr>
            </w:pPr>
          </w:p>
          <w:p w14:paraId="56B0742F">
            <w:pPr>
              <w:pStyle w:val="6"/>
              <w:spacing w:before="59" w:line="184" w:lineRule="auto"/>
              <w:ind w:left="138"/>
              <w:rPr>
                <w:sz w:val="18"/>
                <w:szCs w:val="18"/>
              </w:rPr>
            </w:pPr>
            <w:r>
              <w:rPr>
                <w:spacing w:val="-7"/>
                <w:sz w:val="18"/>
                <w:szCs w:val="18"/>
              </w:rPr>
              <w:t>120</w:t>
            </w:r>
          </w:p>
          <w:p w14:paraId="0208B9B2">
            <w:pPr>
              <w:pStyle w:val="6"/>
              <w:spacing w:before="140" w:line="183" w:lineRule="auto"/>
              <w:ind w:left="217"/>
              <w:rPr>
                <w:sz w:val="18"/>
                <w:szCs w:val="18"/>
              </w:rPr>
            </w:pPr>
            <w:r>
              <w:rPr>
                <w:sz w:val="18"/>
                <w:szCs w:val="18"/>
              </w:rPr>
              <w:t>0</w:t>
            </w:r>
          </w:p>
        </w:tc>
      </w:tr>
      <w:tr w14:paraId="02CE65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9" w:hRule="atLeast"/>
        </w:trPr>
        <w:tc>
          <w:tcPr>
            <w:tcW w:w="477" w:type="dxa"/>
            <w:vMerge w:val="continue"/>
            <w:tcBorders>
              <w:top w:val="nil"/>
              <w:left w:val="single" w:color="000000" w:sz="10" w:space="0"/>
              <w:bottom w:val="nil"/>
            </w:tcBorders>
            <w:vAlign w:val="top"/>
          </w:tcPr>
          <w:p w14:paraId="631B995A">
            <w:pPr>
              <w:rPr>
                <w:rFonts w:ascii="Arial"/>
                <w:sz w:val="21"/>
              </w:rPr>
            </w:pPr>
          </w:p>
        </w:tc>
        <w:tc>
          <w:tcPr>
            <w:tcW w:w="461" w:type="dxa"/>
            <w:vMerge w:val="continue"/>
            <w:tcBorders>
              <w:top w:val="nil"/>
            </w:tcBorders>
            <w:textDirection w:val="tbRlV"/>
            <w:vAlign w:val="top"/>
          </w:tcPr>
          <w:p w14:paraId="72EF5BF7">
            <w:pPr>
              <w:rPr>
                <w:rFonts w:ascii="Arial"/>
                <w:sz w:val="21"/>
              </w:rPr>
            </w:pPr>
          </w:p>
        </w:tc>
        <w:tc>
          <w:tcPr>
            <w:tcW w:w="353" w:type="dxa"/>
            <w:gridSpan w:val="2"/>
            <w:vMerge w:val="continue"/>
            <w:tcBorders>
              <w:top w:val="nil"/>
            </w:tcBorders>
            <w:textDirection w:val="tbRlV"/>
            <w:vAlign w:val="top"/>
          </w:tcPr>
          <w:p w14:paraId="05F17780">
            <w:pPr>
              <w:rPr>
                <w:rFonts w:ascii="Arial"/>
                <w:sz w:val="21"/>
              </w:rPr>
            </w:pPr>
          </w:p>
        </w:tc>
        <w:tc>
          <w:tcPr>
            <w:tcW w:w="352" w:type="dxa"/>
            <w:vMerge w:val="continue"/>
            <w:tcBorders>
              <w:top w:val="nil"/>
            </w:tcBorders>
            <w:textDirection w:val="tbRlV"/>
            <w:vAlign w:val="top"/>
          </w:tcPr>
          <w:p w14:paraId="50495445">
            <w:pPr>
              <w:rPr>
                <w:rFonts w:ascii="Arial"/>
                <w:sz w:val="21"/>
              </w:rPr>
            </w:pPr>
          </w:p>
        </w:tc>
        <w:tc>
          <w:tcPr>
            <w:tcW w:w="622" w:type="dxa"/>
            <w:vMerge w:val="continue"/>
            <w:tcBorders>
              <w:top w:val="nil"/>
            </w:tcBorders>
            <w:vAlign w:val="top"/>
          </w:tcPr>
          <w:p w14:paraId="4D2C53F5">
            <w:pPr>
              <w:rPr>
                <w:rFonts w:ascii="Arial"/>
                <w:sz w:val="21"/>
              </w:rPr>
            </w:pPr>
          </w:p>
        </w:tc>
        <w:tc>
          <w:tcPr>
            <w:tcW w:w="622" w:type="dxa"/>
            <w:gridSpan w:val="2"/>
            <w:vMerge w:val="continue"/>
            <w:tcBorders>
              <w:top w:val="nil"/>
            </w:tcBorders>
            <w:vAlign w:val="top"/>
          </w:tcPr>
          <w:p w14:paraId="17D6830C">
            <w:pPr>
              <w:rPr>
                <w:rFonts w:ascii="Arial"/>
                <w:sz w:val="21"/>
              </w:rPr>
            </w:pPr>
          </w:p>
        </w:tc>
        <w:tc>
          <w:tcPr>
            <w:tcW w:w="632" w:type="dxa"/>
            <w:gridSpan w:val="2"/>
            <w:vMerge w:val="continue"/>
            <w:tcBorders>
              <w:top w:val="nil"/>
            </w:tcBorders>
            <w:vAlign w:val="top"/>
          </w:tcPr>
          <w:p w14:paraId="5B351578">
            <w:pPr>
              <w:rPr>
                <w:rFonts w:ascii="Arial"/>
                <w:sz w:val="21"/>
              </w:rPr>
            </w:pPr>
          </w:p>
        </w:tc>
        <w:tc>
          <w:tcPr>
            <w:tcW w:w="887" w:type="dxa"/>
            <w:gridSpan w:val="2"/>
            <w:vMerge w:val="continue"/>
            <w:tcBorders>
              <w:top w:val="nil"/>
            </w:tcBorders>
            <w:vAlign w:val="top"/>
          </w:tcPr>
          <w:p w14:paraId="7FDB4443">
            <w:pPr>
              <w:rPr>
                <w:rFonts w:ascii="Arial"/>
                <w:sz w:val="21"/>
              </w:rPr>
            </w:pPr>
          </w:p>
        </w:tc>
        <w:tc>
          <w:tcPr>
            <w:tcW w:w="451" w:type="dxa"/>
            <w:vMerge w:val="continue"/>
            <w:tcBorders>
              <w:top w:val="nil"/>
            </w:tcBorders>
            <w:vAlign w:val="top"/>
          </w:tcPr>
          <w:p w14:paraId="73D89E7E">
            <w:pPr>
              <w:rPr>
                <w:rFonts w:ascii="Arial"/>
                <w:sz w:val="21"/>
              </w:rPr>
            </w:pPr>
          </w:p>
        </w:tc>
        <w:tc>
          <w:tcPr>
            <w:tcW w:w="451" w:type="dxa"/>
            <w:vMerge w:val="continue"/>
            <w:tcBorders>
              <w:top w:val="nil"/>
            </w:tcBorders>
            <w:vAlign w:val="top"/>
          </w:tcPr>
          <w:p w14:paraId="6F769A5A">
            <w:pPr>
              <w:rPr>
                <w:rFonts w:ascii="Arial"/>
                <w:sz w:val="21"/>
              </w:rPr>
            </w:pPr>
          </w:p>
        </w:tc>
        <w:tc>
          <w:tcPr>
            <w:tcW w:w="352" w:type="dxa"/>
            <w:textDirection w:val="tbRlV"/>
            <w:vAlign w:val="top"/>
          </w:tcPr>
          <w:p w14:paraId="52A1BD8D">
            <w:pPr>
              <w:pStyle w:val="6"/>
              <w:spacing w:before="59" w:line="207" w:lineRule="auto"/>
              <w:ind w:left="1388"/>
              <w:rPr>
                <w:sz w:val="18"/>
                <w:szCs w:val="18"/>
              </w:rPr>
            </w:pPr>
            <w:r>
              <w:rPr>
                <w:spacing w:val="-1"/>
                <w:sz w:val="18"/>
                <w:szCs w:val="18"/>
              </w:rPr>
              <w:t>无</w:t>
            </w:r>
            <w:r>
              <w:rPr>
                <w:spacing w:val="51"/>
                <w:sz w:val="18"/>
                <w:szCs w:val="18"/>
              </w:rPr>
              <w:t xml:space="preserve"> </w:t>
            </w:r>
            <w:r>
              <w:rPr>
                <w:spacing w:val="-1"/>
                <w:sz w:val="18"/>
                <w:szCs w:val="18"/>
              </w:rPr>
              <w:t>组</w:t>
            </w:r>
            <w:r>
              <w:rPr>
                <w:spacing w:val="51"/>
                <w:sz w:val="18"/>
                <w:szCs w:val="18"/>
              </w:rPr>
              <w:t xml:space="preserve"> </w:t>
            </w:r>
            <w:r>
              <w:rPr>
                <w:spacing w:val="-1"/>
                <w:sz w:val="18"/>
                <w:szCs w:val="18"/>
              </w:rPr>
              <w:t>织</w:t>
            </w:r>
          </w:p>
        </w:tc>
        <w:tc>
          <w:tcPr>
            <w:tcW w:w="487" w:type="dxa"/>
            <w:vAlign w:val="top"/>
          </w:tcPr>
          <w:p w14:paraId="1E27F68B">
            <w:pPr>
              <w:spacing w:line="246" w:lineRule="auto"/>
              <w:rPr>
                <w:rFonts w:ascii="Arial"/>
                <w:sz w:val="21"/>
              </w:rPr>
            </w:pPr>
          </w:p>
          <w:p w14:paraId="565324C4">
            <w:pPr>
              <w:spacing w:line="246" w:lineRule="auto"/>
              <w:rPr>
                <w:rFonts w:ascii="Arial"/>
                <w:sz w:val="21"/>
              </w:rPr>
            </w:pPr>
          </w:p>
          <w:p w14:paraId="78ED8512">
            <w:pPr>
              <w:spacing w:line="246" w:lineRule="auto"/>
              <w:rPr>
                <w:rFonts w:ascii="Arial"/>
                <w:sz w:val="21"/>
              </w:rPr>
            </w:pPr>
          </w:p>
          <w:p w14:paraId="25B07709">
            <w:pPr>
              <w:spacing w:line="246" w:lineRule="auto"/>
              <w:rPr>
                <w:rFonts w:ascii="Arial"/>
                <w:sz w:val="21"/>
              </w:rPr>
            </w:pPr>
          </w:p>
          <w:p w14:paraId="77790D4D">
            <w:pPr>
              <w:spacing w:line="246" w:lineRule="auto"/>
              <w:rPr>
                <w:rFonts w:ascii="Arial"/>
                <w:sz w:val="21"/>
              </w:rPr>
            </w:pPr>
          </w:p>
          <w:p w14:paraId="10FF9FD9">
            <w:pPr>
              <w:spacing w:line="246" w:lineRule="auto"/>
              <w:rPr>
                <w:rFonts w:ascii="Arial"/>
                <w:sz w:val="21"/>
              </w:rPr>
            </w:pPr>
          </w:p>
          <w:p w14:paraId="17357E92">
            <w:pPr>
              <w:spacing w:line="247" w:lineRule="auto"/>
              <w:rPr>
                <w:rFonts w:ascii="Arial"/>
                <w:sz w:val="21"/>
              </w:rPr>
            </w:pPr>
          </w:p>
          <w:p w14:paraId="610AB1EA">
            <w:pPr>
              <w:pStyle w:val="6"/>
              <w:spacing w:before="58" w:line="122" w:lineRule="exact"/>
              <w:ind w:left="159"/>
              <w:rPr>
                <w:sz w:val="18"/>
                <w:szCs w:val="18"/>
              </w:rPr>
            </w:pPr>
            <w:r>
              <w:rPr>
                <w:position w:val="-3"/>
                <w:sz w:val="18"/>
                <w:szCs w:val="18"/>
              </w:rPr>
              <w:t>—</w:t>
            </w:r>
          </w:p>
        </w:tc>
        <w:tc>
          <w:tcPr>
            <w:tcW w:w="757" w:type="dxa"/>
            <w:gridSpan w:val="2"/>
            <w:vAlign w:val="top"/>
          </w:tcPr>
          <w:p w14:paraId="62D84C37">
            <w:pPr>
              <w:spacing w:line="251" w:lineRule="auto"/>
              <w:rPr>
                <w:rFonts w:ascii="Arial"/>
                <w:sz w:val="21"/>
              </w:rPr>
            </w:pPr>
          </w:p>
          <w:p w14:paraId="26E4F95D">
            <w:pPr>
              <w:spacing w:line="251" w:lineRule="auto"/>
              <w:rPr>
                <w:rFonts w:ascii="Arial"/>
                <w:sz w:val="21"/>
              </w:rPr>
            </w:pPr>
          </w:p>
          <w:p w14:paraId="1D62597F">
            <w:pPr>
              <w:spacing w:line="251" w:lineRule="auto"/>
              <w:rPr>
                <w:rFonts w:ascii="Arial"/>
                <w:sz w:val="21"/>
              </w:rPr>
            </w:pPr>
          </w:p>
          <w:p w14:paraId="2CDB876A">
            <w:pPr>
              <w:spacing w:line="252" w:lineRule="auto"/>
              <w:rPr>
                <w:rFonts w:ascii="Arial"/>
                <w:sz w:val="21"/>
              </w:rPr>
            </w:pPr>
          </w:p>
          <w:p w14:paraId="6A02BC57">
            <w:pPr>
              <w:spacing w:line="252" w:lineRule="auto"/>
              <w:rPr>
                <w:rFonts w:ascii="Arial"/>
                <w:sz w:val="21"/>
              </w:rPr>
            </w:pPr>
          </w:p>
          <w:p w14:paraId="622EA5FA">
            <w:pPr>
              <w:spacing w:line="252" w:lineRule="auto"/>
              <w:rPr>
                <w:rFonts w:ascii="Arial"/>
                <w:sz w:val="21"/>
              </w:rPr>
            </w:pPr>
          </w:p>
          <w:p w14:paraId="7FC6E8C4">
            <w:pPr>
              <w:pStyle w:val="6"/>
              <w:spacing w:before="58" w:line="333" w:lineRule="auto"/>
              <w:ind w:left="301" w:right="99" w:hanging="182"/>
              <w:rPr>
                <w:sz w:val="18"/>
                <w:szCs w:val="18"/>
              </w:rPr>
            </w:pPr>
            <w:r>
              <w:rPr>
                <w:spacing w:val="-2"/>
                <w:sz w:val="18"/>
                <w:szCs w:val="18"/>
              </w:rPr>
              <w:t>0.0023</w:t>
            </w:r>
            <w:r>
              <w:rPr>
                <w:spacing w:val="3"/>
                <w:sz w:val="18"/>
                <w:szCs w:val="18"/>
              </w:rPr>
              <w:t xml:space="preserve"> </w:t>
            </w:r>
            <w:r>
              <w:rPr>
                <w:spacing w:val="-5"/>
                <w:sz w:val="18"/>
                <w:szCs w:val="18"/>
              </w:rPr>
              <w:t>55</w:t>
            </w:r>
          </w:p>
        </w:tc>
        <w:tc>
          <w:tcPr>
            <w:tcW w:w="757" w:type="dxa"/>
            <w:gridSpan w:val="2"/>
            <w:vAlign w:val="top"/>
          </w:tcPr>
          <w:p w14:paraId="0FDAE1DE">
            <w:pPr>
              <w:spacing w:line="246" w:lineRule="auto"/>
              <w:rPr>
                <w:rFonts w:ascii="Arial"/>
                <w:sz w:val="21"/>
              </w:rPr>
            </w:pPr>
          </w:p>
          <w:p w14:paraId="26C92D0A">
            <w:pPr>
              <w:spacing w:line="246" w:lineRule="auto"/>
              <w:rPr>
                <w:rFonts w:ascii="Arial"/>
                <w:sz w:val="21"/>
              </w:rPr>
            </w:pPr>
          </w:p>
          <w:p w14:paraId="0ECC88BE">
            <w:pPr>
              <w:spacing w:line="246" w:lineRule="auto"/>
              <w:rPr>
                <w:rFonts w:ascii="Arial"/>
                <w:sz w:val="21"/>
              </w:rPr>
            </w:pPr>
          </w:p>
          <w:p w14:paraId="0D5C5103">
            <w:pPr>
              <w:spacing w:line="246" w:lineRule="auto"/>
              <w:rPr>
                <w:rFonts w:ascii="Arial"/>
                <w:sz w:val="21"/>
              </w:rPr>
            </w:pPr>
          </w:p>
          <w:p w14:paraId="23B1314E">
            <w:pPr>
              <w:spacing w:line="246" w:lineRule="auto"/>
              <w:rPr>
                <w:rFonts w:ascii="Arial"/>
                <w:sz w:val="21"/>
              </w:rPr>
            </w:pPr>
          </w:p>
          <w:p w14:paraId="38A5FA49">
            <w:pPr>
              <w:spacing w:line="246" w:lineRule="auto"/>
              <w:rPr>
                <w:rFonts w:ascii="Arial"/>
                <w:sz w:val="21"/>
              </w:rPr>
            </w:pPr>
          </w:p>
          <w:p w14:paraId="38BE1DA0">
            <w:pPr>
              <w:spacing w:line="247" w:lineRule="auto"/>
              <w:rPr>
                <w:rFonts w:ascii="Arial"/>
                <w:sz w:val="21"/>
              </w:rPr>
            </w:pPr>
          </w:p>
          <w:p w14:paraId="72D38DA3">
            <w:pPr>
              <w:pStyle w:val="6"/>
              <w:spacing w:before="58" w:line="122" w:lineRule="exact"/>
              <w:ind w:left="345"/>
              <w:rPr>
                <w:sz w:val="18"/>
                <w:szCs w:val="18"/>
              </w:rPr>
            </w:pPr>
            <w:r>
              <w:rPr>
                <w:position w:val="-3"/>
                <w:sz w:val="18"/>
                <w:szCs w:val="18"/>
              </w:rPr>
              <w:t>-</w:t>
            </w:r>
          </w:p>
        </w:tc>
        <w:tc>
          <w:tcPr>
            <w:tcW w:w="632" w:type="dxa"/>
            <w:gridSpan w:val="2"/>
            <w:vAlign w:val="top"/>
          </w:tcPr>
          <w:p w14:paraId="75E883B2">
            <w:pPr>
              <w:spacing w:line="246" w:lineRule="auto"/>
              <w:rPr>
                <w:rFonts w:ascii="Arial"/>
                <w:sz w:val="21"/>
              </w:rPr>
            </w:pPr>
          </w:p>
          <w:p w14:paraId="2D0DDE1C">
            <w:pPr>
              <w:spacing w:line="246" w:lineRule="auto"/>
              <w:rPr>
                <w:rFonts w:ascii="Arial"/>
                <w:sz w:val="21"/>
              </w:rPr>
            </w:pPr>
          </w:p>
          <w:p w14:paraId="10D9E281">
            <w:pPr>
              <w:spacing w:line="246" w:lineRule="auto"/>
              <w:rPr>
                <w:rFonts w:ascii="Arial"/>
                <w:sz w:val="21"/>
              </w:rPr>
            </w:pPr>
          </w:p>
          <w:p w14:paraId="4B133553">
            <w:pPr>
              <w:spacing w:line="246" w:lineRule="auto"/>
              <w:rPr>
                <w:rFonts w:ascii="Arial"/>
                <w:sz w:val="21"/>
              </w:rPr>
            </w:pPr>
          </w:p>
          <w:p w14:paraId="2BCEFD56">
            <w:pPr>
              <w:spacing w:line="246" w:lineRule="auto"/>
              <w:rPr>
                <w:rFonts w:ascii="Arial"/>
                <w:sz w:val="21"/>
              </w:rPr>
            </w:pPr>
          </w:p>
          <w:p w14:paraId="7DBA1707">
            <w:pPr>
              <w:spacing w:line="246" w:lineRule="auto"/>
              <w:rPr>
                <w:rFonts w:ascii="Arial"/>
                <w:sz w:val="21"/>
              </w:rPr>
            </w:pPr>
          </w:p>
          <w:p w14:paraId="14812EB3">
            <w:pPr>
              <w:spacing w:line="247" w:lineRule="auto"/>
              <w:rPr>
                <w:rFonts w:ascii="Arial"/>
                <w:sz w:val="21"/>
              </w:rPr>
            </w:pPr>
          </w:p>
          <w:p w14:paraId="5E90B36B">
            <w:pPr>
              <w:pStyle w:val="6"/>
              <w:spacing w:before="58" w:line="122" w:lineRule="exact"/>
              <w:ind w:left="239"/>
              <w:rPr>
                <w:sz w:val="18"/>
                <w:szCs w:val="18"/>
              </w:rPr>
            </w:pPr>
            <w:r>
              <w:rPr>
                <w:position w:val="-3"/>
                <w:sz w:val="18"/>
                <w:szCs w:val="18"/>
              </w:rPr>
              <w:t>—</w:t>
            </w:r>
          </w:p>
        </w:tc>
        <w:tc>
          <w:tcPr>
            <w:tcW w:w="609" w:type="dxa"/>
            <w:vMerge w:val="continue"/>
            <w:tcBorders>
              <w:top w:val="nil"/>
              <w:right w:val="single" w:color="000000" w:sz="10" w:space="0"/>
            </w:tcBorders>
            <w:vAlign w:val="top"/>
          </w:tcPr>
          <w:p w14:paraId="08B00AFE">
            <w:pPr>
              <w:rPr>
                <w:rFonts w:ascii="Arial"/>
                <w:sz w:val="21"/>
              </w:rPr>
            </w:pPr>
          </w:p>
        </w:tc>
      </w:tr>
      <w:tr w14:paraId="6480E1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477" w:type="dxa"/>
            <w:vMerge w:val="continue"/>
            <w:tcBorders>
              <w:top w:val="nil"/>
              <w:left w:val="single" w:color="000000" w:sz="10" w:space="0"/>
              <w:bottom w:val="nil"/>
            </w:tcBorders>
            <w:vAlign w:val="top"/>
          </w:tcPr>
          <w:p w14:paraId="096B8781">
            <w:pPr>
              <w:rPr>
                <w:rFonts w:ascii="Arial"/>
                <w:sz w:val="21"/>
              </w:rPr>
            </w:pPr>
          </w:p>
        </w:tc>
        <w:tc>
          <w:tcPr>
            <w:tcW w:w="8425" w:type="dxa"/>
            <w:gridSpan w:val="22"/>
            <w:tcBorders>
              <w:right w:val="single" w:color="000000" w:sz="10" w:space="0"/>
            </w:tcBorders>
            <w:vAlign w:val="top"/>
          </w:tcPr>
          <w:p w14:paraId="174CF8F4">
            <w:pPr>
              <w:pStyle w:val="6"/>
              <w:spacing w:before="130" w:line="219" w:lineRule="auto"/>
              <w:ind w:left="1423"/>
            </w:pPr>
            <w:r>
              <w:rPr>
                <w:b/>
                <w:bCs/>
                <w:spacing w:val="-2"/>
              </w:rPr>
              <w:t>表</w:t>
            </w:r>
            <w:r>
              <w:rPr>
                <w:spacing w:val="-40"/>
              </w:rPr>
              <w:t xml:space="preserve"> </w:t>
            </w:r>
            <w:r>
              <w:rPr>
                <w:rFonts w:ascii="Calibri" w:hAnsi="Calibri" w:eastAsia="Calibri" w:cs="Calibri"/>
                <w:b/>
                <w:bCs/>
                <w:spacing w:val="-2"/>
              </w:rPr>
              <w:t xml:space="preserve">4-2                  </w:t>
            </w:r>
            <w:r>
              <w:rPr>
                <w:b/>
                <w:bCs/>
                <w:spacing w:val="-2"/>
              </w:rPr>
              <w:t>项目拟建排污口基本情况一览表</w:t>
            </w:r>
          </w:p>
        </w:tc>
      </w:tr>
      <w:tr w14:paraId="41396F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7" w:type="dxa"/>
            <w:vMerge w:val="continue"/>
            <w:tcBorders>
              <w:top w:val="nil"/>
              <w:left w:val="single" w:color="000000" w:sz="10" w:space="0"/>
              <w:bottom w:val="nil"/>
            </w:tcBorders>
            <w:vAlign w:val="top"/>
          </w:tcPr>
          <w:p w14:paraId="5F2F7868">
            <w:pPr>
              <w:rPr>
                <w:rFonts w:ascii="Arial"/>
                <w:sz w:val="21"/>
              </w:rPr>
            </w:pPr>
          </w:p>
        </w:tc>
        <w:tc>
          <w:tcPr>
            <w:tcW w:w="561" w:type="dxa"/>
            <w:gridSpan w:val="2"/>
            <w:textDirection w:val="tbRlV"/>
            <w:vAlign w:val="top"/>
          </w:tcPr>
          <w:p w14:paraId="20B539E9">
            <w:pPr>
              <w:pStyle w:val="6"/>
              <w:spacing w:before="131" w:line="218" w:lineRule="auto"/>
              <w:ind w:left="93"/>
              <w:rPr>
                <w:sz w:val="20"/>
                <w:szCs w:val="20"/>
              </w:rPr>
            </w:pPr>
            <w:r>
              <w:rPr>
                <w:b/>
                <w:bCs/>
                <w:spacing w:val="6"/>
                <w:sz w:val="20"/>
                <w:szCs w:val="20"/>
              </w:rPr>
              <w:t>序</w:t>
            </w:r>
            <w:r>
              <w:rPr>
                <w:spacing w:val="13"/>
                <w:sz w:val="20"/>
                <w:szCs w:val="20"/>
              </w:rPr>
              <w:t xml:space="preserve"> </w:t>
            </w:r>
            <w:r>
              <w:rPr>
                <w:b/>
                <w:bCs/>
                <w:spacing w:val="6"/>
                <w:sz w:val="20"/>
                <w:szCs w:val="20"/>
              </w:rPr>
              <w:t>号</w:t>
            </w:r>
          </w:p>
        </w:tc>
        <w:tc>
          <w:tcPr>
            <w:tcW w:w="1554" w:type="dxa"/>
            <w:gridSpan w:val="4"/>
            <w:vAlign w:val="top"/>
          </w:tcPr>
          <w:p w14:paraId="25B73EE9">
            <w:pPr>
              <w:pStyle w:val="6"/>
              <w:spacing w:before="254" w:line="230" w:lineRule="auto"/>
              <w:ind w:left="565"/>
              <w:rPr>
                <w:sz w:val="20"/>
                <w:szCs w:val="20"/>
              </w:rPr>
            </w:pPr>
            <w:r>
              <w:rPr>
                <w:b/>
                <w:bCs/>
                <w:spacing w:val="2"/>
                <w:sz w:val="20"/>
                <w:szCs w:val="20"/>
              </w:rPr>
              <w:t>名称</w:t>
            </w:r>
          </w:p>
        </w:tc>
        <w:tc>
          <w:tcPr>
            <w:tcW w:w="847" w:type="dxa"/>
            <w:gridSpan w:val="2"/>
            <w:vAlign w:val="top"/>
          </w:tcPr>
          <w:p w14:paraId="3401D921">
            <w:pPr>
              <w:pStyle w:val="6"/>
              <w:spacing w:before="254" w:line="228" w:lineRule="auto"/>
              <w:ind w:left="215"/>
              <w:rPr>
                <w:sz w:val="20"/>
                <w:szCs w:val="20"/>
              </w:rPr>
            </w:pPr>
            <w:r>
              <w:rPr>
                <w:b/>
                <w:bCs/>
                <w:spacing w:val="3"/>
                <w:sz w:val="20"/>
                <w:szCs w:val="20"/>
              </w:rPr>
              <w:t>编号</w:t>
            </w:r>
          </w:p>
        </w:tc>
        <w:tc>
          <w:tcPr>
            <w:tcW w:w="849" w:type="dxa"/>
            <w:gridSpan w:val="2"/>
            <w:vAlign w:val="top"/>
          </w:tcPr>
          <w:p w14:paraId="3EF7726D">
            <w:pPr>
              <w:pStyle w:val="6"/>
              <w:spacing w:before="254" w:line="228" w:lineRule="auto"/>
              <w:ind w:left="218"/>
              <w:rPr>
                <w:sz w:val="20"/>
                <w:szCs w:val="20"/>
              </w:rPr>
            </w:pPr>
            <w:r>
              <w:rPr>
                <w:b/>
                <w:bCs/>
                <w:spacing w:val="3"/>
                <w:sz w:val="20"/>
                <w:szCs w:val="20"/>
              </w:rPr>
              <w:t>类型</w:t>
            </w:r>
          </w:p>
        </w:tc>
        <w:tc>
          <w:tcPr>
            <w:tcW w:w="2119" w:type="dxa"/>
            <w:gridSpan w:val="6"/>
            <w:vAlign w:val="top"/>
          </w:tcPr>
          <w:p w14:paraId="6D177E05">
            <w:pPr>
              <w:pStyle w:val="6"/>
              <w:spacing w:before="255" w:line="228" w:lineRule="auto"/>
              <w:ind w:left="646"/>
              <w:rPr>
                <w:sz w:val="20"/>
                <w:szCs w:val="20"/>
              </w:rPr>
            </w:pPr>
            <w:r>
              <w:rPr>
                <w:b/>
                <w:bCs/>
                <w:spacing w:val="6"/>
                <w:sz w:val="20"/>
                <w:szCs w:val="20"/>
              </w:rPr>
              <w:t>地理坐标</w:t>
            </w:r>
          </w:p>
        </w:tc>
        <w:tc>
          <w:tcPr>
            <w:tcW w:w="706" w:type="dxa"/>
            <w:gridSpan w:val="2"/>
            <w:vAlign w:val="top"/>
          </w:tcPr>
          <w:p w14:paraId="466B1897">
            <w:pPr>
              <w:pStyle w:val="6"/>
              <w:spacing w:before="254" w:line="228" w:lineRule="auto"/>
              <w:ind w:left="159"/>
              <w:rPr>
                <w:sz w:val="20"/>
                <w:szCs w:val="20"/>
              </w:rPr>
            </w:pPr>
            <w:r>
              <w:rPr>
                <w:b/>
                <w:bCs/>
                <w:spacing w:val="1"/>
                <w:sz w:val="20"/>
                <w:szCs w:val="20"/>
              </w:rPr>
              <w:t>高度</w:t>
            </w:r>
          </w:p>
        </w:tc>
        <w:tc>
          <w:tcPr>
            <w:tcW w:w="849" w:type="dxa"/>
            <w:gridSpan w:val="2"/>
            <w:vAlign w:val="top"/>
          </w:tcPr>
          <w:p w14:paraId="40FF2036">
            <w:pPr>
              <w:pStyle w:val="6"/>
              <w:spacing w:before="94" w:line="249" w:lineRule="auto"/>
              <w:ind w:left="252" w:right="98" w:hanging="130"/>
              <w:rPr>
                <w:sz w:val="20"/>
                <w:szCs w:val="20"/>
              </w:rPr>
            </w:pPr>
            <w:r>
              <w:rPr>
                <w:b/>
                <w:bCs/>
                <w:spacing w:val="5"/>
                <w:sz w:val="20"/>
                <w:szCs w:val="20"/>
              </w:rPr>
              <w:t>排气筒</w:t>
            </w:r>
            <w:r>
              <w:rPr>
                <w:sz w:val="20"/>
                <w:szCs w:val="20"/>
              </w:rPr>
              <w:t xml:space="preserve"> </w:t>
            </w:r>
            <w:r>
              <w:rPr>
                <w:b/>
                <w:bCs/>
                <w:spacing w:val="-9"/>
                <w:sz w:val="20"/>
                <w:szCs w:val="20"/>
              </w:rPr>
              <w:t>内径</w:t>
            </w:r>
          </w:p>
        </w:tc>
        <w:tc>
          <w:tcPr>
            <w:tcW w:w="940" w:type="dxa"/>
            <w:gridSpan w:val="2"/>
            <w:tcBorders>
              <w:right w:val="single" w:color="000000" w:sz="10" w:space="0"/>
            </w:tcBorders>
            <w:vAlign w:val="top"/>
          </w:tcPr>
          <w:p w14:paraId="732E6D3B">
            <w:pPr>
              <w:pStyle w:val="6"/>
              <w:spacing w:before="255" w:line="228" w:lineRule="auto"/>
              <w:ind w:left="216"/>
              <w:rPr>
                <w:sz w:val="20"/>
                <w:szCs w:val="20"/>
              </w:rPr>
            </w:pPr>
            <w:r>
              <w:rPr>
                <w:b/>
                <w:bCs/>
                <w:spacing w:val="3"/>
                <w:sz w:val="20"/>
                <w:szCs w:val="20"/>
              </w:rPr>
              <w:t>温度</w:t>
            </w:r>
          </w:p>
        </w:tc>
      </w:tr>
      <w:tr w14:paraId="399C20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3" w:hRule="atLeast"/>
        </w:trPr>
        <w:tc>
          <w:tcPr>
            <w:tcW w:w="477" w:type="dxa"/>
            <w:vMerge w:val="continue"/>
            <w:tcBorders>
              <w:top w:val="nil"/>
              <w:left w:val="single" w:color="000000" w:sz="10" w:space="0"/>
              <w:bottom w:val="nil"/>
            </w:tcBorders>
            <w:vAlign w:val="top"/>
          </w:tcPr>
          <w:p w14:paraId="0FCF5174">
            <w:pPr>
              <w:rPr>
                <w:rFonts w:ascii="Arial"/>
                <w:sz w:val="21"/>
              </w:rPr>
            </w:pPr>
          </w:p>
        </w:tc>
        <w:tc>
          <w:tcPr>
            <w:tcW w:w="561" w:type="dxa"/>
            <w:gridSpan w:val="2"/>
            <w:vAlign w:val="top"/>
          </w:tcPr>
          <w:p w14:paraId="51F35316">
            <w:pPr>
              <w:spacing w:line="379" w:lineRule="auto"/>
              <w:rPr>
                <w:rFonts w:ascii="Arial"/>
                <w:sz w:val="21"/>
              </w:rPr>
            </w:pPr>
          </w:p>
          <w:p w14:paraId="58B6A0D7">
            <w:pPr>
              <w:pStyle w:val="6"/>
              <w:spacing w:before="65" w:line="189" w:lineRule="auto"/>
              <w:ind w:left="291"/>
              <w:rPr>
                <w:sz w:val="20"/>
                <w:szCs w:val="20"/>
              </w:rPr>
            </w:pPr>
            <w:r>
              <w:rPr>
                <w:sz w:val="20"/>
                <w:szCs w:val="20"/>
              </w:rPr>
              <w:t>1</w:t>
            </w:r>
          </w:p>
        </w:tc>
        <w:tc>
          <w:tcPr>
            <w:tcW w:w="1554" w:type="dxa"/>
            <w:gridSpan w:val="4"/>
            <w:vAlign w:val="top"/>
          </w:tcPr>
          <w:p w14:paraId="77567CA2">
            <w:pPr>
              <w:pStyle w:val="6"/>
              <w:spacing w:before="256" w:line="280" w:lineRule="auto"/>
              <w:ind w:left="248" w:right="154" w:hanging="104"/>
              <w:rPr>
                <w:sz w:val="20"/>
                <w:szCs w:val="20"/>
              </w:rPr>
            </w:pPr>
            <w:r>
              <w:rPr>
                <w:spacing w:val="8"/>
                <w:sz w:val="20"/>
                <w:szCs w:val="20"/>
              </w:rPr>
              <w:t>拆解车间切割</w:t>
            </w:r>
            <w:r>
              <w:rPr>
                <w:sz w:val="20"/>
                <w:szCs w:val="20"/>
              </w:rPr>
              <w:t xml:space="preserve"> </w:t>
            </w:r>
            <w:r>
              <w:rPr>
                <w:spacing w:val="8"/>
                <w:sz w:val="20"/>
                <w:szCs w:val="20"/>
              </w:rPr>
              <w:t>废气排气筒</w:t>
            </w:r>
          </w:p>
        </w:tc>
        <w:tc>
          <w:tcPr>
            <w:tcW w:w="847" w:type="dxa"/>
            <w:gridSpan w:val="2"/>
            <w:vAlign w:val="top"/>
          </w:tcPr>
          <w:p w14:paraId="1AB27378">
            <w:pPr>
              <w:spacing w:line="378" w:lineRule="auto"/>
              <w:rPr>
                <w:rFonts w:ascii="Arial"/>
                <w:sz w:val="21"/>
              </w:rPr>
            </w:pPr>
          </w:p>
          <w:p w14:paraId="4FF0DF98">
            <w:pPr>
              <w:pStyle w:val="6"/>
              <w:spacing w:before="65" w:line="190" w:lineRule="auto"/>
              <w:ind w:left="158"/>
              <w:rPr>
                <w:sz w:val="20"/>
                <w:szCs w:val="20"/>
              </w:rPr>
            </w:pPr>
            <w:r>
              <w:rPr>
                <w:sz w:val="20"/>
                <w:szCs w:val="20"/>
              </w:rPr>
              <w:t>DA</w:t>
            </w:r>
            <w:r>
              <w:rPr>
                <w:spacing w:val="6"/>
                <w:sz w:val="20"/>
                <w:szCs w:val="20"/>
              </w:rPr>
              <w:t>001</w:t>
            </w:r>
          </w:p>
        </w:tc>
        <w:tc>
          <w:tcPr>
            <w:tcW w:w="849" w:type="dxa"/>
            <w:gridSpan w:val="2"/>
            <w:vAlign w:val="top"/>
          </w:tcPr>
          <w:p w14:paraId="4ED0BC30">
            <w:pPr>
              <w:pStyle w:val="6"/>
              <w:spacing w:before="256" w:line="281" w:lineRule="auto"/>
              <w:ind w:left="219" w:right="110" w:hanging="103"/>
              <w:rPr>
                <w:sz w:val="20"/>
                <w:szCs w:val="20"/>
              </w:rPr>
            </w:pPr>
            <w:r>
              <w:rPr>
                <w:spacing w:val="5"/>
                <w:sz w:val="20"/>
                <w:szCs w:val="20"/>
              </w:rPr>
              <w:t>一般排</w:t>
            </w:r>
            <w:r>
              <w:rPr>
                <w:spacing w:val="1"/>
                <w:sz w:val="20"/>
                <w:szCs w:val="20"/>
              </w:rPr>
              <w:t xml:space="preserve"> </w:t>
            </w:r>
            <w:r>
              <w:rPr>
                <w:spacing w:val="3"/>
                <w:sz w:val="20"/>
                <w:szCs w:val="20"/>
              </w:rPr>
              <w:t>污口</w:t>
            </w:r>
          </w:p>
        </w:tc>
        <w:tc>
          <w:tcPr>
            <w:tcW w:w="2119" w:type="dxa"/>
            <w:gridSpan w:val="6"/>
            <w:vAlign w:val="top"/>
          </w:tcPr>
          <w:p w14:paraId="3AACB8A8">
            <w:pPr>
              <w:pStyle w:val="6"/>
              <w:spacing w:before="109" w:line="206" w:lineRule="auto"/>
              <w:ind w:left="276"/>
              <w:rPr>
                <w:sz w:val="20"/>
                <w:szCs w:val="20"/>
              </w:rPr>
            </w:pPr>
            <w:r>
              <w:rPr>
                <w:sz w:val="20"/>
                <w:szCs w:val="20"/>
              </w:rPr>
              <w:t>E124</w:t>
            </w:r>
            <w:r>
              <w:rPr>
                <w:spacing w:val="-68"/>
                <w:sz w:val="20"/>
                <w:szCs w:val="20"/>
              </w:rPr>
              <w:t xml:space="preserve"> </w:t>
            </w:r>
            <w:r>
              <w:rPr>
                <w:sz w:val="20"/>
                <w:szCs w:val="20"/>
              </w:rPr>
              <w:t>°49</w:t>
            </w:r>
            <w:r>
              <w:rPr>
                <w:spacing w:val="-63"/>
                <w:sz w:val="20"/>
                <w:szCs w:val="20"/>
              </w:rPr>
              <w:t xml:space="preserve"> </w:t>
            </w:r>
            <w:r>
              <w:rPr>
                <w:sz w:val="20"/>
                <w:szCs w:val="20"/>
              </w:rPr>
              <w:t>′42.03</w:t>
            </w:r>
          </w:p>
          <w:p w14:paraId="2E8FFAB9">
            <w:pPr>
              <w:pStyle w:val="6"/>
              <w:spacing w:before="95" w:line="207" w:lineRule="auto"/>
              <w:ind w:left="124"/>
              <w:rPr>
                <w:sz w:val="20"/>
                <w:szCs w:val="20"/>
              </w:rPr>
            </w:pPr>
            <w:r>
              <w:rPr>
                <w:spacing w:val="-4"/>
                <w:sz w:val="20"/>
                <w:szCs w:val="20"/>
              </w:rPr>
              <w:t>6</w:t>
            </w:r>
            <w:r>
              <w:rPr>
                <w:spacing w:val="-55"/>
                <w:sz w:val="20"/>
                <w:szCs w:val="20"/>
              </w:rPr>
              <w:t xml:space="preserve"> </w:t>
            </w:r>
            <w:r>
              <w:rPr>
                <w:spacing w:val="-4"/>
                <w:sz w:val="20"/>
                <w:szCs w:val="20"/>
              </w:rPr>
              <w:t>″</w:t>
            </w:r>
            <w:r>
              <w:rPr>
                <w:spacing w:val="-75"/>
                <w:sz w:val="20"/>
                <w:szCs w:val="20"/>
              </w:rPr>
              <w:t xml:space="preserve"> </w:t>
            </w:r>
            <w:r>
              <w:rPr>
                <w:spacing w:val="-4"/>
                <w:sz w:val="20"/>
                <w:szCs w:val="20"/>
              </w:rPr>
              <w:t>，N47</w:t>
            </w:r>
            <w:r>
              <w:rPr>
                <w:spacing w:val="-74"/>
                <w:sz w:val="20"/>
                <w:szCs w:val="20"/>
              </w:rPr>
              <w:t xml:space="preserve"> </w:t>
            </w:r>
            <w:r>
              <w:rPr>
                <w:spacing w:val="-4"/>
                <w:sz w:val="20"/>
                <w:szCs w:val="20"/>
              </w:rPr>
              <w:t>°09</w:t>
            </w:r>
            <w:r>
              <w:rPr>
                <w:spacing w:val="-61"/>
                <w:sz w:val="20"/>
                <w:szCs w:val="20"/>
              </w:rPr>
              <w:t xml:space="preserve"> </w:t>
            </w:r>
            <w:r>
              <w:rPr>
                <w:spacing w:val="-4"/>
                <w:sz w:val="20"/>
                <w:szCs w:val="20"/>
              </w:rPr>
              <w:t>′32.3</w:t>
            </w:r>
          </w:p>
          <w:p w14:paraId="6D45F245">
            <w:pPr>
              <w:pStyle w:val="6"/>
              <w:spacing w:before="97" w:line="188" w:lineRule="auto"/>
              <w:ind w:left="858"/>
              <w:rPr>
                <w:sz w:val="20"/>
                <w:szCs w:val="20"/>
              </w:rPr>
            </w:pPr>
            <w:r>
              <w:rPr>
                <w:sz w:val="20"/>
                <w:szCs w:val="20"/>
              </w:rPr>
              <w:t>89</w:t>
            </w:r>
            <w:r>
              <w:rPr>
                <w:spacing w:val="-61"/>
                <w:sz w:val="20"/>
                <w:szCs w:val="20"/>
              </w:rPr>
              <w:t xml:space="preserve"> </w:t>
            </w:r>
            <w:r>
              <w:rPr>
                <w:sz w:val="20"/>
                <w:szCs w:val="20"/>
              </w:rPr>
              <w:t>″</w:t>
            </w:r>
          </w:p>
        </w:tc>
        <w:tc>
          <w:tcPr>
            <w:tcW w:w="706" w:type="dxa"/>
            <w:gridSpan w:val="2"/>
            <w:vAlign w:val="top"/>
          </w:tcPr>
          <w:p w14:paraId="748A54A2">
            <w:pPr>
              <w:spacing w:line="347" w:lineRule="auto"/>
              <w:rPr>
                <w:rFonts w:ascii="Arial"/>
                <w:sz w:val="21"/>
              </w:rPr>
            </w:pPr>
          </w:p>
          <w:p w14:paraId="11468B66">
            <w:pPr>
              <w:pStyle w:val="6"/>
              <w:spacing w:before="65" w:line="268" w:lineRule="exact"/>
              <w:ind w:left="222"/>
              <w:rPr>
                <w:sz w:val="20"/>
                <w:szCs w:val="20"/>
              </w:rPr>
            </w:pPr>
            <w:r>
              <w:rPr>
                <w:spacing w:val="-3"/>
                <w:position w:val="1"/>
                <w:sz w:val="20"/>
                <w:szCs w:val="20"/>
              </w:rPr>
              <w:t>15m</w:t>
            </w:r>
          </w:p>
        </w:tc>
        <w:tc>
          <w:tcPr>
            <w:tcW w:w="849" w:type="dxa"/>
            <w:gridSpan w:val="2"/>
            <w:vAlign w:val="top"/>
          </w:tcPr>
          <w:p w14:paraId="5F2A5BD4">
            <w:pPr>
              <w:spacing w:line="347" w:lineRule="auto"/>
              <w:rPr>
                <w:rFonts w:ascii="Arial"/>
                <w:sz w:val="21"/>
              </w:rPr>
            </w:pPr>
          </w:p>
          <w:p w14:paraId="2AE6313E">
            <w:pPr>
              <w:pStyle w:val="6"/>
              <w:spacing w:before="65" w:line="268" w:lineRule="exact"/>
              <w:ind w:left="230"/>
              <w:rPr>
                <w:sz w:val="20"/>
                <w:szCs w:val="20"/>
              </w:rPr>
            </w:pPr>
            <w:r>
              <w:rPr>
                <w:spacing w:val="2"/>
                <w:position w:val="1"/>
                <w:sz w:val="20"/>
                <w:szCs w:val="20"/>
              </w:rPr>
              <w:t>0.2m</w:t>
            </w:r>
          </w:p>
        </w:tc>
        <w:tc>
          <w:tcPr>
            <w:tcW w:w="940" w:type="dxa"/>
            <w:gridSpan w:val="2"/>
            <w:tcBorders>
              <w:right w:val="single" w:color="000000" w:sz="10" w:space="0"/>
            </w:tcBorders>
            <w:vAlign w:val="top"/>
          </w:tcPr>
          <w:p w14:paraId="0DB04F68">
            <w:pPr>
              <w:spacing w:line="347" w:lineRule="auto"/>
              <w:rPr>
                <w:rFonts w:ascii="Arial"/>
                <w:sz w:val="21"/>
              </w:rPr>
            </w:pPr>
          </w:p>
          <w:p w14:paraId="0CE15260">
            <w:pPr>
              <w:pStyle w:val="6"/>
              <w:spacing w:before="65" w:line="266" w:lineRule="exact"/>
              <w:ind w:left="219"/>
              <w:rPr>
                <w:sz w:val="20"/>
                <w:szCs w:val="20"/>
              </w:rPr>
            </w:pPr>
            <w:r>
              <w:rPr>
                <w:spacing w:val="2"/>
                <w:position w:val="1"/>
                <w:sz w:val="20"/>
                <w:szCs w:val="20"/>
              </w:rPr>
              <w:t>20℃</w:t>
            </w:r>
          </w:p>
        </w:tc>
      </w:tr>
      <w:tr w14:paraId="74CE9CC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3" w:hRule="atLeast"/>
        </w:trPr>
        <w:tc>
          <w:tcPr>
            <w:tcW w:w="477" w:type="dxa"/>
            <w:vMerge w:val="continue"/>
            <w:tcBorders>
              <w:top w:val="nil"/>
              <w:left w:val="single" w:color="000000" w:sz="10" w:space="0"/>
              <w:bottom w:val="nil"/>
            </w:tcBorders>
            <w:vAlign w:val="top"/>
          </w:tcPr>
          <w:p w14:paraId="6B7661DE">
            <w:pPr>
              <w:rPr>
                <w:rFonts w:ascii="Arial"/>
                <w:sz w:val="21"/>
              </w:rPr>
            </w:pPr>
          </w:p>
        </w:tc>
        <w:tc>
          <w:tcPr>
            <w:tcW w:w="561" w:type="dxa"/>
            <w:gridSpan w:val="2"/>
            <w:vAlign w:val="top"/>
          </w:tcPr>
          <w:p w14:paraId="6CDE149F">
            <w:pPr>
              <w:spacing w:line="383" w:lineRule="auto"/>
              <w:rPr>
                <w:rFonts w:ascii="Arial"/>
                <w:sz w:val="21"/>
              </w:rPr>
            </w:pPr>
          </w:p>
          <w:p w14:paraId="36D77F17">
            <w:pPr>
              <w:pStyle w:val="6"/>
              <w:spacing w:before="65" w:line="189" w:lineRule="auto"/>
              <w:ind w:left="278"/>
              <w:rPr>
                <w:sz w:val="20"/>
                <w:szCs w:val="20"/>
              </w:rPr>
            </w:pPr>
            <w:r>
              <w:rPr>
                <w:sz w:val="20"/>
                <w:szCs w:val="20"/>
              </w:rPr>
              <w:t>2</w:t>
            </w:r>
          </w:p>
        </w:tc>
        <w:tc>
          <w:tcPr>
            <w:tcW w:w="1554" w:type="dxa"/>
            <w:gridSpan w:val="4"/>
            <w:vAlign w:val="top"/>
          </w:tcPr>
          <w:p w14:paraId="6FDF8431">
            <w:pPr>
              <w:pStyle w:val="6"/>
              <w:spacing w:before="257" w:line="280" w:lineRule="auto"/>
              <w:ind w:left="673" w:right="154" w:hanging="528"/>
              <w:rPr>
                <w:sz w:val="20"/>
                <w:szCs w:val="20"/>
              </w:rPr>
            </w:pPr>
            <w:r>
              <w:rPr>
                <w:spacing w:val="8"/>
                <w:sz w:val="20"/>
                <w:szCs w:val="20"/>
              </w:rPr>
              <w:t>有机废气排气</w:t>
            </w:r>
            <w:r>
              <w:rPr>
                <w:sz w:val="20"/>
                <w:szCs w:val="20"/>
              </w:rPr>
              <w:t xml:space="preserve"> 筒</w:t>
            </w:r>
          </w:p>
        </w:tc>
        <w:tc>
          <w:tcPr>
            <w:tcW w:w="847" w:type="dxa"/>
            <w:gridSpan w:val="2"/>
            <w:vAlign w:val="top"/>
          </w:tcPr>
          <w:p w14:paraId="356E1A70">
            <w:pPr>
              <w:spacing w:line="382" w:lineRule="auto"/>
              <w:rPr>
                <w:rFonts w:ascii="Arial"/>
                <w:sz w:val="21"/>
              </w:rPr>
            </w:pPr>
          </w:p>
          <w:p w14:paraId="2F2EA5F6">
            <w:pPr>
              <w:pStyle w:val="6"/>
              <w:spacing w:before="65" w:line="190" w:lineRule="auto"/>
              <w:ind w:left="158"/>
              <w:rPr>
                <w:sz w:val="20"/>
                <w:szCs w:val="20"/>
              </w:rPr>
            </w:pPr>
            <w:r>
              <w:rPr>
                <w:sz w:val="20"/>
                <w:szCs w:val="20"/>
              </w:rPr>
              <w:t>DA</w:t>
            </w:r>
            <w:r>
              <w:rPr>
                <w:spacing w:val="6"/>
                <w:sz w:val="20"/>
                <w:szCs w:val="20"/>
              </w:rPr>
              <w:t>002</w:t>
            </w:r>
          </w:p>
        </w:tc>
        <w:tc>
          <w:tcPr>
            <w:tcW w:w="849" w:type="dxa"/>
            <w:gridSpan w:val="2"/>
            <w:vAlign w:val="top"/>
          </w:tcPr>
          <w:p w14:paraId="7EAC58D2">
            <w:pPr>
              <w:pStyle w:val="6"/>
              <w:spacing w:before="258" w:line="281" w:lineRule="auto"/>
              <w:ind w:left="219" w:right="110" w:hanging="103"/>
              <w:rPr>
                <w:sz w:val="20"/>
                <w:szCs w:val="20"/>
              </w:rPr>
            </w:pPr>
            <w:r>
              <w:rPr>
                <w:spacing w:val="5"/>
                <w:sz w:val="20"/>
                <w:szCs w:val="20"/>
              </w:rPr>
              <w:t>一般排</w:t>
            </w:r>
            <w:r>
              <w:rPr>
                <w:spacing w:val="1"/>
                <w:sz w:val="20"/>
                <w:szCs w:val="20"/>
              </w:rPr>
              <w:t xml:space="preserve"> </w:t>
            </w:r>
            <w:r>
              <w:rPr>
                <w:spacing w:val="3"/>
                <w:sz w:val="20"/>
                <w:szCs w:val="20"/>
              </w:rPr>
              <w:t>污口</w:t>
            </w:r>
          </w:p>
        </w:tc>
        <w:tc>
          <w:tcPr>
            <w:tcW w:w="2119" w:type="dxa"/>
            <w:gridSpan w:val="6"/>
            <w:vAlign w:val="top"/>
          </w:tcPr>
          <w:p w14:paraId="50E94C56">
            <w:pPr>
              <w:pStyle w:val="6"/>
              <w:spacing w:before="111" w:line="206" w:lineRule="auto"/>
              <w:ind w:left="276"/>
              <w:rPr>
                <w:sz w:val="20"/>
                <w:szCs w:val="20"/>
              </w:rPr>
            </w:pPr>
            <w:r>
              <w:rPr>
                <w:sz w:val="20"/>
                <w:szCs w:val="20"/>
              </w:rPr>
              <w:t>E124</w:t>
            </w:r>
            <w:r>
              <w:rPr>
                <w:spacing w:val="-68"/>
                <w:sz w:val="20"/>
                <w:szCs w:val="20"/>
              </w:rPr>
              <w:t xml:space="preserve"> </w:t>
            </w:r>
            <w:r>
              <w:rPr>
                <w:sz w:val="20"/>
                <w:szCs w:val="20"/>
              </w:rPr>
              <w:t>°49</w:t>
            </w:r>
            <w:r>
              <w:rPr>
                <w:spacing w:val="-63"/>
                <w:sz w:val="20"/>
                <w:szCs w:val="20"/>
              </w:rPr>
              <w:t xml:space="preserve"> </w:t>
            </w:r>
            <w:r>
              <w:rPr>
                <w:sz w:val="20"/>
                <w:szCs w:val="20"/>
              </w:rPr>
              <w:t>′42.02</w:t>
            </w:r>
          </w:p>
          <w:p w14:paraId="156B5261">
            <w:pPr>
              <w:pStyle w:val="6"/>
              <w:spacing w:before="97" w:line="207" w:lineRule="auto"/>
              <w:ind w:left="127"/>
              <w:rPr>
                <w:sz w:val="20"/>
                <w:szCs w:val="20"/>
              </w:rPr>
            </w:pPr>
            <w:r>
              <w:rPr>
                <w:spacing w:val="-4"/>
                <w:sz w:val="20"/>
                <w:szCs w:val="20"/>
              </w:rPr>
              <w:t>5</w:t>
            </w:r>
            <w:r>
              <w:rPr>
                <w:spacing w:val="-57"/>
                <w:sz w:val="20"/>
                <w:szCs w:val="20"/>
              </w:rPr>
              <w:t xml:space="preserve"> </w:t>
            </w:r>
            <w:r>
              <w:rPr>
                <w:spacing w:val="-4"/>
                <w:sz w:val="20"/>
                <w:szCs w:val="20"/>
              </w:rPr>
              <w:t>″</w:t>
            </w:r>
            <w:r>
              <w:rPr>
                <w:spacing w:val="-75"/>
                <w:sz w:val="20"/>
                <w:szCs w:val="20"/>
              </w:rPr>
              <w:t xml:space="preserve"> </w:t>
            </w:r>
            <w:r>
              <w:rPr>
                <w:spacing w:val="-4"/>
                <w:sz w:val="20"/>
                <w:szCs w:val="20"/>
              </w:rPr>
              <w:t>，N47</w:t>
            </w:r>
            <w:r>
              <w:rPr>
                <w:spacing w:val="-75"/>
                <w:sz w:val="20"/>
                <w:szCs w:val="20"/>
              </w:rPr>
              <w:t xml:space="preserve"> </w:t>
            </w:r>
            <w:r>
              <w:rPr>
                <w:spacing w:val="-4"/>
                <w:sz w:val="20"/>
                <w:szCs w:val="20"/>
              </w:rPr>
              <w:t>°09</w:t>
            </w:r>
            <w:r>
              <w:rPr>
                <w:spacing w:val="-61"/>
                <w:sz w:val="20"/>
                <w:szCs w:val="20"/>
              </w:rPr>
              <w:t xml:space="preserve"> </w:t>
            </w:r>
            <w:r>
              <w:rPr>
                <w:spacing w:val="-4"/>
                <w:sz w:val="20"/>
                <w:szCs w:val="20"/>
              </w:rPr>
              <w:t>′32.3</w:t>
            </w:r>
          </w:p>
          <w:p w14:paraId="44EF4143">
            <w:pPr>
              <w:pStyle w:val="6"/>
              <w:spacing w:before="95" w:line="186" w:lineRule="auto"/>
              <w:ind w:left="856"/>
              <w:rPr>
                <w:sz w:val="20"/>
                <w:szCs w:val="20"/>
              </w:rPr>
            </w:pPr>
            <w:r>
              <w:rPr>
                <w:sz w:val="20"/>
                <w:szCs w:val="20"/>
              </w:rPr>
              <w:t>44</w:t>
            </w:r>
            <w:r>
              <w:rPr>
                <w:spacing w:val="-59"/>
                <w:sz w:val="20"/>
                <w:szCs w:val="20"/>
              </w:rPr>
              <w:t xml:space="preserve"> </w:t>
            </w:r>
            <w:r>
              <w:rPr>
                <w:sz w:val="20"/>
                <w:szCs w:val="20"/>
              </w:rPr>
              <w:t>″</w:t>
            </w:r>
          </w:p>
        </w:tc>
        <w:tc>
          <w:tcPr>
            <w:tcW w:w="706" w:type="dxa"/>
            <w:gridSpan w:val="2"/>
            <w:vAlign w:val="top"/>
          </w:tcPr>
          <w:p w14:paraId="0B48ABF2">
            <w:pPr>
              <w:spacing w:line="351" w:lineRule="auto"/>
              <w:rPr>
                <w:rFonts w:ascii="Arial"/>
                <w:sz w:val="21"/>
              </w:rPr>
            </w:pPr>
          </w:p>
          <w:p w14:paraId="5E8B2687">
            <w:pPr>
              <w:pStyle w:val="6"/>
              <w:spacing w:before="65" w:line="268" w:lineRule="exact"/>
              <w:ind w:left="222"/>
              <w:rPr>
                <w:sz w:val="20"/>
                <w:szCs w:val="20"/>
              </w:rPr>
            </w:pPr>
            <w:r>
              <w:rPr>
                <w:spacing w:val="-3"/>
                <w:position w:val="1"/>
                <w:sz w:val="20"/>
                <w:szCs w:val="20"/>
              </w:rPr>
              <w:t>15m</w:t>
            </w:r>
          </w:p>
        </w:tc>
        <w:tc>
          <w:tcPr>
            <w:tcW w:w="849" w:type="dxa"/>
            <w:gridSpan w:val="2"/>
            <w:vAlign w:val="top"/>
          </w:tcPr>
          <w:p w14:paraId="03BFAB85">
            <w:pPr>
              <w:spacing w:line="351" w:lineRule="auto"/>
              <w:rPr>
                <w:rFonts w:ascii="Arial"/>
                <w:sz w:val="21"/>
              </w:rPr>
            </w:pPr>
          </w:p>
          <w:p w14:paraId="0E333B3A">
            <w:pPr>
              <w:pStyle w:val="6"/>
              <w:spacing w:before="65" w:line="268" w:lineRule="exact"/>
              <w:ind w:left="230"/>
              <w:rPr>
                <w:sz w:val="20"/>
                <w:szCs w:val="20"/>
              </w:rPr>
            </w:pPr>
            <w:r>
              <w:rPr>
                <w:spacing w:val="2"/>
                <w:position w:val="1"/>
                <w:sz w:val="20"/>
                <w:szCs w:val="20"/>
              </w:rPr>
              <w:t>0.2m</w:t>
            </w:r>
          </w:p>
        </w:tc>
        <w:tc>
          <w:tcPr>
            <w:tcW w:w="940" w:type="dxa"/>
            <w:gridSpan w:val="2"/>
            <w:tcBorders>
              <w:right w:val="single" w:color="000000" w:sz="10" w:space="0"/>
            </w:tcBorders>
            <w:vAlign w:val="top"/>
          </w:tcPr>
          <w:p w14:paraId="1296D16C">
            <w:pPr>
              <w:spacing w:line="351" w:lineRule="auto"/>
              <w:rPr>
                <w:rFonts w:ascii="Arial"/>
                <w:sz w:val="21"/>
              </w:rPr>
            </w:pPr>
          </w:p>
          <w:p w14:paraId="60D61B38">
            <w:pPr>
              <w:pStyle w:val="6"/>
              <w:spacing w:before="65" w:line="266" w:lineRule="exact"/>
              <w:ind w:left="219"/>
              <w:rPr>
                <w:sz w:val="20"/>
                <w:szCs w:val="20"/>
              </w:rPr>
            </w:pPr>
            <w:r>
              <w:rPr>
                <w:spacing w:val="2"/>
                <w:position w:val="1"/>
                <w:sz w:val="20"/>
                <w:szCs w:val="20"/>
              </w:rPr>
              <w:t>20℃</w:t>
            </w:r>
          </w:p>
        </w:tc>
      </w:tr>
      <w:tr w14:paraId="08EA926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8" w:hRule="atLeast"/>
        </w:trPr>
        <w:tc>
          <w:tcPr>
            <w:tcW w:w="477" w:type="dxa"/>
            <w:vMerge w:val="continue"/>
            <w:tcBorders>
              <w:top w:val="nil"/>
              <w:left w:val="single" w:color="000000" w:sz="10" w:space="0"/>
              <w:bottom w:val="single" w:color="000000" w:sz="10" w:space="0"/>
            </w:tcBorders>
            <w:vAlign w:val="top"/>
          </w:tcPr>
          <w:p w14:paraId="2F18A723">
            <w:pPr>
              <w:rPr>
                <w:rFonts w:ascii="Arial"/>
                <w:sz w:val="21"/>
              </w:rPr>
            </w:pPr>
          </w:p>
        </w:tc>
        <w:tc>
          <w:tcPr>
            <w:tcW w:w="8425" w:type="dxa"/>
            <w:gridSpan w:val="22"/>
            <w:tcBorders>
              <w:bottom w:val="single" w:color="000000" w:sz="10" w:space="0"/>
              <w:right w:val="single" w:color="000000" w:sz="10" w:space="0"/>
            </w:tcBorders>
            <w:vAlign w:val="top"/>
          </w:tcPr>
          <w:p w14:paraId="7CF4914E">
            <w:pPr>
              <w:pStyle w:val="6"/>
              <w:spacing w:before="137" w:line="336" w:lineRule="auto"/>
              <w:ind w:left="104" w:right="94" w:firstLine="480"/>
              <w:jc w:val="both"/>
            </w:pPr>
            <w:r>
              <w:rPr>
                <w:spacing w:val="1"/>
              </w:rPr>
              <w:t>本项目采取措施后，颗粒物、非甲烷总烃均满足《大气污染物综合排放标</w:t>
            </w:r>
            <w:r>
              <w:rPr>
                <w:spacing w:val="16"/>
              </w:rPr>
              <w:t xml:space="preserve"> </w:t>
            </w:r>
            <w:r>
              <w:rPr>
                <w:spacing w:val="-3"/>
              </w:rPr>
              <w:t>准》</w:t>
            </w:r>
            <w:r>
              <w:rPr>
                <w:rFonts w:ascii="Calibri" w:hAnsi="Calibri" w:eastAsia="Calibri" w:cs="Calibri"/>
                <w:spacing w:val="-3"/>
              </w:rPr>
              <w:t>(GB16297-1996)</w:t>
            </w:r>
            <w:r>
              <w:rPr>
                <w:spacing w:val="-3"/>
              </w:rPr>
              <w:t>表</w:t>
            </w:r>
            <w:r>
              <w:rPr>
                <w:spacing w:val="-47"/>
              </w:rPr>
              <w:t xml:space="preserve"> </w:t>
            </w:r>
            <w:r>
              <w:rPr>
                <w:rFonts w:ascii="Calibri" w:hAnsi="Calibri" w:eastAsia="Calibri" w:cs="Calibri"/>
                <w:spacing w:val="-3"/>
              </w:rPr>
              <w:t>2</w:t>
            </w:r>
            <w:r>
              <w:rPr>
                <w:rFonts w:ascii="Calibri" w:hAnsi="Calibri" w:eastAsia="Calibri" w:cs="Calibri"/>
                <w:spacing w:val="17"/>
                <w:w w:val="101"/>
              </w:rPr>
              <w:t xml:space="preserve"> </w:t>
            </w:r>
            <w:r>
              <w:rPr>
                <w:spacing w:val="-3"/>
              </w:rPr>
              <w:t>新污染源大气污染物排放限值中无</w:t>
            </w:r>
            <w:r>
              <w:rPr>
                <w:spacing w:val="-4"/>
              </w:rPr>
              <w:t>组织排放监控浓度限</w:t>
            </w:r>
            <w:r>
              <w:t xml:space="preserve"> </w:t>
            </w:r>
            <w:r>
              <w:rPr>
                <w:spacing w:val="22"/>
              </w:rPr>
              <w:t>值要求；</w:t>
            </w:r>
            <w:r>
              <w:rPr>
                <w:spacing w:val="-42"/>
              </w:rPr>
              <w:t xml:space="preserve"> </w:t>
            </w:r>
            <w:r>
              <w:rPr>
                <w:spacing w:val="22"/>
              </w:rPr>
              <w:t>厂房外非甲烷总烃满足《挥发性有机物无组织排放控制标准》</w:t>
            </w:r>
          </w:p>
        </w:tc>
      </w:tr>
    </w:tbl>
    <w:p w14:paraId="521DF37D">
      <w:pPr>
        <w:pStyle w:val="2"/>
        <w:spacing w:line="126" w:lineRule="exact"/>
        <w:rPr>
          <w:sz w:val="10"/>
        </w:rPr>
      </w:pPr>
    </w:p>
    <w:p w14:paraId="5D309D12">
      <w:pPr>
        <w:spacing w:line="126" w:lineRule="exact"/>
        <w:rPr>
          <w:sz w:val="10"/>
          <w:szCs w:val="10"/>
        </w:rPr>
        <w:sectPr>
          <w:footerReference r:id="rId70" w:type="default"/>
          <w:pgSz w:w="11906" w:h="16839"/>
          <w:pgMar w:top="1270" w:right="1489" w:bottom="1263" w:left="1488" w:header="0" w:footer="1097" w:gutter="0"/>
          <w:cols w:space="720" w:num="1"/>
        </w:sectPr>
      </w:pPr>
    </w:p>
    <w:tbl>
      <w:tblPr>
        <w:tblStyle w:val="5"/>
        <w:tblW w:w="890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904"/>
        <w:gridCol w:w="865"/>
        <w:gridCol w:w="795"/>
        <w:gridCol w:w="1137"/>
        <w:gridCol w:w="879"/>
        <w:gridCol w:w="1190"/>
        <w:gridCol w:w="680"/>
        <w:gridCol w:w="809"/>
        <w:gridCol w:w="1166"/>
      </w:tblGrid>
      <w:tr w14:paraId="29438E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40" w:hRule="atLeast"/>
        </w:trPr>
        <w:tc>
          <w:tcPr>
            <w:tcW w:w="477" w:type="dxa"/>
            <w:vMerge w:val="restart"/>
            <w:tcBorders>
              <w:top w:val="single" w:color="000000" w:sz="10" w:space="0"/>
              <w:left w:val="single" w:color="000000" w:sz="10" w:space="0"/>
              <w:bottom w:val="nil"/>
            </w:tcBorders>
            <w:vAlign w:val="top"/>
          </w:tcPr>
          <w:p w14:paraId="3A93B9B8">
            <w:pPr>
              <w:rPr>
                <w:rFonts w:ascii="Arial"/>
                <w:sz w:val="21"/>
              </w:rPr>
            </w:pPr>
          </w:p>
        </w:tc>
        <w:tc>
          <w:tcPr>
            <w:tcW w:w="8425" w:type="dxa"/>
            <w:gridSpan w:val="9"/>
            <w:tcBorders>
              <w:top w:val="single" w:color="000000" w:sz="10" w:space="0"/>
              <w:bottom w:val="single" w:color="000000" w:sz="10" w:space="0"/>
              <w:right w:val="single" w:color="000000" w:sz="10" w:space="0"/>
            </w:tcBorders>
            <w:vAlign w:val="top"/>
          </w:tcPr>
          <w:p w14:paraId="47614FF4">
            <w:pPr>
              <w:pStyle w:val="6"/>
              <w:spacing w:before="100" w:line="348" w:lineRule="auto"/>
              <w:ind w:left="104" w:right="97" w:firstLine="11"/>
            </w:pPr>
            <w:r>
              <w:rPr>
                <w:spacing w:val="-1"/>
              </w:rPr>
              <w:t>（</w:t>
            </w:r>
            <w:r>
              <w:rPr>
                <w:rFonts w:ascii="Calibri" w:hAnsi="Calibri" w:eastAsia="Calibri" w:cs="Calibri"/>
                <w:spacing w:val="-1"/>
              </w:rPr>
              <w:t>GB37822-2019</w:t>
            </w:r>
            <w:r>
              <w:rPr>
                <w:spacing w:val="-1"/>
              </w:rPr>
              <w:t>）附录</w:t>
            </w:r>
            <w:r>
              <w:rPr>
                <w:spacing w:val="-45"/>
              </w:rPr>
              <w:t xml:space="preserve"> </w:t>
            </w:r>
            <w:r>
              <w:rPr>
                <w:rFonts w:ascii="Calibri" w:hAnsi="Calibri" w:eastAsia="Calibri" w:cs="Calibri"/>
                <w:spacing w:val="-1"/>
              </w:rPr>
              <w:t>A</w:t>
            </w:r>
            <w:r>
              <w:rPr>
                <w:rFonts w:ascii="Calibri" w:hAnsi="Calibri" w:eastAsia="Calibri" w:cs="Calibri"/>
                <w:spacing w:val="38"/>
                <w:w w:val="101"/>
              </w:rPr>
              <w:t xml:space="preserve"> </w:t>
            </w:r>
            <w:r>
              <w:rPr>
                <w:spacing w:val="-1"/>
              </w:rPr>
              <w:t>中表</w:t>
            </w:r>
            <w:r>
              <w:rPr>
                <w:spacing w:val="-51"/>
              </w:rPr>
              <w:t xml:space="preserve"> </w:t>
            </w:r>
            <w:r>
              <w:rPr>
                <w:rFonts w:ascii="Calibri" w:hAnsi="Calibri" w:eastAsia="Calibri" w:cs="Calibri"/>
                <w:spacing w:val="-1"/>
              </w:rPr>
              <w:t>A.1</w:t>
            </w:r>
            <w:r>
              <w:rPr>
                <w:rFonts w:ascii="Calibri" w:hAnsi="Calibri" w:eastAsia="Calibri" w:cs="Calibri"/>
                <w:spacing w:val="35"/>
              </w:rPr>
              <w:t xml:space="preserve"> </w:t>
            </w:r>
            <w:r>
              <w:rPr>
                <w:spacing w:val="-1"/>
              </w:rPr>
              <w:t>限值要求，项目建成后对周围大气环境影响</w:t>
            </w:r>
            <w:r>
              <w:t xml:space="preserve"> </w:t>
            </w:r>
            <w:r>
              <w:rPr>
                <w:spacing w:val="-4"/>
              </w:rPr>
              <w:t>较小。</w:t>
            </w:r>
          </w:p>
          <w:p w14:paraId="51E4C661">
            <w:pPr>
              <w:pStyle w:val="6"/>
              <w:spacing w:before="31" w:line="220" w:lineRule="auto"/>
              <w:ind w:left="596"/>
            </w:pPr>
            <w:r>
              <w:rPr>
                <w:spacing w:val="-3"/>
              </w:rPr>
              <w:t>（</w:t>
            </w:r>
            <w:r>
              <w:rPr>
                <w:rFonts w:ascii="Calibri" w:hAnsi="Calibri" w:eastAsia="Calibri" w:cs="Calibri"/>
                <w:spacing w:val="-3"/>
              </w:rPr>
              <w:t>3</w:t>
            </w:r>
            <w:r>
              <w:rPr>
                <w:spacing w:val="-3"/>
              </w:rPr>
              <w:t>）非正常工况分析</w:t>
            </w:r>
          </w:p>
          <w:p w14:paraId="1DBDBD19">
            <w:pPr>
              <w:pStyle w:val="6"/>
              <w:spacing w:before="183" w:line="356" w:lineRule="auto"/>
              <w:ind w:left="103" w:firstLine="482"/>
              <w:jc w:val="both"/>
            </w:pPr>
            <w:r>
              <w:rPr>
                <w:spacing w:val="1"/>
              </w:rPr>
              <w:t>污染物非正常排放情况为废气处理系统发生故障或未及时更换部件，治理</w:t>
            </w:r>
            <w:r>
              <w:rPr>
                <w:spacing w:val="3"/>
              </w:rPr>
              <w:t xml:space="preserve">  </w:t>
            </w:r>
            <w:r>
              <w:rPr>
                <w:spacing w:val="-3"/>
              </w:rPr>
              <w:t>效率下降，以及废电池破损工况，根据《废铅酸蓄电池处理污染控制技术规范》</w:t>
            </w:r>
            <w:r>
              <w:rPr>
                <w:spacing w:val="10"/>
              </w:rPr>
              <w:t xml:space="preserve"> </w:t>
            </w:r>
            <w:r>
              <w:rPr>
                <w:spacing w:val="2"/>
              </w:rPr>
              <w:t>（</w:t>
            </w:r>
            <w:r>
              <w:rPr>
                <w:rFonts w:ascii="Calibri" w:hAnsi="Calibri" w:eastAsia="Calibri" w:cs="Calibri"/>
              </w:rPr>
              <w:t>HJ</w:t>
            </w:r>
            <w:r>
              <w:rPr>
                <w:rFonts w:ascii="Calibri" w:hAnsi="Calibri" w:eastAsia="Calibri" w:cs="Calibri"/>
                <w:spacing w:val="2"/>
              </w:rPr>
              <w:t>519-2009</w:t>
            </w:r>
            <w:r>
              <w:rPr>
                <w:spacing w:val="2"/>
              </w:rPr>
              <w:t xml:space="preserve">）及经验系数，酸蓄电池内电解液的含量为 </w:t>
            </w:r>
            <w:r>
              <w:rPr>
                <w:rFonts w:ascii="Calibri" w:hAnsi="Calibri" w:eastAsia="Calibri" w:cs="Calibri"/>
                <w:spacing w:val="2"/>
              </w:rPr>
              <w:t>10%</w:t>
            </w:r>
            <w:r>
              <w:rPr>
                <w:spacing w:val="2"/>
              </w:rPr>
              <w:t>～</w:t>
            </w:r>
            <w:r>
              <w:rPr>
                <w:rFonts w:ascii="Calibri" w:hAnsi="Calibri" w:eastAsia="Calibri" w:cs="Calibri"/>
                <w:spacing w:val="2"/>
              </w:rPr>
              <w:t>20%</w:t>
            </w:r>
            <w:r>
              <w:rPr>
                <w:spacing w:val="2"/>
              </w:rPr>
              <w:t>（本环评</w:t>
            </w:r>
            <w:r>
              <w:rPr>
                <w:spacing w:val="9"/>
              </w:rPr>
              <w:t xml:space="preserve">  </w:t>
            </w:r>
            <w:r>
              <w:rPr>
                <w:spacing w:val="-2"/>
              </w:rPr>
              <w:t xml:space="preserve">以 </w:t>
            </w:r>
            <w:r>
              <w:rPr>
                <w:rFonts w:ascii="Calibri" w:hAnsi="Calibri" w:eastAsia="Calibri" w:cs="Calibri"/>
                <w:spacing w:val="-2"/>
              </w:rPr>
              <w:t>20%</w:t>
            </w:r>
            <w:r>
              <w:rPr>
                <w:spacing w:val="-2"/>
              </w:rPr>
              <w:t>计</w:t>
            </w:r>
            <w:r>
              <w:rPr>
                <w:spacing w:val="-24"/>
              </w:rPr>
              <w:t>），</w:t>
            </w:r>
            <w:r>
              <w:rPr>
                <w:spacing w:val="-2"/>
              </w:rPr>
              <w:t xml:space="preserve">废铅酸蓄电池自然破损发生的概率较低，约 </w:t>
            </w:r>
            <w:r>
              <w:rPr>
                <w:rFonts w:ascii="Calibri" w:hAnsi="Calibri" w:eastAsia="Calibri" w:cs="Calibri"/>
                <w:spacing w:val="-2"/>
              </w:rPr>
              <w:t>0</w:t>
            </w:r>
            <w:r>
              <w:rPr>
                <w:rFonts w:ascii="Calibri" w:hAnsi="Calibri" w:eastAsia="Calibri" w:cs="Calibri"/>
                <w:spacing w:val="-3"/>
              </w:rPr>
              <w:t>.1%</w:t>
            </w:r>
            <w:r>
              <w:rPr>
                <w:spacing w:val="-3"/>
              </w:rPr>
              <w:t>，每吨电解液每</w:t>
            </w:r>
            <w:r>
              <w:t xml:space="preserve">  </w:t>
            </w:r>
            <w:r>
              <w:rPr>
                <w:spacing w:val="3"/>
              </w:rPr>
              <w:t xml:space="preserve">小时挥发产生硫酸雾 </w:t>
            </w:r>
            <w:r>
              <w:rPr>
                <w:rFonts w:ascii="Calibri" w:hAnsi="Calibri" w:eastAsia="Calibri" w:cs="Calibri"/>
                <w:spacing w:val="3"/>
              </w:rPr>
              <w:t>0.02</w:t>
            </w:r>
            <w:r>
              <w:rPr>
                <w:rFonts w:ascii="Calibri" w:hAnsi="Calibri" w:eastAsia="Calibri" w:cs="Calibri"/>
              </w:rPr>
              <w:t>kg</w:t>
            </w:r>
            <w:r>
              <w:rPr>
                <w:rFonts w:ascii="Calibri" w:hAnsi="Calibri" w:eastAsia="Calibri" w:cs="Calibri"/>
                <w:spacing w:val="-16"/>
              </w:rPr>
              <w:t xml:space="preserve"> </w:t>
            </w:r>
            <w:r>
              <w:rPr>
                <w:spacing w:val="3"/>
              </w:rPr>
              <w:t>，本项目最大存储量为</w:t>
            </w:r>
            <w:r>
              <w:rPr>
                <w:spacing w:val="-32"/>
              </w:rPr>
              <w:t xml:space="preserve"> </w:t>
            </w:r>
            <w:r>
              <w:rPr>
                <w:rFonts w:ascii="Calibri" w:hAnsi="Calibri" w:eastAsia="Calibri" w:cs="Calibri"/>
                <w:spacing w:val="3"/>
              </w:rPr>
              <w:t>1t</w:t>
            </w:r>
            <w:r>
              <w:rPr>
                <w:rFonts w:ascii="Calibri" w:hAnsi="Calibri" w:eastAsia="Calibri" w:cs="Calibri"/>
                <w:spacing w:val="-19"/>
              </w:rPr>
              <w:t xml:space="preserve"> </w:t>
            </w:r>
            <w:r>
              <w:rPr>
                <w:spacing w:val="3"/>
              </w:rPr>
              <w:t>，硫酸雾最大产生量为</w:t>
            </w:r>
            <w:r>
              <w:t xml:space="preserve">  </w:t>
            </w:r>
            <w:r>
              <w:rPr>
                <w:rFonts w:ascii="Calibri" w:hAnsi="Calibri" w:eastAsia="Calibri" w:cs="Calibri"/>
                <w:spacing w:val="-6"/>
              </w:rPr>
              <w:t>0.004kg/h</w:t>
            </w:r>
            <w:r>
              <w:rPr>
                <w:spacing w:val="-6"/>
              </w:rPr>
              <w:t xml:space="preserve">，由集气罩收集后经活性碳吸附装置处理后由 </w:t>
            </w:r>
            <w:r>
              <w:rPr>
                <w:rFonts w:ascii="Calibri" w:hAnsi="Calibri" w:eastAsia="Calibri" w:cs="Calibri"/>
                <w:spacing w:val="-6"/>
              </w:rPr>
              <w:t xml:space="preserve">15m   </w:t>
            </w:r>
            <w:r>
              <w:rPr>
                <w:spacing w:val="-7"/>
              </w:rPr>
              <w:t>高排气筒（</w:t>
            </w:r>
            <w:r>
              <w:rPr>
                <w:rFonts w:ascii="Calibri" w:hAnsi="Calibri" w:eastAsia="Calibri" w:cs="Calibri"/>
                <w:spacing w:val="-7"/>
              </w:rPr>
              <w:t>DA002</w:t>
            </w:r>
            <w:r>
              <w:rPr>
                <w:spacing w:val="-7"/>
              </w:rPr>
              <w:t>）</w:t>
            </w:r>
            <w:r>
              <w:t xml:space="preserve"> </w:t>
            </w:r>
            <w:r>
              <w:rPr>
                <w:spacing w:val="1"/>
              </w:rPr>
              <w:t>排放。本项目非正常工况还有除尘器故障或换袋、活性炭吸附失效，除尘效率</w:t>
            </w:r>
            <w:r>
              <w:rPr>
                <w:spacing w:val="3"/>
              </w:rPr>
              <w:t xml:space="preserve">  </w:t>
            </w:r>
            <w:r>
              <w:rPr>
                <w:spacing w:val="-1"/>
              </w:rPr>
              <w:t>降至</w:t>
            </w:r>
            <w:r>
              <w:rPr>
                <w:spacing w:val="-44"/>
              </w:rPr>
              <w:t xml:space="preserve"> </w:t>
            </w:r>
            <w:r>
              <w:rPr>
                <w:rFonts w:ascii="Calibri" w:hAnsi="Calibri" w:eastAsia="Calibri" w:cs="Calibri"/>
                <w:spacing w:val="-1"/>
              </w:rPr>
              <w:t>0%</w:t>
            </w:r>
            <w:r>
              <w:rPr>
                <w:rFonts w:ascii="Calibri" w:hAnsi="Calibri" w:eastAsia="Calibri" w:cs="Calibri"/>
                <w:spacing w:val="-22"/>
              </w:rPr>
              <w:t xml:space="preserve"> </w:t>
            </w:r>
            <w:r>
              <w:rPr>
                <w:spacing w:val="-1"/>
              </w:rPr>
              <w:t>，吸附效率降至</w:t>
            </w:r>
            <w:r>
              <w:rPr>
                <w:spacing w:val="-51"/>
              </w:rPr>
              <w:t xml:space="preserve"> </w:t>
            </w:r>
            <w:r>
              <w:rPr>
                <w:rFonts w:ascii="Calibri" w:hAnsi="Calibri" w:eastAsia="Calibri" w:cs="Calibri"/>
                <w:spacing w:val="-1"/>
              </w:rPr>
              <w:t>0%</w:t>
            </w:r>
            <w:r>
              <w:rPr>
                <w:rFonts w:ascii="Calibri" w:hAnsi="Calibri" w:eastAsia="Calibri" w:cs="Calibri"/>
                <w:spacing w:val="-24"/>
              </w:rPr>
              <w:t xml:space="preserve"> </w:t>
            </w:r>
            <w:r>
              <w:rPr>
                <w:spacing w:val="-1"/>
              </w:rPr>
              <w:t>，如突然发现排放浓度异常，应立即组织工作人员</w:t>
            </w:r>
            <w:r>
              <w:t xml:space="preserve">  </w:t>
            </w:r>
            <w:r>
              <w:rPr>
                <w:spacing w:val="1"/>
              </w:rPr>
              <w:t>对设备进行检查和维修并在检修过后总结设备非正常工作原因，防止此类事件</w:t>
            </w:r>
            <w:r>
              <w:rPr>
                <w:spacing w:val="3"/>
              </w:rPr>
              <w:t xml:space="preserve">  </w:t>
            </w:r>
            <w:r>
              <w:rPr>
                <w:spacing w:val="-1"/>
              </w:rPr>
              <w:t>再次发生。非正常工况下废气污染物排放情况见下表。</w:t>
            </w:r>
          </w:p>
          <w:p w14:paraId="1291A7BC">
            <w:pPr>
              <w:pStyle w:val="6"/>
              <w:spacing w:before="51" w:line="219" w:lineRule="auto"/>
              <w:ind w:left="2218"/>
            </w:pPr>
            <w:r>
              <w:rPr>
                <w:b/>
                <w:bCs/>
                <w:spacing w:val="-2"/>
              </w:rPr>
              <w:t>表</w:t>
            </w:r>
            <w:r>
              <w:rPr>
                <w:spacing w:val="-51"/>
              </w:rPr>
              <w:t xml:space="preserve"> </w:t>
            </w:r>
            <w:r>
              <w:rPr>
                <w:rFonts w:ascii="Calibri" w:hAnsi="Calibri" w:eastAsia="Calibri" w:cs="Calibri"/>
                <w:b/>
                <w:bCs/>
                <w:spacing w:val="-2"/>
              </w:rPr>
              <w:t xml:space="preserve">4-3         </w:t>
            </w:r>
            <w:r>
              <w:rPr>
                <w:b/>
                <w:bCs/>
                <w:spacing w:val="-2"/>
              </w:rPr>
              <w:t>污染源非正常排放量核算表</w:t>
            </w:r>
          </w:p>
        </w:tc>
      </w:tr>
      <w:tr w14:paraId="37045F4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9" w:hRule="atLeast"/>
        </w:trPr>
        <w:tc>
          <w:tcPr>
            <w:tcW w:w="477" w:type="dxa"/>
            <w:vMerge w:val="continue"/>
            <w:tcBorders>
              <w:top w:val="nil"/>
              <w:left w:val="single" w:color="000000" w:sz="10" w:space="0"/>
              <w:bottom w:val="nil"/>
            </w:tcBorders>
            <w:vAlign w:val="top"/>
          </w:tcPr>
          <w:p w14:paraId="34A5750B">
            <w:pPr>
              <w:rPr>
                <w:rFonts w:ascii="Arial"/>
                <w:sz w:val="21"/>
              </w:rPr>
            </w:pPr>
          </w:p>
        </w:tc>
        <w:tc>
          <w:tcPr>
            <w:tcW w:w="904" w:type="dxa"/>
            <w:tcBorders>
              <w:top w:val="single" w:color="000000" w:sz="10" w:space="0"/>
            </w:tcBorders>
            <w:vAlign w:val="top"/>
          </w:tcPr>
          <w:p w14:paraId="535CCA60">
            <w:pPr>
              <w:pStyle w:val="6"/>
              <w:spacing w:before="209" w:line="275" w:lineRule="auto"/>
              <w:ind w:left="395" w:right="196" w:hanging="103"/>
              <w:rPr>
                <w:sz w:val="20"/>
                <w:szCs w:val="20"/>
              </w:rPr>
            </w:pPr>
            <w:r>
              <w:rPr>
                <w:b/>
                <w:bCs/>
                <w:spacing w:val="3"/>
                <w:sz w:val="20"/>
                <w:szCs w:val="20"/>
              </w:rPr>
              <w:t>污染</w:t>
            </w:r>
            <w:r>
              <w:rPr>
                <w:sz w:val="20"/>
                <w:szCs w:val="20"/>
              </w:rPr>
              <w:t xml:space="preserve"> </w:t>
            </w:r>
            <w:r>
              <w:rPr>
                <w:b/>
                <w:bCs/>
                <w:spacing w:val="-1"/>
                <w:sz w:val="20"/>
                <w:szCs w:val="20"/>
              </w:rPr>
              <w:t>源</w:t>
            </w:r>
          </w:p>
        </w:tc>
        <w:tc>
          <w:tcPr>
            <w:tcW w:w="865" w:type="dxa"/>
            <w:tcBorders>
              <w:top w:val="single" w:color="000000" w:sz="10" w:space="0"/>
            </w:tcBorders>
            <w:vAlign w:val="top"/>
          </w:tcPr>
          <w:p w14:paraId="7359951B">
            <w:pPr>
              <w:pStyle w:val="6"/>
              <w:spacing w:before="54" w:line="228" w:lineRule="auto"/>
              <w:ind w:left="119"/>
              <w:rPr>
                <w:sz w:val="20"/>
                <w:szCs w:val="20"/>
              </w:rPr>
            </w:pPr>
            <w:r>
              <w:rPr>
                <w:b/>
                <w:bCs/>
                <w:spacing w:val="4"/>
                <w:sz w:val="20"/>
                <w:szCs w:val="20"/>
              </w:rPr>
              <w:t>非正常</w:t>
            </w:r>
          </w:p>
          <w:p w14:paraId="4EC933B8">
            <w:pPr>
              <w:pStyle w:val="6"/>
              <w:spacing w:before="64" w:line="229" w:lineRule="auto"/>
              <w:ind w:left="116"/>
              <w:rPr>
                <w:sz w:val="20"/>
                <w:szCs w:val="20"/>
              </w:rPr>
            </w:pPr>
            <w:r>
              <w:rPr>
                <w:b/>
                <w:bCs/>
                <w:spacing w:val="5"/>
                <w:sz w:val="20"/>
                <w:szCs w:val="20"/>
              </w:rPr>
              <w:t>排放原</w:t>
            </w:r>
          </w:p>
          <w:p w14:paraId="2C750531">
            <w:pPr>
              <w:pStyle w:val="6"/>
              <w:spacing w:before="64" w:line="222" w:lineRule="auto"/>
              <w:ind w:left="341"/>
              <w:rPr>
                <w:sz w:val="20"/>
                <w:szCs w:val="20"/>
              </w:rPr>
            </w:pPr>
            <w:r>
              <w:rPr>
                <w:b/>
                <w:bCs/>
                <w:spacing w:val="-3"/>
                <w:sz w:val="20"/>
                <w:szCs w:val="20"/>
              </w:rPr>
              <w:t>因</w:t>
            </w:r>
          </w:p>
        </w:tc>
        <w:tc>
          <w:tcPr>
            <w:tcW w:w="795" w:type="dxa"/>
            <w:tcBorders>
              <w:top w:val="single" w:color="000000" w:sz="10" w:space="0"/>
            </w:tcBorders>
            <w:vAlign w:val="top"/>
          </w:tcPr>
          <w:p w14:paraId="42A69781">
            <w:pPr>
              <w:pStyle w:val="6"/>
              <w:spacing w:before="54" w:line="266" w:lineRule="auto"/>
              <w:ind w:left="120" w:right="132" w:firstLine="71"/>
              <w:jc w:val="both"/>
              <w:rPr>
                <w:sz w:val="20"/>
                <w:szCs w:val="20"/>
              </w:rPr>
            </w:pPr>
            <w:r>
              <w:rPr>
                <w:b/>
                <w:bCs/>
                <w:spacing w:val="1"/>
                <w:sz w:val="20"/>
                <w:szCs w:val="20"/>
              </w:rPr>
              <w:t>治理</w:t>
            </w:r>
            <w:r>
              <w:rPr>
                <w:sz w:val="20"/>
                <w:szCs w:val="20"/>
              </w:rPr>
              <w:t xml:space="preserve"> </w:t>
            </w:r>
            <w:r>
              <w:rPr>
                <w:b/>
                <w:bCs/>
                <w:spacing w:val="37"/>
                <w:sz w:val="20"/>
                <w:szCs w:val="20"/>
              </w:rPr>
              <w:t>效率</w:t>
            </w:r>
            <w:r>
              <w:rPr>
                <w:sz w:val="20"/>
                <w:szCs w:val="20"/>
              </w:rPr>
              <w:t xml:space="preserve"> </w:t>
            </w:r>
            <w:r>
              <w:rPr>
                <w:b/>
                <w:bCs/>
                <w:spacing w:val="-5"/>
                <w:sz w:val="20"/>
                <w:szCs w:val="20"/>
              </w:rPr>
              <w:t>（</w:t>
            </w:r>
            <w:r>
              <w:rPr>
                <w:rFonts w:ascii="Calibri" w:hAnsi="Calibri" w:eastAsia="Calibri" w:cs="Calibri"/>
                <w:b/>
                <w:bCs/>
                <w:spacing w:val="-5"/>
                <w:sz w:val="20"/>
                <w:szCs w:val="20"/>
              </w:rPr>
              <w:t>%</w:t>
            </w:r>
            <w:r>
              <w:rPr>
                <w:b/>
                <w:bCs/>
                <w:spacing w:val="-5"/>
                <w:sz w:val="20"/>
                <w:szCs w:val="20"/>
              </w:rPr>
              <w:t>）</w:t>
            </w:r>
          </w:p>
        </w:tc>
        <w:tc>
          <w:tcPr>
            <w:tcW w:w="1137" w:type="dxa"/>
            <w:tcBorders>
              <w:top w:val="single" w:color="000000" w:sz="10" w:space="0"/>
            </w:tcBorders>
            <w:vAlign w:val="top"/>
          </w:tcPr>
          <w:p w14:paraId="1F111F2A">
            <w:pPr>
              <w:spacing w:line="299" w:lineRule="auto"/>
              <w:rPr>
                <w:rFonts w:ascii="Arial"/>
                <w:sz w:val="21"/>
              </w:rPr>
            </w:pPr>
          </w:p>
          <w:p w14:paraId="79885051">
            <w:pPr>
              <w:pStyle w:val="6"/>
              <w:spacing w:before="65" w:line="228" w:lineRule="auto"/>
              <w:ind w:left="258"/>
              <w:rPr>
                <w:sz w:val="20"/>
                <w:szCs w:val="20"/>
              </w:rPr>
            </w:pPr>
            <w:r>
              <w:rPr>
                <w:b/>
                <w:bCs/>
                <w:spacing w:val="5"/>
                <w:sz w:val="20"/>
                <w:szCs w:val="20"/>
              </w:rPr>
              <w:t>污染物</w:t>
            </w:r>
          </w:p>
        </w:tc>
        <w:tc>
          <w:tcPr>
            <w:tcW w:w="879" w:type="dxa"/>
            <w:tcBorders>
              <w:top w:val="single" w:color="000000" w:sz="10" w:space="0"/>
            </w:tcBorders>
            <w:vAlign w:val="top"/>
          </w:tcPr>
          <w:p w14:paraId="0864C6CA">
            <w:pPr>
              <w:pStyle w:val="6"/>
              <w:spacing w:before="54" w:line="266" w:lineRule="auto"/>
              <w:ind w:left="129" w:right="121" w:firstLine="3"/>
              <w:jc w:val="both"/>
              <w:rPr>
                <w:sz w:val="20"/>
                <w:szCs w:val="20"/>
              </w:rPr>
            </w:pPr>
            <w:r>
              <w:rPr>
                <w:b/>
                <w:bCs/>
                <w:spacing w:val="4"/>
                <w:sz w:val="20"/>
                <w:szCs w:val="20"/>
              </w:rPr>
              <w:t>非正常</w:t>
            </w:r>
            <w:r>
              <w:rPr>
                <w:sz w:val="20"/>
                <w:szCs w:val="20"/>
              </w:rPr>
              <w:t xml:space="preserve"> </w:t>
            </w:r>
            <w:r>
              <w:rPr>
                <w:b/>
                <w:bCs/>
                <w:spacing w:val="5"/>
                <w:sz w:val="20"/>
                <w:szCs w:val="20"/>
              </w:rPr>
              <w:t>排放量</w:t>
            </w:r>
            <w:r>
              <w:rPr>
                <w:sz w:val="20"/>
                <w:szCs w:val="20"/>
              </w:rPr>
              <w:t xml:space="preserve"> </w:t>
            </w:r>
            <w:r>
              <w:rPr>
                <w:b/>
                <w:bCs/>
                <w:spacing w:val="6"/>
                <w:sz w:val="20"/>
                <w:szCs w:val="20"/>
              </w:rPr>
              <w:t>（</w:t>
            </w:r>
            <w:r>
              <w:rPr>
                <w:rFonts w:ascii="Calibri" w:hAnsi="Calibri" w:eastAsia="Calibri" w:cs="Calibri"/>
                <w:b/>
                <w:bCs/>
                <w:sz w:val="20"/>
                <w:szCs w:val="20"/>
              </w:rPr>
              <w:t>kg</w:t>
            </w:r>
            <w:r>
              <w:rPr>
                <w:b/>
                <w:bCs/>
                <w:spacing w:val="6"/>
                <w:sz w:val="20"/>
                <w:szCs w:val="20"/>
              </w:rPr>
              <w:t>）</w:t>
            </w:r>
          </w:p>
        </w:tc>
        <w:tc>
          <w:tcPr>
            <w:tcW w:w="1190" w:type="dxa"/>
            <w:tcBorders>
              <w:top w:val="single" w:color="000000" w:sz="10" w:space="0"/>
            </w:tcBorders>
            <w:vAlign w:val="top"/>
          </w:tcPr>
          <w:p w14:paraId="40E7B763">
            <w:pPr>
              <w:pStyle w:val="6"/>
              <w:tabs>
                <w:tab w:val="left" w:pos="1109"/>
              </w:tabs>
              <w:spacing w:before="54" w:line="266" w:lineRule="auto"/>
              <w:ind w:left="127" w:right="74" w:firstLine="60"/>
              <w:jc w:val="both"/>
              <w:rPr>
                <w:sz w:val="20"/>
                <w:szCs w:val="20"/>
              </w:rPr>
            </w:pPr>
            <w:r>
              <w:rPr>
                <w:b/>
                <w:bCs/>
                <w:spacing w:val="5"/>
                <w:sz w:val="20"/>
                <w:szCs w:val="20"/>
              </w:rPr>
              <w:t>非正常排</w:t>
            </w:r>
            <w:r>
              <w:rPr>
                <w:sz w:val="20"/>
                <w:szCs w:val="20"/>
              </w:rPr>
              <w:t xml:space="preserve">  </w:t>
            </w:r>
            <w:r>
              <w:rPr>
                <w:b/>
                <w:bCs/>
                <w:spacing w:val="15"/>
                <w:w w:val="122"/>
                <w:sz w:val="20"/>
                <w:szCs w:val="20"/>
              </w:rPr>
              <w:t>放浓度</w:t>
            </w:r>
            <w:r>
              <w:rPr>
                <w:b/>
                <w:bCs/>
                <w:sz w:val="20"/>
                <w:szCs w:val="20"/>
              </w:rPr>
              <w:tab/>
            </w:r>
            <w:r>
              <w:rPr>
                <w:sz w:val="20"/>
                <w:szCs w:val="20"/>
              </w:rPr>
              <w:t xml:space="preserve"> </w:t>
            </w:r>
            <w:r>
              <w:rPr>
                <w:b/>
                <w:bCs/>
                <w:spacing w:val="1"/>
                <w:sz w:val="20"/>
                <w:szCs w:val="20"/>
              </w:rPr>
              <w:t>（</w:t>
            </w:r>
            <w:r>
              <w:rPr>
                <w:rFonts w:ascii="Calibri" w:hAnsi="Calibri" w:eastAsia="Calibri" w:cs="Calibri"/>
                <w:b/>
                <w:bCs/>
                <w:sz w:val="20"/>
                <w:szCs w:val="20"/>
              </w:rPr>
              <w:t>mg</w:t>
            </w:r>
            <w:r>
              <w:rPr>
                <w:rFonts w:ascii="Calibri" w:hAnsi="Calibri" w:eastAsia="Calibri" w:cs="Calibri"/>
                <w:b/>
                <w:bCs/>
                <w:spacing w:val="1"/>
                <w:sz w:val="20"/>
                <w:szCs w:val="20"/>
              </w:rPr>
              <w:t>/m</w:t>
            </w:r>
            <w:r>
              <w:rPr>
                <w:rFonts w:ascii="Calibri" w:hAnsi="Calibri" w:eastAsia="Calibri" w:cs="Calibri"/>
                <w:b/>
                <w:bCs/>
                <w:spacing w:val="1"/>
                <w:position w:val="6"/>
                <w:sz w:val="13"/>
                <w:szCs w:val="13"/>
              </w:rPr>
              <w:t>3</w:t>
            </w:r>
            <w:r>
              <w:rPr>
                <w:b/>
                <w:bCs/>
                <w:spacing w:val="1"/>
                <w:sz w:val="20"/>
                <w:szCs w:val="20"/>
              </w:rPr>
              <w:t>）</w:t>
            </w:r>
          </w:p>
        </w:tc>
        <w:tc>
          <w:tcPr>
            <w:tcW w:w="680" w:type="dxa"/>
            <w:tcBorders>
              <w:top w:val="single" w:color="000000" w:sz="10" w:space="0"/>
            </w:tcBorders>
            <w:vAlign w:val="top"/>
          </w:tcPr>
          <w:p w14:paraId="5104D652">
            <w:pPr>
              <w:pStyle w:val="6"/>
              <w:spacing w:before="211" w:line="274" w:lineRule="auto"/>
              <w:ind w:left="151" w:right="121" w:hanging="7"/>
              <w:rPr>
                <w:sz w:val="20"/>
                <w:szCs w:val="20"/>
              </w:rPr>
            </w:pPr>
            <w:r>
              <w:rPr>
                <w:b/>
                <w:bCs/>
                <w:spacing w:val="2"/>
                <w:sz w:val="20"/>
                <w:szCs w:val="20"/>
              </w:rPr>
              <w:t>持续</w:t>
            </w:r>
            <w:r>
              <w:rPr>
                <w:sz w:val="20"/>
                <w:szCs w:val="20"/>
              </w:rPr>
              <w:t xml:space="preserve"> </w:t>
            </w:r>
            <w:r>
              <w:rPr>
                <w:b/>
                <w:bCs/>
                <w:spacing w:val="-1"/>
                <w:sz w:val="20"/>
                <w:szCs w:val="20"/>
              </w:rPr>
              <w:t>时间</w:t>
            </w:r>
          </w:p>
        </w:tc>
        <w:tc>
          <w:tcPr>
            <w:tcW w:w="809" w:type="dxa"/>
            <w:tcBorders>
              <w:top w:val="single" w:color="000000" w:sz="10" w:space="0"/>
            </w:tcBorders>
            <w:vAlign w:val="top"/>
          </w:tcPr>
          <w:p w14:paraId="0EA180F2">
            <w:pPr>
              <w:pStyle w:val="6"/>
              <w:spacing w:before="54" w:line="266" w:lineRule="auto"/>
              <w:ind w:left="167" w:right="140" w:firstLine="40"/>
              <w:jc w:val="both"/>
              <w:rPr>
                <w:sz w:val="20"/>
                <w:szCs w:val="20"/>
              </w:rPr>
            </w:pPr>
            <w:r>
              <w:rPr>
                <w:b/>
                <w:bCs/>
                <w:spacing w:val="3"/>
                <w:sz w:val="20"/>
                <w:szCs w:val="20"/>
              </w:rPr>
              <w:t>年发</w:t>
            </w:r>
            <w:r>
              <w:rPr>
                <w:sz w:val="20"/>
                <w:szCs w:val="20"/>
              </w:rPr>
              <w:t xml:space="preserve"> </w:t>
            </w:r>
            <w:r>
              <w:rPr>
                <w:b/>
                <w:bCs/>
                <w:spacing w:val="23"/>
                <w:sz w:val="20"/>
                <w:szCs w:val="20"/>
              </w:rPr>
              <w:t>生频</w:t>
            </w:r>
            <w:r>
              <w:rPr>
                <w:sz w:val="20"/>
                <w:szCs w:val="20"/>
              </w:rPr>
              <w:t xml:space="preserve"> </w:t>
            </w:r>
            <w:r>
              <w:rPr>
                <w:b/>
                <w:bCs/>
                <w:spacing w:val="1"/>
                <w:sz w:val="20"/>
                <w:szCs w:val="20"/>
              </w:rPr>
              <w:t>次</w:t>
            </w:r>
            <w:r>
              <w:rPr>
                <w:rFonts w:ascii="Calibri" w:hAnsi="Calibri" w:eastAsia="Calibri" w:cs="Calibri"/>
                <w:b/>
                <w:bCs/>
                <w:spacing w:val="1"/>
                <w:sz w:val="20"/>
                <w:szCs w:val="20"/>
              </w:rPr>
              <w:t>/</w:t>
            </w:r>
            <w:r>
              <w:rPr>
                <w:b/>
                <w:bCs/>
                <w:spacing w:val="1"/>
                <w:sz w:val="20"/>
                <w:szCs w:val="20"/>
              </w:rPr>
              <w:t>次</w:t>
            </w:r>
          </w:p>
        </w:tc>
        <w:tc>
          <w:tcPr>
            <w:tcW w:w="1166" w:type="dxa"/>
            <w:tcBorders>
              <w:top w:val="single" w:color="000000" w:sz="10" w:space="0"/>
              <w:right w:val="single" w:color="000000" w:sz="10" w:space="0"/>
            </w:tcBorders>
            <w:vAlign w:val="top"/>
          </w:tcPr>
          <w:p w14:paraId="5FE7CDCA">
            <w:pPr>
              <w:pStyle w:val="6"/>
              <w:spacing w:before="209" w:line="275" w:lineRule="auto"/>
              <w:ind w:left="432" w:right="305" w:hanging="210"/>
              <w:rPr>
                <w:sz w:val="20"/>
                <w:szCs w:val="20"/>
              </w:rPr>
            </w:pPr>
            <w:r>
              <w:rPr>
                <w:b/>
                <w:bCs/>
                <w:spacing w:val="5"/>
                <w:sz w:val="20"/>
                <w:szCs w:val="20"/>
              </w:rPr>
              <w:t>应对措</w:t>
            </w:r>
            <w:r>
              <w:rPr>
                <w:sz w:val="20"/>
                <w:szCs w:val="20"/>
              </w:rPr>
              <w:t xml:space="preserve"> </w:t>
            </w:r>
            <w:r>
              <w:rPr>
                <w:b/>
                <w:bCs/>
                <w:spacing w:val="-1"/>
                <w:sz w:val="20"/>
                <w:szCs w:val="20"/>
              </w:rPr>
              <w:t>施</w:t>
            </w:r>
          </w:p>
        </w:tc>
      </w:tr>
      <w:tr w14:paraId="3AB90F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477" w:type="dxa"/>
            <w:vMerge w:val="continue"/>
            <w:tcBorders>
              <w:top w:val="nil"/>
              <w:left w:val="single" w:color="000000" w:sz="10" w:space="0"/>
              <w:bottom w:val="nil"/>
            </w:tcBorders>
            <w:vAlign w:val="top"/>
          </w:tcPr>
          <w:p w14:paraId="1D41F027">
            <w:pPr>
              <w:rPr>
                <w:rFonts w:ascii="Arial"/>
                <w:sz w:val="21"/>
              </w:rPr>
            </w:pPr>
          </w:p>
        </w:tc>
        <w:tc>
          <w:tcPr>
            <w:tcW w:w="904" w:type="dxa"/>
            <w:vMerge w:val="restart"/>
            <w:tcBorders>
              <w:bottom w:val="nil"/>
            </w:tcBorders>
            <w:vAlign w:val="top"/>
          </w:tcPr>
          <w:p w14:paraId="2410756D">
            <w:pPr>
              <w:spacing w:line="246" w:lineRule="auto"/>
              <w:rPr>
                <w:rFonts w:ascii="Arial"/>
                <w:sz w:val="21"/>
              </w:rPr>
            </w:pPr>
          </w:p>
          <w:p w14:paraId="0E91C755">
            <w:pPr>
              <w:spacing w:line="246" w:lineRule="auto"/>
              <w:rPr>
                <w:rFonts w:ascii="Arial"/>
                <w:sz w:val="21"/>
              </w:rPr>
            </w:pPr>
          </w:p>
          <w:p w14:paraId="289448C4">
            <w:pPr>
              <w:spacing w:line="247" w:lineRule="auto"/>
              <w:rPr>
                <w:rFonts w:ascii="Arial"/>
                <w:sz w:val="21"/>
              </w:rPr>
            </w:pPr>
          </w:p>
          <w:p w14:paraId="67014965">
            <w:pPr>
              <w:spacing w:line="247" w:lineRule="auto"/>
              <w:rPr>
                <w:rFonts w:ascii="Arial"/>
                <w:sz w:val="21"/>
              </w:rPr>
            </w:pPr>
          </w:p>
          <w:p w14:paraId="67DB05CF">
            <w:pPr>
              <w:spacing w:line="247" w:lineRule="auto"/>
              <w:rPr>
                <w:rFonts w:ascii="Arial"/>
                <w:sz w:val="21"/>
              </w:rPr>
            </w:pPr>
          </w:p>
          <w:p w14:paraId="35268BEE">
            <w:pPr>
              <w:spacing w:line="247" w:lineRule="auto"/>
              <w:rPr>
                <w:rFonts w:ascii="Arial"/>
                <w:sz w:val="21"/>
              </w:rPr>
            </w:pPr>
          </w:p>
          <w:p w14:paraId="336DAC9F">
            <w:pPr>
              <w:spacing w:line="247" w:lineRule="auto"/>
              <w:rPr>
                <w:rFonts w:ascii="Arial"/>
                <w:sz w:val="21"/>
              </w:rPr>
            </w:pPr>
          </w:p>
          <w:p w14:paraId="77F12553">
            <w:pPr>
              <w:spacing w:line="247" w:lineRule="auto"/>
              <w:rPr>
                <w:rFonts w:ascii="Arial"/>
                <w:sz w:val="21"/>
              </w:rPr>
            </w:pPr>
          </w:p>
          <w:p w14:paraId="7618287E">
            <w:pPr>
              <w:spacing w:line="247" w:lineRule="auto"/>
              <w:rPr>
                <w:rFonts w:ascii="Arial"/>
                <w:sz w:val="21"/>
              </w:rPr>
            </w:pPr>
          </w:p>
          <w:p w14:paraId="518FF256">
            <w:pPr>
              <w:spacing w:before="61" w:line="186" w:lineRule="auto"/>
              <w:ind w:left="225"/>
              <w:rPr>
                <w:rFonts w:ascii="Calibri" w:hAnsi="Calibri" w:eastAsia="Calibri" w:cs="Calibri"/>
                <w:sz w:val="20"/>
                <w:szCs w:val="20"/>
              </w:rPr>
            </w:pPr>
            <w:r>
              <w:rPr>
                <w:rFonts w:ascii="Calibri" w:hAnsi="Calibri" w:eastAsia="Calibri" w:cs="Calibri"/>
                <w:sz w:val="20"/>
                <w:szCs w:val="20"/>
              </w:rPr>
              <w:t>DA</w:t>
            </w:r>
            <w:r>
              <w:rPr>
                <w:rFonts w:ascii="Calibri" w:hAnsi="Calibri" w:eastAsia="Calibri" w:cs="Calibri"/>
                <w:spacing w:val="2"/>
                <w:sz w:val="20"/>
                <w:szCs w:val="20"/>
              </w:rPr>
              <w:t>002</w:t>
            </w:r>
          </w:p>
        </w:tc>
        <w:tc>
          <w:tcPr>
            <w:tcW w:w="865" w:type="dxa"/>
            <w:vAlign w:val="top"/>
          </w:tcPr>
          <w:p w14:paraId="694E5A93">
            <w:pPr>
              <w:pStyle w:val="6"/>
              <w:spacing w:before="65" w:line="227" w:lineRule="auto"/>
              <w:ind w:left="116"/>
              <w:rPr>
                <w:sz w:val="20"/>
                <w:szCs w:val="20"/>
              </w:rPr>
            </w:pPr>
            <w:r>
              <w:rPr>
                <w:spacing w:val="6"/>
                <w:sz w:val="20"/>
                <w:szCs w:val="20"/>
              </w:rPr>
              <w:t>布袋除</w:t>
            </w:r>
          </w:p>
          <w:p w14:paraId="29090B3A">
            <w:pPr>
              <w:pStyle w:val="6"/>
              <w:spacing w:before="65" w:line="230" w:lineRule="auto"/>
              <w:ind w:left="118"/>
              <w:rPr>
                <w:sz w:val="20"/>
                <w:szCs w:val="20"/>
              </w:rPr>
            </w:pPr>
            <w:r>
              <w:rPr>
                <w:spacing w:val="6"/>
                <w:sz w:val="20"/>
                <w:szCs w:val="20"/>
              </w:rPr>
              <w:t>尘器故</w:t>
            </w:r>
          </w:p>
          <w:p w14:paraId="5ECF0BAA">
            <w:pPr>
              <w:pStyle w:val="6"/>
              <w:spacing w:before="62" w:line="221" w:lineRule="auto"/>
              <w:ind w:left="338"/>
              <w:rPr>
                <w:sz w:val="20"/>
                <w:szCs w:val="20"/>
              </w:rPr>
            </w:pPr>
            <w:r>
              <w:rPr>
                <w:sz w:val="20"/>
                <w:szCs w:val="20"/>
              </w:rPr>
              <w:t>障</w:t>
            </w:r>
          </w:p>
        </w:tc>
        <w:tc>
          <w:tcPr>
            <w:tcW w:w="795" w:type="dxa"/>
            <w:vAlign w:val="top"/>
          </w:tcPr>
          <w:p w14:paraId="136E21A2">
            <w:pPr>
              <w:spacing w:line="356" w:lineRule="auto"/>
              <w:rPr>
                <w:rFonts w:ascii="Arial"/>
                <w:sz w:val="21"/>
              </w:rPr>
            </w:pPr>
          </w:p>
          <w:p w14:paraId="3EFDABF5">
            <w:pPr>
              <w:spacing w:before="61" w:line="186" w:lineRule="auto"/>
              <w:ind w:left="344"/>
              <w:rPr>
                <w:rFonts w:ascii="Calibri" w:hAnsi="Calibri" w:eastAsia="Calibri" w:cs="Calibri"/>
                <w:sz w:val="20"/>
                <w:szCs w:val="20"/>
              </w:rPr>
            </w:pPr>
            <w:r>
              <w:rPr>
                <w:rFonts w:ascii="Calibri" w:hAnsi="Calibri" w:eastAsia="Calibri" w:cs="Calibri"/>
                <w:sz w:val="20"/>
                <w:szCs w:val="20"/>
              </w:rPr>
              <w:t>0</w:t>
            </w:r>
          </w:p>
        </w:tc>
        <w:tc>
          <w:tcPr>
            <w:tcW w:w="1137" w:type="dxa"/>
            <w:vAlign w:val="top"/>
          </w:tcPr>
          <w:p w14:paraId="4C1D9F3E">
            <w:pPr>
              <w:spacing w:line="311" w:lineRule="auto"/>
              <w:rPr>
                <w:rFonts w:ascii="Arial"/>
                <w:sz w:val="21"/>
              </w:rPr>
            </w:pPr>
          </w:p>
          <w:p w14:paraId="05C6F548">
            <w:pPr>
              <w:pStyle w:val="6"/>
              <w:spacing w:before="65" w:line="228" w:lineRule="auto"/>
              <w:ind w:left="255"/>
              <w:rPr>
                <w:sz w:val="20"/>
                <w:szCs w:val="20"/>
              </w:rPr>
            </w:pPr>
            <w:r>
              <w:rPr>
                <w:spacing w:val="7"/>
                <w:sz w:val="20"/>
                <w:szCs w:val="20"/>
              </w:rPr>
              <w:t>颗粒物</w:t>
            </w:r>
          </w:p>
        </w:tc>
        <w:tc>
          <w:tcPr>
            <w:tcW w:w="879" w:type="dxa"/>
            <w:vAlign w:val="top"/>
          </w:tcPr>
          <w:p w14:paraId="34EA39AB">
            <w:pPr>
              <w:spacing w:line="356" w:lineRule="auto"/>
              <w:rPr>
                <w:rFonts w:ascii="Arial"/>
                <w:sz w:val="21"/>
              </w:rPr>
            </w:pPr>
          </w:p>
          <w:p w14:paraId="6EA71E69">
            <w:pPr>
              <w:spacing w:before="61" w:line="186" w:lineRule="auto"/>
              <w:ind w:left="152"/>
              <w:rPr>
                <w:rFonts w:ascii="Calibri" w:hAnsi="Calibri" w:eastAsia="Calibri" w:cs="Calibri"/>
                <w:sz w:val="20"/>
                <w:szCs w:val="20"/>
              </w:rPr>
            </w:pPr>
            <w:r>
              <w:rPr>
                <w:rFonts w:ascii="Calibri" w:hAnsi="Calibri" w:eastAsia="Calibri" w:cs="Calibri"/>
                <w:spacing w:val="3"/>
                <w:sz w:val="20"/>
                <w:szCs w:val="20"/>
              </w:rPr>
              <w:t>0.0131</w:t>
            </w:r>
          </w:p>
        </w:tc>
        <w:tc>
          <w:tcPr>
            <w:tcW w:w="1190" w:type="dxa"/>
            <w:vAlign w:val="top"/>
          </w:tcPr>
          <w:p w14:paraId="288E54A1">
            <w:pPr>
              <w:spacing w:line="356" w:lineRule="auto"/>
              <w:rPr>
                <w:rFonts w:ascii="Arial"/>
                <w:sz w:val="21"/>
              </w:rPr>
            </w:pPr>
          </w:p>
          <w:p w14:paraId="4395ACD2">
            <w:pPr>
              <w:spacing w:before="61" w:line="186" w:lineRule="auto"/>
              <w:ind w:left="422"/>
              <w:rPr>
                <w:rFonts w:ascii="Calibri" w:hAnsi="Calibri" w:eastAsia="Calibri" w:cs="Calibri"/>
                <w:sz w:val="20"/>
                <w:szCs w:val="20"/>
              </w:rPr>
            </w:pPr>
            <w:r>
              <w:rPr>
                <w:rFonts w:ascii="Calibri" w:hAnsi="Calibri" w:eastAsia="Calibri" w:cs="Calibri"/>
                <w:spacing w:val="1"/>
                <w:sz w:val="20"/>
                <w:szCs w:val="20"/>
              </w:rPr>
              <w:t>6.55</w:t>
            </w:r>
          </w:p>
        </w:tc>
        <w:tc>
          <w:tcPr>
            <w:tcW w:w="680" w:type="dxa"/>
            <w:vAlign w:val="top"/>
          </w:tcPr>
          <w:p w14:paraId="1CDF3BD0">
            <w:pPr>
              <w:spacing w:line="310" w:lineRule="auto"/>
              <w:rPr>
                <w:rFonts w:ascii="Arial"/>
                <w:sz w:val="21"/>
              </w:rPr>
            </w:pPr>
          </w:p>
          <w:p w14:paraId="013538E0">
            <w:pPr>
              <w:pStyle w:val="6"/>
              <w:spacing w:before="65" w:line="267" w:lineRule="exact"/>
              <w:ind w:left="154"/>
              <w:rPr>
                <w:rFonts w:ascii="Calibri" w:hAnsi="Calibri" w:eastAsia="Calibri" w:cs="Calibri"/>
                <w:sz w:val="20"/>
                <w:szCs w:val="20"/>
              </w:rPr>
            </w:pPr>
            <w:r>
              <w:rPr>
                <w:spacing w:val="-2"/>
                <w:position w:val="1"/>
                <w:sz w:val="20"/>
                <w:szCs w:val="20"/>
              </w:rPr>
              <w:t>＜</w:t>
            </w:r>
            <w:r>
              <w:rPr>
                <w:rFonts w:ascii="Calibri" w:hAnsi="Calibri" w:eastAsia="Calibri" w:cs="Calibri"/>
                <w:spacing w:val="-2"/>
                <w:position w:val="1"/>
                <w:sz w:val="20"/>
                <w:szCs w:val="20"/>
              </w:rPr>
              <w:t>1h</w:t>
            </w:r>
          </w:p>
        </w:tc>
        <w:tc>
          <w:tcPr>
            <w:tcW w:w="809" w:type="dxa"/>
            <w:vAlign w:val="top"/>
          </w:tcPr>
          <w:p w14:paraId="50824EA3">
            <w:pPr>
              <w:pStyle w:val="6"/>
              <w:spacing w:before="222" w:line="273" w:lineRule="auto"/>
              <w:ind w:left="318" w:right="236" w:hanging="43"/>
              <w:rPr>
                <w:sz w:val="20"/>
                <w:szCs w:val="20"/>
              </w:rPr>
            </w:pPr>
            <w:r>
              <w:rPr>
                <w:spacing w:val="-5"/>
                <w:sz w:val="20"/>
                <w:szCs w:val="20"/>
              </w:rPr>
              <w:t>≤</w:t>
            </w:r>
            <w:r>
              <w:rPr>
                <w:rFonts w:ascii="Calibri" w:hAnsi="Calibri" w:eastAsia="Calibri" w:cs="Calibri"/>
                <w:spacing w:val="-5"/>
                <w:sz w:val="20"/>
                <w:szCs w:val="20"/>
              </w:rPr>
              <w:t>1</w:t>
            </w:r>
            <w:r>
              <w:rPr>
                <w:rFonts w:ascii="Calibri" w:hAnsi="Calibri" w:eastAsia="Calibri" w:cs="Calibri"/>
                <w:sz w:val="20"/>
                <w:szCs w:val="20"/>
              </w:rPr>
              <w:t xml:space="preserve"> </w:t>
            </w:r>
            <w:r>
              <w:rPr>
                <w:sz w:val="20"/>
                <w:szCs w:val="20"/>
              </w:rPr>
              <w:t>次</w:t>
            </w:r>
          </w:p>
        </w:tc>
        <w:tc>
          <w:tcPr>
            <w:tcW w:w="1166" w:type="dxa"/>
            <w:vMerge w:val="restart"/>
            <w:tcBorders>
              <w:bottom w:val="nil"/>
              <w:right w:val="single" w:color="000000" w:sz="10" w:space="0"/>
            </w:tcBorders>
            <w:vAlign w:val="top"/>
          </w:tcPr>
          <w:p w14:paraId="18195161">
            <w:pPr>
              <w:pStyle w:val="6"/>
              <w:spacing w:before="64" w:line="281" w:lineRule="auto"/>
              <w:ind w:left="127" w:right="204" w:firstLine="102"/>
              <w:jc w:val="right"/>
              <w:rPr>
                <w:sz w:val="20"/>
                <w:szCs w:val="20"/>
              </w:rPr>
            </w:pPr>
            <w:r>
              <w:rPr>
                <w:spacing w:val="5"/>
                <w:sz w:val="20"/>
                <w:szCs w:val="20"/>
              </w:rPr>
              <w:t>定期进</w:t>
            </w:r>
            <w:r>
              <w:rPr>
                <w:sz w:val="20"/>
                <w:szCs w:val="20"/>
              </w:rPr>
              <w:t xml:space="preserve">  </w:t>
            </w:r>
            <w:r>
              <w:rPr>
                <w:spacing w:val="39"/>
                <w:sz w:val="20"/>
                <w:szCs w:val="20"/>
              </w:rPr>
              <w:t>行设备</w:t>
            </w:r>
            <w:r>
              <w:rPr>
                <w:sz w:val="20"/>
                <w:szCs w:val="20"/>
              </w:rPr>
              <w:t xml:space="preserve">  </w:t>
            </w:r>
            <w:r>
              <w:rPr>
                <w:spacing w:val="4"/>
                <w:sz w:val="20"/>
                <w:szCs w:val="20"/>
              </w:rPr>
              <w:t>维护，当</w:t>
            </w:r>
            <w:r>
              <w:rPr>
                <w:spacing w:val="2"/>
                <w:sz w:val="20"/>
                <w:szCs w:val="20"/>
              </w:rPr>
              <w:t xml:space="preserve"> </w:t>
            </w:r>
            <w:r>
              <w:rPr>
                <w:spacing w:val="39"/>
                <w:sz w:val="20"/>
                <w:szCs w:val="20"/>
              </w:rPr>
              <w:t>工艺废</w:t>
            </w:r>
            <w:r>
              <w:rPr>
                <w:sz w:val="20"/>
                <w:szCs w:val="20"/>
              </w:rPr>
              <w:t xml:space="preserve">  </w:t>
            </w:r>
            <w:r>
              <w:rPr>
                <w:spacing w:val="39"/>
                <w:sz w:val="20"/>
                <w:szCs w:val="20"/>
              </w:rPr>
              <w:t>气处理</w:t>
            </w:r>
            <w:r>
              <w:rPr>
                <w:sz w:val="20"/>
                <w:szCs w:val="20"/>
              </w:rPr>
              <w:t xml:space="preserve">  </w:t>
            </w:r>
            <w:r>
              <w:rPr>
                <w:spacing w:val="39"/>
                <w:sz w:val="20"/>
                <w:szCs w:val="20"/>
              </w:rPr>
              <w:t>装置出</w:t>
            </w:r>
            <w:r>
              <w:rPr>
                <w:sz w:val="20"/>
                <w:szCs w:val="20"/>
              </w:rPr>
              <w:t xml:space="preserve">  </w:t>
            </w:r>
            <w:r>
              <w:rPr>
                <w:spacing w:val="39"/>
                <w:sz w:val="20"/>
                <w:szCs w:val="20"/>
              </w:rPr>
              <w:t>现故障</w:t>
            </w:r>
            <w:r>
              <w:rPr>
                <w:sz w:val="20"/>
                <w:szCs w:val="20"/>
              </w:rPr>
              <w:t xml:space="preserve">  </w:t>
            </w:r>
            <w:r>
              <w:rPr>
                <w:spacing w:val="39"/>
                <w:sz w:val="20"/>
                <w:szCs w:val="20"/>
              </w:rPr>
              <w:t>时停止</w:t>
            </w:r>
            <w:r>
              <w:rPr>
                <w:sz w:val="20"/>
                <w:szCs w:val="20"/>
              </w:rPr>
              <w:t xml:space="preserve">  </w:t>
            </w:r>
            <w:r>
              <w:rPr>
                <w:spacing w:val="39"/>
                <w:sz w:val="20"/>
                <w:szCs w:val="20"/>
              </w:rPr>
              <w:t>生产进</w:t>
            </w:r>
            <w:r>
              <w:rPr>
                <w:sz w:val="20"/>
                <w:szCs w:val="20"/>
              </w:rPr>
              <w:t xml:space="preserve">  </w:t>
            </w:r>
            <w:r>
              <w:rPr>
                <w:spacing w:val="5"/>
                <w:sz w:val="20"/>
                <w:szCs w:val="20"/>
              </w:rPr>
              <w:t>行检修</w:t>
            </w:r>
          </w:p>
        </w:tc>
      </w:tr>
      <w:tr w14:paraId="4CE747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5" w:hRule="atLeast"/>
        </w:trPr>
        <w:tc>
          <w:tcPr>
            <w:tcW w:w="477" w:type="dxa"/>
            <w:vMerge w:val="continue"/>
            <w:tcBorders>
              <w:top w:val="nil"/>
              <w:left w:val="single" w:color="000000" w:sz="10" w:space="0"/>
              <w:bottom w:val="nil"/>
            </w:tcBorders>
            <w:vAlign w:val="top"/>
          </w:tcPr>
          <w:p w14:paraId="3500AB6E">
            <w:pPr>
              <w:rPr>
                <w:rFonts w:ascii="Arial"/>
                <w:sz w:val="21"/>
              </w:rPr>
            </w:pPr>
          </w:p>
        </w:tc>
        <w:tc>
          <w:tcPr>
            <w:tcW w:w="904" w:type="dxa"/>
            <w:vMerge w:val="continue"/>
            <w:tcBorders>
              <w:top w:val="nil"/>
              <w:bottom w:val="nil"/>
            </w:tcBorders>
            <w:vAlign w:val="top"/>
          </w:tcPr>
          <w:p w14:paraId="70937D4D">
            <w:pPr>
              <w:rPr>
                <w:rFonts w:ascii="Arial"/>
                <w:sz w:val="21"/>
              </w:rPr>
            </w:pPr>
          </w:p>
        </w:tc>
        <w:tc>
          <w:tcPr>
            <w:tcW w:w="865" w:type="dxa"/>
            <w:vAlign w:val="top"/>
          </w:tcPr>
          <w:p w14:paraId="7B912DA0">
            <w:pPr>
              <w:spacing w:line="309" w:lineRule="auto"/>
              <w:rPr>
                <w:rFonts w:ascii="Arial"/>
                <w:sz w:val="21"/>
              </w:rPr>
            </w:pPr>
          </w:p>
          <w:p w14:paraId="32A3B8B4">
            <w:pPr>
              <w:spacing w:line="309" w:lineRule="auto"/>
              <w:rPr>
                <w:rFonts w:ascii="Arial"/>
                <w:sz w:val="21"/>
              </w:rPr>
            </w:pPr>
          </w:p>
          <w:p w14:paraId="71319764">
            <w:pPr>
              <w:pStyle w:val="6"/>
              <w:spacing w:before="65" w:line="278" w:lineRule="auto"/>
              <w:ind w:left="114" w:right="122" w:firstLine="5"/>
              <w:jc w:val="both"/>
              <w:rPr>
                <w:sz w:val="20"/>
                <w:szCs w:val="20"/>
              </w:rPr>
            </w:pPr>
            <w:r>
              <w:rPr>
                <w:spacing w:val="5"/>
                <w:sz w:val="20"/>
                <w:szCs w:val="20"/>
              </w:rPr>
              <w:t>活性炭</w:t>
            </w:r>
            <w:r>
              <w:rPr>
                <w:spacing w:val="1"/>
                <w:sz w:val="20"/>
                <w:szCs w:val="20"/>
              </w:rPr>
              <w:t xml:space="preserve"> </w:t>
            </w:r>
            <w:r>
              <w:rPr>
                <w:spacing w:val="7"/>
                <w:sz w:val="20"/>
                <w:szCs w:val="20"/>
              </w:rPr>
              <w:t>吸附装</w:t>
            </w:r>
            <w:r>
              <w:rPr>
                <w:sz w:val="20"/>
                <w:szCs w:val="20"/>
              </w:rPr>
              <w:t xml:space="preserve"> </w:t>
            </w:r>
            <w:r>
              <w:rPr>
                <w:spacing w:val="7"/>
                <w:sz w:val="20"/>
                <w:szCs w:val="20"/>
              </w:rPr>
              <w:t>置故障</w:t>
            </w:r>
          </w:p>
        </w:tc>
        <w:tc>
          <w:tcPr>
            <w:tcW w:w="795" w:type="dxa"/>
            <w:vAlign w:val="top"/>
          </w:tcPr>
          <w:p w14:paraId="38E3BCA6">
            <w:pPr>
              <w:spacing w:line="243" w:lineRule="auto"/>
              <w:rPr>
                <w:rFonts w:ascii="Arial"/>
                <w:sz w:val="21"/>
              </w:rPr>
            </w:pPr>
          </w:p>
          <w:p w14:paraId="173C82BC">
            <w:pPr>
              <w:spacing w:line="243" w:lineRule="auto"/>
              <w:rPr>
                <w:rFonts w:ascii="Arial"/>
                <w:sz w:val="21"/>
              </w:rPr>
            </w:pPr>
          </w:p>
          <w:p w14:paraId="2DDECB96">
            <w:pPr>
              <w:spacing w:line="243" w:lineRule="auto"/>
              <w:rPr>
                <w:rFonts w:ascii="Arial"/>
                <w:sz w:val="21"/>
              </w:rPr>
            </w:pPr>
          </w:p>
          <w:p w14:paraId="3E884418">
            <w:pPr>
              <w:spacing w:line="244" w:lineRule="auto"/>
              <w:rPr>
                <w:rFonts w:ascii="Arial"/>
                <w:sz w:val="21"/>
              </w:rPr>
            </w:pPr>
          </w:p>
          <w:p w14:paraId="50D5FE3E">
            <w:pPr>
              <w:spacing w:before="61" w:line="186" w:lineRule="auto"/>
              <w:ind w:left="344"/>
              <w:rPr>
                <w:rFonts w:ascii="Calibri" w:hAnsi="Calibri" w:eastAsia="Calibri" w:cs="Calibri"/>
                <w:sz w:val="20"/>
                <w:szCs w:val="20"/>
              </w:rPr>
            </w:pPr>
            <w:r>
              <w:rPr>
                <w:rFonts w:ascii="Calibri" w:hAnsi="Calibri" w:eastAsia="Calibri" w:cs="Calibri"/>
                <w:sz w:val="20"/>
                <w:szCs w:val="20"/>
              </w:rPr>
              <w:t>0</w:t>
            </w:r>
          </w:p>
        </w:tc>
        <w:tc>
          <w:tcPr>
            <w:tcW w:w="1137" w:type="dxa"/>
            <w:vAlign w:val="top"/>
          </w:tcPr>
          <w:p w14:paraId="06D05BBF">
            <w:pPr>
              <w:spacing w:line="257" w:lineRule="auto"/>
              <w:rPr>
                <w:rFonts w:ascii="Arial"/>
                <w:sz w:val="21"/>
              </w:rPr>
            </w:pPr>
          </w:p>
          <w:p w14:paraId="19BB3230">
            <w:pPr>
              <w:spacing w:line="257" w:lineRule="auto"/>
              <w:rPr>
                <w:rFonts w:ascii="Arial"/>
                <w:sz w:val="21"/>
              </w:rPr>
            </w:pPr>
          </w:p>
          <w:p w14:paraId="01E74608">
            <w:pPr>
              <w:spacing w:line="258" w:lineRule="auto"/>
              <w:rPr>
                <w:rFonts w:ascii="Arial"/>
                <w:sz w:val="21"/>
              </w:rPr>
            </w:pPr>
          </w:p>
          <w:p w14:paraId="1744FB30">
            <w:pPr>
              <w:pStyle w:val="6"/>
              <w:spacing w:before="65" w:line="274" w:lineRule="auto"/>
              <w:ind w:left="467" w:right="149" w:hanging="311"/>
              <w:rPr>
                <w:sz w:val="20"/>
                <w:szCs w:val="20"/>
              </w:rPr>
            </w:pPr>
            <w:r>
              <w:rPr>
                <w:spacing w:val="6"/>
                <w:sz w:val="20"/>
                <w:szCs w:val="20"/>
              </w:rPr>
              <w:t>非甲烷总</w:t>
            </w:r>
            <w:r>
              <w:rPr>
                <w:spacing w:val="1"/>
                <w:sz w:val="20"/>
                <w:szCs w:val="20"/>
              </w:rPr>
              <w:t xml:space="preserve"> </w:t>
            </w:r>
            <w:r>
              <w:rPr>
                <w:sz w:val="20"/>
                <w:szCs w:val="20"/>
              </w:rPr>
              <w:t>烃</w:t>
            </w:r>
          </w:p>
        </w:tc>
        <w:tc>
          <w:tcPr>
            <w:tcW w:w="879" w:type="dxa"/>
            <w:vAlign w:val="top"/>
          </w:tcPr>
          <w:p w14:paraId="53BD103B">
            <w:pPr>
              <w:spacing w:line="243" w:lineRule="auto"/>
              <w:rPr>
                <w:rFonts w:ascii="Arial"/>
                <w:sz w:val="21"/>
              </w:rPr>
            </w:pPr>
          </w:p>
          <w:p w14:paraId="56B174A6">
            <w:pPr>
              <w:spacing w:line="243" w:lineRule="auto"/>
              <w:rPr>
                <w:rFonts w:ascii="Arial"/>
                <w:sz w:val="21"/>
              </w:rPr>
            </w:pPr>
          </w:p>
          <w:p w14:paraId="56C36F6E">
            <w:pPr>
              <w:spacing w:line="243" w:lineRule="auto"/>
              <w:rPr>
                <w:rFonts w:ascii="Arial"/>
                <w:sz w:val="21"/>
              </w:rPr>
            </w:pPr>
          </w:p>
          <w:p w14:paraId="1745D08C">
            <w:pPr>
              <w:spacing w:line="244" w:lineRule="auto"/>
              <w:rPr>
                <w:rFonts w:ascii="Arial"/>
                <w:sz w:val="21"/>
              </w:rPr>
            </w:pPr>
          </w:p>
          <w:p w14:paraId="62BD1E90">
            <w:pPr>
              <w:spacing w:before="61" w:line="186" w:lineRule="auto"/>
              <w:ind w:left="152"/>
              <w:rPr>
                <w:rFonts w:ascii="Calibri" w:hAnsi="Calibri" w:eastAsia="Calibri" w:cs="Calibri"/>
                <w:sz w:val="20"/>
                <w:szCs w:val="20"/>
              </w:rPr>
            </w:pPr>
            <w:r>
              <w:rPr>
                <w:rFonts w:ascii="Calibri" w:hAnsi="Calibri" w:eastAsia="Calibri" w:cs="Calibri"/>
                <w:spacing w:val="3"/>
                <w:sz w:val="20"/>
                <w:szCs w:val="20"/>
              </w:rPr>
              <w:t>0.0085</w:t>
            </w:r>
          </w:p>
        </w:tc>
        <w:tc>
          <w:tcPr>
            <w:tcW w:w="1190" w:type="dxa"/>
            <w:vAlign w:val="top"/>
          </w:tcPr>
          <w:p w14:paraId="513D0DC2">
            <w:pPr>
              <w:spacing w:line="243" w:lineRule="auto"/>
              <w:rPr>
                <w:rFonts w:ascii="Arial"/>
                <w:sz w:val="21"/>
              </w:rPr>
            </w:pPr>
          </w:p>
          <w:p w14:paraId="199E1725">
            <w:pPr>
              <w:spacing w:line="243" w:lineRule="auto"/>
              <w:rPr>
                <w:rFonts w:ascii="Arial"/>
                <w:sz w:val="21"/>
              </w:rPr>
            </w:pPr>
          </w:p>
          <w:p w14:paraId="7BEDC5AD">
            <w:pPr>
              <w:spacing w:line="243" w:lineRule="auto"/>
              <w:rPr>
                <w:rFonts w:ascii="Arial"/>
                <w:sz w:val="21"/>
              </w:rPr>
            </w:pPr>
          </w:p>
          <w:p w14:paraId="6C31CD14">
            <w:pPr>
              <w:spacing w:line="244" w:lineRule="auto"/>
              <w:rPr>
                <w:rFonts w:ascii="Arial"/>
                <w:sz w:val="21"/>
              </w:rPr>
            </w:pPr>
          </w:p>
          <w:p w14:paraId="56FE08D0">
            <w:pPr>
              <w:spacing w:before="61" w:line="186" w:lineRule="auto"/>
              <w:ind w:left="416"/>
              <w:rPr>
                <w:rFonts w:ascii="Calibri" w:hAnsi="Calibri" w:eastAsia="Calibri" w:cs="Calibri"/>
                <w:sz w:val="20"/>
                <w:szCs w:val="20"/>
              </w:rPr>
            </w:pPr>
            <w:r>
              <w:rPr>
                <w:rFonts w:ascii="Calibri" w:hAnsi="Calibri" w:eastAsia="Calibri" w:cs="Calibri"/>
                <w:spacing w:val="2"/>
                <w:sz w:val="20"/>
                <w:szCs w:val="20"/>
              </w:rPr>
              <w:t>4.25</w:t>
            </w:r>
          </w:p>
        </w:tc>
        <w:tc>
          <w:tcPr>
            <w:tcW w:w="680" w:type="dxa"/>
            <w:vAlign w:val="top"/>
          </w:tcPr>
          <w:p w14:paraId="1B8AC13A">
            <w:pPr>
              <w:spacing w:line="309" w:lineRule="auto"/>
              <w:rPr>
                <w:rFonts w:ascii="Arial"/>
                <w:sz w:val="21"/>
              </w:rPr>
            </w:pPr>
          </w:p>
          <w:p w14:paraId="2D1032B7">
            <w:pPr>
              <w:spacing w:line="309" w:lineRule="auto"/>
              <w:rPr>
                <w:rFonts w:ascii="Arial"/>
                <w:sz w:val="21"/>
              </w:rPr>
            </w:pPr>
          </w:p>
          <w:p w14:paraId="2BE226C5">
            <w:pPr>
              <w:spacing w:line="309" w:lineRule="auto"/>
              <w:rPr>
                <w:rFonts w:ascii="Arial"/>
                <w:sz w:val="21"/>
              </w:rPr>
            </w:pPr>
          </w:p>
          <w:p w14:paraId="3571C233">
            <w:pPr>
              <w:pStyle w:val="6"/>
              <w:spacing w:before="65" w:line="267" w:lineRule="exact"/>
              <w:ind w:left="154"/>
              <w:rPr>
                <w:rFonts w:ascii="Calibri" w:hAnsi="Calibri" w:eastAsia="Calibri" w:cs="Calibri"/>
                <w:sz w:val="20"/>
                <w:szCs w:val="20"/>
              </w:rPr>
            </w:pPr>
            <w:r>
              <w:rPr>
                <w:spacing w:val="-2"/>
                <w:position w:val="1"/>
                <w:sz w:val="20"/>
                <w:szCs w:val="20"/>
              </w:rPr>
              <w:t>＜</w:t>
            </w:r>
            <w:r>
              <w:rPr>
                <w:rFonts w:ascii="Calibri" w:hAnsi="Calibri" w:eastAsia="Calibri" w:cs="Calibri"/>
                <w:spacing w:val="-2"/>
                <w:position w:val="1"/>
                <w:sz w:val="20"/>
                <w:szCs w:val="20"/>
              </w:rPr>
              <w:t>1h</w:t>
            </w:r>
          </w:p>
        </w:tc>
        <w:tc>
          <w:tcPr>
            <w:tcW w:w="809" w:type="dxa"/>
            <w:vAlign w:val="top"/>
          </w:tcPr>
          <w:p w14:paraId="73CBC29A">
            <w:pPr>
              <w:spacing w:line="327" w:lineRule="auto"/>
              <w:rPr>
                <w:rFonts w:ascii="Arial"/>
                <w:sz w:val="21"/>
              </w:rPr>
            </w:pPr>
          </w:p>
          <w:p w14:paraId="340ADDEA">
            <w:pPr>
              <w:spacing w:line="328" w:lineRule="auto"/>
              <w:rPr>
                <w:rFonts w:ascii="Arial"/>
                <w:sz w:val="21"/>
              </w:rPr>
            </w:pPr>
          </w:p>
          <w:p w14:paraId="395D2F59">
            <w:pPr>
              <w:pStyle w:val="6"/>
              <w:spacing w:before="65" w:line="362" w:lineRule="auto"/>
              <w:ind w:left="318" w:right="236" w:hanging="43"/>
              <w:rPr>
                <w:sz w:val="20"/>
                <w:szCs w:val="20"/>
              </w:rPr>
            </w:pPr>
            <w:r>
              <w:rPr>
                <w:spacing w:val="-5"/>
                <w:sz w:val="20"/>
                <w:szCs w:val="20"/>
              </w:rPr>
              <w:t>≤</w:t>
            </w:r>
            <w:r>
              <w:rPr>
                <w:rFonts w:ascii="Calibri" w:hAnsi="Calibri" w:eastAsia="Calibri" w:cs="Calibri"/>
                <w:spacing w:val="-5"/>
                <w:sz w:val="20"/>
                <w:szCs w:val="20"/>
              </w:rPr>
              <w:t>1</w:t>
            </w:r>
            <w:r>
              <w:rPr>
                <w:rFonts w:ascii="Calibri" w:hAnsi="Calibri" w:eastAsia="Calibri" w:cs="Calibri"/>
                <w:sz w:val="20"/>
                <w:szCs w:val="20"/>
              </w:rPr>
              <w:t xml:space="preserve"> </w:t>
            </w:r>
            <w:r>
              <w:rPr>
                <w:sz w:val="20"/>
                <w:szCs w:val="20"/>
              </w:rPr>
              <w:t>次</w:t>
            </w:r>
          </w:p>
        </w:tc>
        <w:tc>
          <w:tcPr>
            <w:tcW w:w="1166" w:type="dxa"/>
            <w:vMerge w:val="continue"/>
            <w:tcBorders>
              <w:top w:val="nil"/>
              <w:right w:val="single" w:color="000000" w:sz="10" w:space="0"/>
            </w:tcBorders>
            <w:vAlign w:val="top"/>
          </w:tcPr>
          <w:p w14:paraId="1BBB6690">
            <w:pPr>
              <w:rPr>
                <w:rFonts w:ascii="Arial"/>
                <w:sz w:val="21"/>
              </w:rPr>
            </w:pPr>
          </w:p>
        </w:tc>
      </w:tr>
      <w:tr w14:paraId="7D185B4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72" w:hRule="atLeast"/>
        </w:trPr>
        <w:tc>
          <w:tcPr>
            <w:tcW w:w="477" w:type="dxa"/>
            <w:vMerge w:val="continue"/>
            <w:tcBorders>
              <w:top w:val="nil"/>
              <w:left w:val="single" w:color="000000" w:sz="10" w:space="0"/>
              <w:bottom w:val="nil"/>
            </w:tcBorders>
            <w:vAlign w:val="top"/>
          </w:tcPr>
          <w:p w14:paraId="18FAFD8B">
            <w:pPr>
              <w:rPr>
                <w:rFonts w:ascii="Arial"/>
                <w:sz w:val="21"/>
              </w:rPr>
            </w:pPr>
          </w:p>
        </w:tc>
        <w:tc>
          <w:tcPr>
            <w:tcW w:w="904" w:type="dxa"/>
            <w:vMerge w:val="continue"/>
            <w:tcBorders>
              <w:top w:val="nil"/>
              <w:bottom w:val="single" w:color="000000" w:sz="10" w:space="0"/>
            </w:tcBorders>
            <w:vAlign w:val="top"/>
          </w:tcPr>
          <w:p w14:paraId="0F6B173C">
            <w:pPr>
              <w:rPr>
                <w:rFonts w:ascii="Arial"/>
                <w:sz w:val="21"/>
              </w:rPr>
            </w:pPr>
          </w:p>
        </w:tc>
        <w:tc>
          <w:tcPr>
            <w:tcW w:w="865" w:type="dxa"/>
            <w:tcBorders>
              <w:bottom w:val="single" w:color="000000" w:sz="10" w:space="0"/>
            </w:tcBorders>
            <w:vAlign w:val="top"/>
          </w:tcPr>
          <w:p w14:paraId="5C96C99E">
            <w:pPr>
              <w:spacing w:line="470" w:lineRule="auto"/>
              <w:rPr>
                <w:rFonts w:ascii="Arial"/>
                <w:sz w:val="21"/>
              </w:rPr>
            </w:pPr>
          </w:p>
          <w:p w14:paraId="1B35AD17">
            <w:pPr>
              <w:pStyle w:val="6"/>
              <w:spacing w:before="65" w:line="274" w:lineRule="auto"/>
              <w:ind w:left="116" w:right="122" w:firstLine="24"/>
              <w:rPr>
                <w:sz w:val="20"/>
                <w:szCs w:val="20"/>
              </w:rPr>
            </w:pPr>
            <w:r>
              <w:rPr>
                <w:spacing w:val="-2"/>
                <w:sz w:val="20"/>
                <w:szCs w:val="20"/>
              </w:rPr>
              <w:t>电池破</w:t>
            </w:r>
            <w:r>
              <w:rPr>
                <w:spacing w:val="1"/>
                <w:sz w:val="20"/>
                <w:szCs w:val="20"/>
              </w:rPr>
              <w:t xml:space="preserve"> </w:t>
            </w:r>
            <w:r>
              <w:rPr>
                <w:spacing w:val="6"/>
                <w:sz w:val="20"/>
                <w:szCs w:val="20"/>
              </w:rPr>
              <w:t>损情况</w:t>
            </w:r>
          </w:p>
        </w:tc>
        <w:tc>
          <w:tcPr>
            <w:tcW w:w="795" w:type="dxa"/>
            <w:tcBorders>
              <w:bottom w:val="single" w:color="000000" w:sz="10" w:space="0"/>
            </w:tcBorders>
            <w:vAlign w:val="top"/>
          </w:tcPr>
          <w:p w14:paraId="4A390B0C">
            <w:pPr>
              <w:spacing w:line="335" w:lineRule="auto"/>
              <w:rPr>
                <w:rFonts w:ascii="Arial"/>
                <w:sz w:val="21"/>
              </w:rPr>
            </w:pPr>
          </w:p>
          <w:p w14:paraId="520834D9">
            <w:pPr>
              <w:spacing w:line="336" w:lineRule="auto"/>
              <w:rPr>
                <w:rFonts w:ascii="Arial"/>
                <w:sz w:val="21"/>
              </w:rPr>
            </w:pPr>
          </w:p>
          <w:p w14:paraId="6A917856">
            <w:pPr>
              <w:spacing w:before="61" w:line="186" w:lineRule="auto"/>
              <w:ind w:left="293"/>
              <w:rPr>
                <w:rFonts w:ascii="Calibri" w:hAnsi="Calibri" w:eastAsia="Calibri" w:cs="Calibri"/>
                <w:sz w:val="20"/>
                <w:szCs w:val="20"/>
              </w:rPr>
            </w:pPr>
            <w:r>
              <w:rPr>
                <w:rFonts w:ascii="Calibri" w:hAnsi="Calibri" w:eastAsia="Calibri" w:cs="Calibri"/>
                <w:sz w:val="20"/>
                <w:szCs w:val="20"/>
              </w:rPr>
              <w:t>90</w:t>
            </w:r>
          </w:p>
        </w:tc>
        <w:tc>
          <w:tcPr>
            <w:tcW w:w="1137" w:type="dxa"/>
            <w:tcBorders>
              <w:bottom w:val="single" w:color="000000" w:sz="10" w:space="0"/>
            </w:tcBorders>
            <w:vAlign w:val="top"/>
          </w:tcPr>
          <w:p w14:paraId="53FD7E39">
            <w:pPr>
              <w:spacing w:line="313" w:lineRule="auto"/>
              <w:rPr>
                <w:rFonts w:ascii="Arial"/>
                <w:sz w:val="21"/>
              </w:rPr>
            </w:pPr>
          </w:p>
          <w:p w14:paraId="4A0B504D">
            <w:pPr>
              <w:spacing w:line="313" w:lineRule="auto"/>
              <w:rPr>
                <w:rFonts w:ascii="Arial"/>
                <w:sz w:val="21"/>
              </w:rPr>
            </w:pPr>
          </w:p>
          <w:p w14:paraId="0EA117C7">
            <w:pPr>
              <w:pStyle w:val="6"/>
              <w:spacing w:before="65" w:line="229" w:lineRule="auto"/>
              <w:ind w:left="255"/>
              <w:rPr>
                <w:sz w:val="20"/>
                <w:szCs w:val="20"/>
              </w:rPr>
            </w:pPr>
            <w:r>
              <w:rPr>
                <w:spacing w:val="7"/>
                <w:sz w:val="20"/>
                <w:szCs w:val="20"/>
              </w:rPr>
              <w:t>硫酸雾</w:t>
            </w:r>
          </w:p>
        </w:tc>
        <w:tc>
          <w:tcPr>
            <w:tcW w:w="879" w:type="dxa"/>
            <w:tcBorders>
              <w:bottom w:val="single" w:color="000000" w:sz="10" w:space="0"/>
            </w:tcBorders>
            <w:vAlign w:val="top"/>
          </w:tcPr>
          <w:p w14:paraId="567D2778">
            <w:pPr>
              <w:spacing w:line="335" w:lineRule="auto"/>
              <w:rPr>
                <w:rFonts w:ascii="Arial"/>
                <w:sz w:val="21"/>
              </w:rPr>
            </w:pPr>
          </w:p>
          <w:p w14:paraId="22D367CA">
            <w:pPr>
              <w:spacing w:line="336" w:lineRule="auto"/>
              <w:rPr>
                <w:rFonts w:ascii="Arial"/>
                <w:sz w:val="21"/>
              </w:rPr>
            </w:pPr>
          </w:p>
          <w:p w14:paraId="16F51879">
            <w:pPr>
              <w:spacing w:before="61" w:line="186" w:lineRule="auto"/>
              <w:ind w:left="152"/>
              <w:rPr>
                <w:rFonts w:ascii="Calibri" w:hAnsi="Calibri" w:eastAsia="Calibri" w:cs="Calibri"/>
                <w:sz w:val="20"/>
                <w:szCs w:val="20"/>
              </w:rPr>
            </w:pPr>
            <w:r>
              <w:rPr>
                <w:rFonts w:ascii="Calibri" w:hAnsi="Calibri" w:eastAsia="Calibri" w:cs="Calibri"/>
                <w:spacing w:val="3"/>
                <w:sz w:val="20"/>
                <w:szCs w:val="20"/>
              </w:rPr>
              <w:t>0.0004</w:t>
            </w:r>
          </w:p>
        </w:tc>
        <w:tc>
          <w:tcPr>
            <w:tcW w:w="1190" w:type="dxa"/>
            <w:tcBorders>
              <w:bottom w:val="single" w:color="000000" w:sz="10" w:space="0"/>
            </w:tcBorders>
            <w:vAlign w:val="top"/>
          </w:tcPr>
          <w:p w14:paraId="3C41BB1D">
            <w:pPr>
              <w:spacing w:line="335" w:lineRule="auto"/>
              <w:rPr>
                <w:rFonts w:ascii="Arial"/>
                <w:sz w:val="21"/>
              </w:rPr>
            </w:pPr>
          </w:p>
          <w:p w14:paraId="4607A4F4">
            <w:pPr>
              <w:spacing w:line="336" w:lineRule="auto"/>
              <w:rPr>
                <w:rFonts w:ascii="Arial"/>
                <w:sz w:val="21"/>
              </w:rPr>
            </w:pPr>
          </w:p>
          <w:p w14:paraId="746769B9">
            <w:pPr>
              <w:spacing w:before="61" w:line="186" w:lineRule="auto"/>
              <w:ind w:left="471"/>
              <w:rPr>
                <w:rFonts w:ascii="Calibri" w:hAnsi="Calibri" w:eastAsia="Calibri" w:cs="Calibri"/>
                <w:sz w:val="20"/>
                <w:szCs w:val="20"/>
              </w:rPr>
            </w:pPr>
            <w:r>
              <w:rPr>
                <w:rFonts w:ascii="Calibri" w:hAnsi="Calibri" w:eastAsia="Calibri" w:cs="Calibri"/>
                <w:spacing w:val="1"/>
                <w:sz w:val="20"/>
                <w:szCs w:val="20"/>
              </w:rPr>
              <w:t>0.2</w:t>
            </w:r>
          </w:p>
        </w:tc>
        <w:tc>
          <w:tcPr>
            <w:tcW w:w="680" w:type="dxa"/>
            <w:tcBorders>
              <w:bottom w:val="single" w:color="000000" w:sz="10" w:space="0"/>
            </w:tcBorders>
            <w:vAlign w:val="top"/>
          </w:tcPr>
          <w:p w14:paraId="3CCFF069">
            <w:pPr>
              <w:spacing w:line="313" w:lineRule="auto"/>
              <w:rPr>
                <w:rFonts w:ascii="Arial"/>
                <w:sz w:val="21"/>
              </w:rPr>
            </w:pPr>
          </w:p>
          <w:p w14:paraId="65551B88">
            <w:pPr>
              <w:spacing w:line="313" w:lineRule="auto"/>
              <w:rPr>
                <w:rFonts w:ascii="Arial"/>
                <w:sz w:val="21"/>
              </w:rPr>
            </w:pPr>
          </w:p>
          <w:p w14:paraId="3FF27CEB">
            <w:pPr>
              <w:pStyle w:val="6"/>
              <w:spacing w:before="65" w:line="266" w:lineRule="exact"/>
              <w:ind w:left="154"/>
              <w:rPr>
                <w:rFonts w:ascii="Calibri" w:hAnsi="Calibri" w:eastAsia="Calibri" w:cs="Calibri"/>
                <w:sz w:val="20"/>
                <w:szCs w:val="20"/>
              </w:rPr>
            </w:pPr>
            <w:r>
              <w:rPr>
                <w:spacing w:val="-2"/>
                <w:position w:val="1"/>
                <w:sz w:val="20"/>
                <w:szCs w:val="20"/>
              </w:rPr>
              <w:t>＜</w:t>
            </w:r>
            <w:r>
              <w:rPr>
                <w:rFonts w:ascii="Calibri" w:hAnsi="Calibri" w:eastAsia="Calibri" w:cs="Calibri"/>
                <w:spacing w:val="-2"/>
                <w:position w:val="1"/>
                <w:sz w:val="20"/>
                <w:szCs w:val="20"/>
              </w:rPr>
              <w:t>1h</w:t>
            </w:r>
          </w:p>
        </w:tc>
        <w:tc>
          <w:tcPr>
            <w:tcW w:w="809" w:type="dxa"/>
            <w:tcBorders>
              <w:bottom w:val="single" w:color="000000" w:sz="10" w:space="0"/>
            </w:tcBorders>
            <w:vAlign w:val="top"/>
          </w:tcPr>
          <w:p w14:paraId="71751D35">
            <w:pPr>
              <w:spacing w:line="354" w:lineRule="auto"/>
              <w:rPr>
                <w:rFonts w:ascii="Arial"/>
                <w:sz w:val="21"/>
              </w:rPr>
            </w:pPr>
          </w:p>
          <w:p w14:paraId="210BF6B9">
            <w:pPr>
              <w:pStyle w:val="6"/>
              <w:spacing w:before="65" w:line="362" w:lineRule="auto"/>
              <w:ind w:left="318" w:right="236" w:hanging="43"/>
              <w:rPr>
                <w:sz w:val="20"/>
                <w:szCs w:val="20"/>
              </w:rPr>
            </w:pPr>
            <w:r>
              <w:rPr>
                <w:spacing w:val="-5"/>
                <w:sz w:val="20"/>
                <w:szCs w:val="20"/>
              </w:rPr>
              <w:t>≤</w:t>
            </w:r>
            <w:r>
              <w:rPr>
                <w:rFonts w:ascii="Calibri" w:hAnsi="Calibri" w:eastAsia="Calibri" w:cs="Calibri"/>
                <w:spacing w:val="-5"/>
                <w:sz w:val="20"/>
                <w:szCs w:val="20"/>
              </w:rPr>
              <w:t>1</w:t>
            </w:r>
            <w:r>
              <w:rPr>
                <w:rFonts w:ascii="Calibri" w:hAnsi="Calibri" w:eastAsia="Calibri" w:cs="Calibri"/>
                <w:sz w:val="20"/>
                <w:szCs w:val="20"/>
              </w:rPr>
              <w:t xml:space="preserve"> </w:t>
            </w:r>
            <w:r>
              <w:rPr>
                <w:sz w:val="20"/>
                <w:szCs w:val="20"/>
              </w:rPr>
              <w:t>次</w:t>
            </w:r>
          </w:p>
        </w:tc>
        <w:tc>
          <w:tcPr>
            <w:tcW w:w="1166" w:type="dxa"/>
            <w:tcBorders>
              <w:bottom w:val="single" w:color="000000" w:sz="10" w:space="0"/>
              <w:right w:val="single" w:color="000000" w:sz="10" w:space="0"/>
            </w:tcBorders>
            <w:vAlign w:val="top"/>
          </w:tcPr>
          <w:p w14:paraId="7CF037EA">
            <w:pPr>
              <w:pStyle w:val="6"/>
              <w:spacing w:before="71" w:line="228" w:lineRule="auto"/>
              <w:ind w:left="123"/>
              <w:rPr>
                <w:sz w:val="20"/>
                <w:szCs w:val="20"/>
              </w:rPr>
            </w:pPr>
            <w:r>
              <w:rPr>
                <w:spacing w:val="5"/>
                <w:sz w:val="20"/>
                <w:szCs w:val="20"/>
              </w:rPr>
              <w:t>装卸、搬</w:t>
            </w:r>
          </w:p>
          <w:p w14:paraId="19EF95FC">
            <w:pPr>
              <w:pStyle w:val="6"/>
              <w:spacing w:before="64" w:line="237" w:lineRule="auto"/>
              <w:ind w:left="433"/>
              <w:rPr>
                <w:sz w:val="20"/>
                <w:szCs w:val="20"/>
              </w:rPr>
            </w:pPr>
            <w:r>
              <w:rPr>
                <w:sz w:val="20"/>
                <w:szCs w:val="20"/>
              </w:rPr>
              <w:t>运</w:t>
            </w:r>
          </w:p>
          <w:p w14:paraId="65A5357F">
            <w:pPr>
              <w:pStyle w:val="6"/>
              <w:spacing w:before="54" w:line="228" w:lineRule="auto"/>
              <w:ind w:left="234"/>
              <w:rPr>
                <w:sz w:val="20"/>
                <w:szCs w:val="20"/>
              </w:rPr>
            </w:pPr>
            <w:r>
              <w:rPr>
                <w:spacing w:val="3"/>
                <w:sz w:val="20"/>
                <w:szCs w:val="20"/>
              </w:rPr>
              <w:t>时应轻</w:t>
            </w:r>
          </w:p>
          <w:p w14:paraId="0065C8C0">
            <w:pPr>
              <w:pStyle w:val="6"/>
              <w:spacing w:before="65" w:line="256" w:lineRule="auto"/>
              <w:ind w:left="328" w:right="413" w:firstLine="104"/>
              <w:rPr>
                <w:sz w:val="20"/>
                <w:szCs w:val="20"/>
              </w:rPr>
            </w:pPr>
            <w:r>
              <w:rPr>
                <w:sz w:val="20"/>
                <w:szCs w:val="20"/>
              </w:rPr>
              <w:t xml:space="preserve">装  </w:t>
            </w:r>
            <w:r>
              <w:rPr>
                <w:spacing w:val="4"/>
                <w:sz w:val="20"/>
                <w:szCs w:val="20"/>
              </w:rPr>
              <w:t>轻卸</w:t>
            </w:r>
          </w:p>
        </w:tc>
      </w:tr>
      <w:tr w14:paraId="4CE479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6" w:hRule="atLeast"/>
        </w:trPr>
        <w:tc>
          <w:tcPr>
            <w:tcW w:w="477" w:type="dxa"/>
            <w:vMerge w:val="continue"/>
            <w:tcBorders>
              <w:top w:val="nil"/>
              <w:left w:val="single" w:color="000000" w:sz="10" w:space="0"/>
              <w:bottom w:val="single" w:color="000000" w:sz="10" w:space="0"/>
            </w:tcBorders>
            <w:vAlign w:val="top"/>
          </w:tcPr>
          <w:p w14:paraId="6B6A8886">
            <w:pPr>
              <w:rPr>
                <w:rFonts w:ascii="Arial"/>
                <w:sz w:val="21"/>
              </w:rPr>
            </w:pPr>
          </w:p>
        </w:tc>
        <w:tc>
          <w:tcPr>
            <w:tcW w:w="8425" w:type="dxa"/>
            <w:gridSpan w:val="9"/>
            <w:tcBorders>
              <w:top w:val="single" w:color="000000" w:sz="10" w:space="0"/>
              <w:bottom w:val="single" w:color="000000" w:sz="10" w:space="0"/>
              <w:right w:val="single" w:color="000000" w:sz="10" w:space="0"/>
            </w:tcBorders>
            <w:vAlign w:val="top"/>
          </w:tcPr>
          <w:p w14:paraId="4FFF9738">
            <w:pPr>
              <w:pStyle w:val="6"/>
              <w:spacing w:before="126" w:line="350" w:lineRule="auto"/>
              <w:ind w:left="105" w:right="97" w:firstLine="508"/>
              <w:jc w:val="both"/>
            </w:pPr>
            <w:r>
              <w:rPr>
                <w:spacing w:val="-1"/>
              </w:rPr>
              <w:t>由上表可见，非正常情况下，</w:t>
            </w:r>
            <w:r>
              <w:rPr>
                <w:rFonts w:ascii="Calibri" w:hAnsi="Calibri" w:eastAsia="Calibri" w:cs="Calibri"/>
                <w:spacing w:val="-1"/>
              </w:rPr>
              <w:t xml:space="preserve">DA001  </w:t>
            </w:r>
            <w:r>
              <w:rPr>
                <w:spacing w:val="-1"/>
              </w:rPr>
              <w:t>排放的颗粒物排放速率不能满足《大</w:t>
            </w:r>
            <w:r>
              <w:rPr>
                <w:spacing w:val="14"/>
              </w:rPr>
              <w:t xml:space="preserve"> </w:t>
            </w:r>
            <w:r>
              <w:t xml:space="preserve">气污染物综合排放标准》 </w:t>
            </w:r>
            <w:r>
              <w:rPr>
                <w:rFonts w:ascii="Calibri" w:hAnsi="Calibri" w:eastAsia="Calibri" w:cs="Calibri"/>
              </w:rPr>
              <w:t>(GB16297-</w:t>
            </w:r>
            <w:r>
              <w:rPr>
                <w:rFonts w:ascii="Calibri" w:hAnsi="Calibri" w:eastAsia="Calibri" w:cs="Calibri"/>
                <w:spacing w:val="22"/>
              </w:rPr>
              <w:t xml:space="preserve"> </w:t>
            </w:r>
            <w:r>
              <w:rPr>
                <w:rFonts w:ascii="Calibri" w:hAnsi="Calibri" w:eastAsia="Calibri" w:cs="Calibri"/>
              </w:rPr>
              <w:t xml:space="preserve">1996)  </w:t>
            </w:r>
            <w:r>
              <w:t>表</w:t>
            </w:r>
            <w:r>
              <w:rPr>
                <w:spacing w:val="-45"/>
              </w:rPr>
              <w:t xml:space="preserve"> </w:t>
            </w:r>
            <w:r>
              <w:rPr>
                <w:rFonts w:ascii="Calibri" w:hAnsi="Calibri" w:eastAsia="Calibri" w:cs="Calibri"/>
              </w:rPr>
              <w:t xml:space="preserve">2  </w:t>
            </w:r>
            <w:r>
              <w:t xml:space="preserve">中限值标准，污染物排放量增 </w:t>
            </w:r>
            <w:r>
              <w:rPr>
                <w:spacing w:val="-1"/>
              </w:rPr>
              <w:t>大，可能对周边环境产生一定影响。</w:t>
            </w:r>
          </w:p>
          <w:p w14:paraId="1F8AE9B0">
            <w:pPr>
              <w:pStyle w:val="6"/>
              <w:spacing w:before="41" w:line="219" w:lineRule="auto"/>
              <w:ind w:left="587"/>
            </w:pPr>
            <w:r>
              <w:rPr>
                <w:spacing w:val="2"/>
              </w:rPr>
              <w:t>为防止生产废气非正常工况排放，企业必须加强废气处理设施的管</w:t>
            </w:r>
            <w:r>
              <w:rPr>
                <w:spacing w:val="1"/>
              </w:rPr>
              <w:t>理，定</w:t>
            </w:r>
          </w:p>
        </w:tc>
      </w:tr>
    </w:tbl>
    <w:p w14:paraId="6205280F">
      <w:pPr>
        <w:pStyle w:val="2"/>
        <w:spacing w:line="108" w:lineRule="exact"/>
        <w:rPr>
          <w:sz w:val="9"/>
        </w:rPr>
      </w:pPr>
    </w:p>
    <w:p w14:paraId="6483AEF3">
      <w:pPr>
        <w:spacing w:line="108" w:lineRule="exact"/>
        <w:rPr>
          <w:sz w:val="9"/>
          <w:szCs w:val="9"/>
        </w:rPr>
        <w:sectPr>
          <w:footerReference r:id="rId71" w:type="default"/>
          <w:pgSz w:w="11906" w:h="16839"/>
          <w:pgMar w:top="1270" w:right="1489" w:bottom="1263" w:left="1488" w:header="0" w:footer="1097" w:gutter="0"/>
          <w:cols w:space="720" w:num="1"/>
        </w:sectPr>
      </w:pPr>
    </w:p>
    <w:tbl>
      <w:tblPr>
        <w:tblStyle w:val="5"/>
        <w:tblW w:w="890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1046"/>
        <w:gridCol w:w="1115"/>
        <w:gridCol w:w="2049"/>
        <w:gridCol w:w="3028"/>
        <w:gridCol w:w="1187"/>
      </w:tblGrid>
      <w:tr w14:paraId="6643EE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99" w:hRule="atLeast"/>
        </w:trPr>
        <w:tc>
          <w:tcPr>
            <w:tcW w:w="477" w:type="dxa"/>
            <w:vMerge w:val="restart"/>
            <w:tcBorders>
              <w:top w:val="single" w:color="000000" w:sz="10" w:space="0"/>
              <w:left w:val="single" w:color="000000" w:sz="10" w:space="0"/>
              <w:bottom w:val="nil"/>
            </w:tcBorders>
            <w:vAlign w:val="top"/>
          </w:tcPr>
          <w:p w14:paraId="06AA87C0">
            <w:pPr>
              <w:rPr>
                <w:rFonts w:ascii="Arial"/>
                <w:sz w:val="21"/>
              </w:rPr>
            </w:pPr>
          </w:p>
        </w:tc>
        <w:tc>
          <w:tcPr>
            <w:tcW w:w="8425" w:type="dxa"/>
            <w:gridSpan w:val="5"/>
            <w:tcBorders>
              <w:top w:val="single" w:color="000000" w:sz="10" w:space="0"/>
              <w:right w:val="single" w:color="000000" w:sz="10" w:space="0"/>
            </w:tcBorders>
            <w:vAlign w:val="top"/>
          </w:tcPr>
          <w:p w14:paraId="2F3FA441">
            <w:pPr>
              <w:pStyle w:val="6"/>
              <w:spacing w:before="103" w:line="356" w:lineRule="auto"/>
              <w:ind w:left="102" w:right="94" w:firstLine="4"/>
            </w:pPr>
            <w:r>
              <w:rPr>
                <w:spacing w:val="1"/>
              </w:rPr>
              <w:t>期检查布袋除尘器是否存在破损情况；检查活性碳饱和状态（两碗清水中加入</w:t>
            </w:r>
            <w:r>
              <w:rPr>
                <w:spacing w:val="12"/>
              </w:rPr>
              <w:t xml:space="preserve"> </w:t>
            </w:r>
            <w:r>
              <w:rPr>
                <w:spacing w:val="1"/>
              </w:rPr>
              <w:t>等量的黄药或甲基蓝，在一碗中加入碳，过一会儿，对比两碗水的颜色。如果</w:t>
            </w:r>
            <w:r>
              <w:rPr>
                <w:spacing w:val="17"/>
              </w:rPr>
              <w:t xml:space="preserve"> </w:t>
            </w:r>
            <w:r>
              <w:rPr>
                <w:spacing w:val="1"/>
              </w:rPr>
              <w:t>装有活性碳的那碗水颜色变浅，说明活性活性碳没有饱和</w:t>
            </w:r>
            <w:r>
              <w:rPr>
                <w:spacing w:val="9"/>
              </w:rPr>
              <w:t>）；</w:t>
            </w:r>
            <w:r>
              <w:rPr>
                <w:spacing w:val="1"/>
              </w:rPr>
              <w:t>加强日常监测， 发现处理效率下降，及时更换吸附剂活性碳和除尘袋，确保废气处理设施正常</w:t>
            </w:r>
            <w:r>
              <w:rPr>
                <w:spacing w:val="17"/>
              </w:rPr>
              <w:t xml:space="preserve"> </w:t>
            </w:r>
            <w:r>
              <w:rPr>
                <w:spacing w:val="1"/>
              </w:rPr>
              <w:t>运行。一旦废气处理设备停止运行或出现故障时，产生废气的各工序也必须相</w:t>
            </w:r>
            <w:r>
              <w:rPr>
                <w:spacing w:val="17"/>
              </w:rPr>
              <w:t xml:space="preserve"> </w:t>
            </w:r>
            <w:r>
              <w:rPr>
                <w:spacing w:val="1"/>
              </w:rPr>
              <w:t>应停止生产，直至废气处理设备正常运行。废电池装卸、搬运时应轻装轻卸，</w:t>
            </w:r>
            <w:r>
              <w:rPr>
                <w:spacing w:val="17"/>
              </w:rPr>
              <w:t xml:space="preserve"> </w:t>
            </w:r>
            <w:r>
              <w:rPr>
                <w:spacing w:val="-2"/>
              </w:rPr>
              <w:t>避免电池破损。</w:t>
            </w:r>
          </w:p>
          <w:p w14:paraId="13D5D803">
            <w:pPr>
              <w:pStyle w:val="6"/>
              <w:spacing w:before="34" w:line="219" w:lineRule="auto"/>
              <w:ind w:left="596"/>
            </w:pPr>
            <w:r>
              <w:rPr>
                <w:spacing w:val="-2"/>
              </w:rPr>
              <w:t>（</w:t>
            </w:r>
            <w:r>
              <w:rPr>
                <w:rFonts w:ascii="Calibri" w:hAnsi="Calibri" w:eastAsia="Calibri" w:cs="Calibri"/>
                <w:spacing w:val="-2"/>
              </w:rPr>
              <w:t>4</w:t>
            </w:r>
            <w:r>
              <w:rPr>
                <w:spacing w:val="-2"/>
              </w:rPr>
              <w:t>）治理措施可行性技术分析</w:t>
            </w:r>
          </w:p>
          <w:p w14:paraId="4A674153">
            <w:pPr>
              <w:pStyle w:val="6"/>
              <w:spacing w:before="183" w:line="357" w:lineRule="auto"/>
              <w:ind w:left="103" w:right="94" w:firstLine="482"/>
            </w:pPr>
            <w:r>
              <w:rPr>
                <w:spacing w:val="-2"/>
              </w:rPr>
              <w:t>参照《排污许可证申请与核发技术规范 废旧资源加工</w:t>
            </w:r>
            <w:r>
              <w:rPr>
                <w:spacing w:val="-3"/>
              </w:rPr>
              <w:t>工业》中拆解切割废</w:t>
            </w:r>
            <w:r>
              <w:t xml:space="preserve"> </w:t>
            </w:r>
            <w:r>
              <w:rPr>
                <w:spacing w:val="1"/>
              </w:rPr>
              <w:t>气产污环节、污染物种类、排放形式及污染防治设施一览表中要求切割产生的</w:t>
            </w:r>
            <w:r>
              <w:rPr>
                <w:spacing w:val="16"/>
              </w:rPr>
              <w:t xml:space="preserve"> </w:t>
            </w:r>
            <w:r>
              <w:rPr>
                <w:spacing w:val="-2"/>
              </w:rPr>
              <w:t>有组织废气污染防治措施为布袋除尘</w:t>
            </w:r>
            <w:r>
              <w:rPr>
                <w:rFonts w:ascii="Calibri" w:hAnsi="Calibri" w:eastAsia="Calibri" w:cs="Calibri"/>
                <w:spacing w:val="-2"/>
              </w:rPr>
              <w:t>+</w:t>
            </w:r>
            <w:r>
              <w:rPr>
                <w:spacing w:val="-2"/>
              </w:rPr>
              <w:t>排气筒，本项目采用布袋除尘器，处</w:t>
            </w:r>
            <w:r>
              <w:rPr>
                <w:spacing w:val="-3"/>
              </w:rPr>
              <w:t>理后</w:t>
            </w:r>
            <w:r>
              <w:t xml:space="preserve"> </w:t>
            </w:r>
            <w:r>
              <w:rPr>
                <w:spacing w:val="1"/>
              </w:rPr>
              <w:t>可以满足《大气污染物综合排放标准》（</w:t>
            </w:r>
            <w:r>
              <w:rPr>
                <w:rFonts w:ascii="Calibri" w:hAnsi="Calibri" w:eastAsia="Calibri" w:cs="Calibri"/>
              </w:rPr>
              <w:t>GB</w:t>
            </w:r>
            <w:r>
              <w:rPr>
                <w:rFonts w:ascii="Calibri" w:hAnsi="Calibri" w:eastAsia="Calibri" w:cs="Calibri"/>
                <w:spacing w:val="1"/>
              </w:rPr>
              <w:t>16297-1996</w:t>
            </w:r>
            <w:r>
              <w:rPr>
                <w:spacing w:val="1"/>
              </w:rPr>
              <w:t>）中要求，非甲烷总烃</w:t>
            </w:r>
            <w:r>
              <w:t xml:space="preserve"> </w:t>
            </w:r>
            <w:r>
              <w:rPr>
                <w:spacing w:val="-2"/>
              </w:rPr>
              <w:t>产生量较少，经集气罩收集由活性炭吸附装置处理后通过</w:t>
            </w:r>
            <w:r>
              <w:rPr>
                <w:spacing w:val="-31"/>
              </w:rPr>
              <w:t xml:space="preserve"> </w:t>
            </w:r>
            <w:r>
              <w:rPr>
                <w:rFonts w:ascii="Calibri" w:hAnsi="Calibri" w:eastAsia="Calibri" w:cs="Calibri"/>
                <w:spacing w:val="-2"/>
              </w:rPr>
              <w:t>15m</w:t>
            </w:r>
            <w:r>
              <w:rPr>
                <w:rFonts w:ascii="Calibri" w:hAnsi="Calibri" w:eastAsia="Calibri" w:cs="Calibri"/>
                <w:spacing w:val="22"/>
              </w:rPr>
              <w:t xml:space="preserve"> </w:t>
            </w:r>
            <w:r>
              <w:rPr>
                <w:spacing w:val="-2"/>
              </w:rPr>
              <w:t>高排气筒排放，</w:t>
            </w:r>
            <w:r>
              <w:t xml:space="preserve"> </w:t>
            </w:r>
            <w:r>
              <w:rPr>
                <w:spacing w:val="1"/>
              </w:rPr>
              <w:t>排放浓度远小于《大气污染物综合排放标准》（</w:t>
            </w:r>
            <w:r>
              <w:rPr>
                <w:rFonts w:ascii="Calibri" w:hAnsi="Calibri" w:eastAsia="Calibri" w:cs="Calibri"/>
              </w:rPr>
              <w:t>GB</w:t>
            </w:r>
            <w:r>
              <w:rPr>
                <w:rFonts w:ascii="Calibri" w:hAnsi="Calibri" w:eastAsia="Calibri" w:cs="Calibri"/>
                <w:spacing w:val="1"/>
              </w:rPr>
              <w:t>16297-1996</w:t>
            </w:r>
            <w:r>
              <w:rPr>
                <w:spacing w:val="1"/>
              </w:rPr>
              <w:t>）中最高排放浓</w:t>
            </w:r>
            <w:r>
              <w:t xml:space="preserve"> </w:t>
            </w:r>
            <w:r>
              <w:rPr>
                <w:spacing w:val="1"/>
              </w:rPr>
              <w:t>度。《排污许可证申请与核发技术规范废弃资源加工工业》中要求预处理平台</w:t>
            </w:r>
            <w:r>
              <w:rPr>
                <w:spacing w:val="16"/>
              </w:rPr>
              <w:t xml:space="preserve"> </w:t>
            </w:r>
            <w:r>
              <w:rPr>
                <w:spacing w:val="1"/>
              </w:rPr>
              <w:t>设置活性炭吸附装置，其他拆解工序设置布袋除尘设施，本项目污染防治措施</w:t>
            </w:r>
            <w:r>
              <w:rPr>
                <w:spacing w:val="16"/>
              </w:rPr>
              <w:t xml:space="preserve"> </w:t>
            </w:r>
            <w:r>
              <w:rPr>
                <w:spacing w:val="-2"/>
              </w:rPr>
              <w:t>可满足要求。</w:t>
            </w:r>
          </w:p>
          <w:p w14:paraId="1413F16E">
            <w:pPr>
              <w:pStyle w:val="6"/>
              <w:spacing w:before="34" w:line="219" w:lineRule="auto"/>
              <w:ind w:left="1303"/>
            </w:pPr>
            <w:r>
              <w:rPr>
                <w:b/>
                <w:bCs/>
                <w:spacing w:val="-1"/>
              </w:rPr>
              <w:t>表</w:t>
            </w:r>
            <w:r>
              <w:rPr>
                <w:spacing w:val="-1"/>
              </w:rPr>
              <w:t xml:space="preserve"> </w:t>
            </w:r>
            <w:r>
              <w:rPr>
                <w:rFonts w:ascii="Calibri" w:hAnsi="Calibri" w:eastAsia="Calibri" w:cs="Calibri"/>
                <w:b/>
                <w:bCs/>
                <w:spacing w:val="-1"/>
              </w:rPr>
              <w:t xml:space="preserve">4-4             </w:t>
            </w:r>
            <w:r>
              <w:rPr>
                <w:b/>
                <w:bCs/>
                <w:spacing w:val="-1"/>
              </w:rPr>
              <w:t>环保措施可行性技术表</w:t>
            </w:r>
          </w:p>
        </w:tc>
      </w:tr>
      <w:tr w14:paraId="6F82FAE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6" w:hRule="atLeast"/>
        </w:trPr>
        <w:tc>
          <w:tcPr>
            <w:tcW w:w="477" w:type="dxa"/>
            <w:vMerge w:val="continue"/>
            <w:tcBorders>
              <w:top w:val="nil"/>
              <w:left w:val="single" w:color="000000" w:sz="10" w:space="0"/>
              <w:bottom w:val="nil"/>
            </w:tcBorders>
            <w:vAlign w:val="top"/>
          </w:tcPr>
          <w:p w14:paraId="64B6CFCD">
            <w:pPr>
              <w:rPr>
                <w:rFonts w:ascii="Arial"/>
                <w:sz w:val="21"/>
              </w:rPr>
            </w:pPr>
          </w:p>
        </w:tc>
        <w:tc>
          <w:tcPr>
            <w:tcW w:w="2161" w:type="dxa"/>
            <w:gridSpan w:val="2"/>
            <w:vAlign w:val="top"/>
          </w:tcPr>
          <w:p w14:paraId="2C064C3C">
            <w:pPr>
              <w:spacing w:line="261" w:lineRule="auto"/>
              <w:rPr>
                <w:rFonts w:ascii="Arial"/>
                <w:sz w:val="21"/>
              </w:rPr>
            </w:pPr>
          </w:p>
          <w:p w14:paraId="10B87CD1">
            <w:pPr>
              <w:spacing w:line="262" w:lineRule="auto"/>
              <w:rPr>
                <w:rFonts w:ascii="Arial"/>
                <w:sz w:val="21"/>
              </w:rPr>
            </w:pPr>
          </w:p>
          <w:p w14:paraId="30E8F048">
            <w:pPr>
              <w:pStyle w:val="6"/>
              <w:spacing w:before="65" w:line="239" w:lineRule="auto"/>
              <w:ind w:left="923" w:right="296" w:hanging="523"/>
              <w:rPr>
                <w:sz w:val="20"/>
                <w:szCs w:val="20"/>
              </w:rPr>
            </w:pPr>
            <w:r>
              <w:rPr>
                <w:spacing w:val="8"/>
                <w:sz w:val="20"/>
                <w:szCs w:val="20"/>
              </w:rPr>
              <w:t>生产单元或设施</w:t>
            </w:r>
            <w:r>
              <w:rPr>
                <w:spacing w:val="2"/>
                <w:sz w:val="20"/>
                <w:szCs w:val="20"/>
              </w:rPr>
              <w:t xml:space="preserve"> </w:t>
            </w:r>
            <w:r>
              <w:rPr>
                <w:spacing w:val="5"/>
                <w:sz w:val="20"/>
                <w:szCs w:val="20"/>
              </w:rPr>
              <w:t>废气</w:t>
            </w:r>
          </w:p>
        </w:tc>
        <w:tc>
          <w:tcPr>
            <w:tcW w:w="2049" w:type="dxa"/>
            <w:vAlign w:val="top"/>
          </w:tcPr>
          <w:p w14:paraId="52396D93">
            <w:pPr>
              <w:pStyle w:val="6"/>
              <w:spacing w:before="44" w:line="244" w:lineRule="auto"/>
              <w:ind w:left="140" w:right="132" w:firstLine="51"/>
              <w:rPr>
                <w:sz w:val="20"/>
                <w:szCs w:val="20"/>
              </w:rPr>
            </w:pPr>
            <w:r>
              <w:rPr>
                <w:spacing w:val="8"/>
                <w:sz w:val="20"/>
                <w:szCs w:val="20"/>
              </w:rPr>
              <w:t>《排污许可证申请</w:t>
            </w:r>
            <w:r>
              <w:rPr>
                <w:sz w:val="20"/>
                <w:szCs w:val="20"/>
              </w:rPr>
              <w:t xml:space="preserve"> </w:t>
            </w:r>
            <w:r>
              <w:rPr>
                <w:spacing w:val="7"/>
                <w:sz w:val="20"/>
                <w:szCs w:val="20"/>
              </w:rPr>
              <w:t xml:space="preserve">与核发技术规范 废 </w:t>
            </w:r>
            <w:r>
              <w:rPr>
                <w:spacing w:val="13"/>
                <w:sz w:val="20"/>
                <w:szCs w:val="20"/>
              </w:rPr>
              <w:t>弃资源加工工业》</w:t>
            </w:r>
          </w:p>
          <w:p w14:paraId="2BECDDC6">
            <w:pPr>
              <w:pStyle w:val="6"/>
              <w:spacing w:before="24"/>
              <w:ind w:left="113" w:right="106" w:hanging="1"/>
              <w:rPr>
                <w:sz w:val="20"/>
                <w:szCs w:val="20"/>
              </w:rPr>
            </w:pPr>
            <w:r>
              <w:rPr>
                <w:rFonts w:ascii="Calibri" w:hAnsi="Calibri" w:eastAsia="Calibri" w:cs="Calibri"/>
                <w:spacing w:val="3"/>
                <w:sz w:val="20"/>
                <w:szCs w:val="20"/>
              </w:rPr>
              <w:t>(</w:t>
            </w:r>
            <w:r>
              <w:rPr>
                <w:rFonts w:ascii="Calibri" w:hAnsi="Calibri" w:eastAsia="Calibri" w:cs="Calibri"/>
                <w:sz w:val="20"/>
                <w:szCs w:val="20"/>
              </w:rPr>
              <w:t>HJ</w:t>
            </w:r>
            <w:r>
              <w:rPr>
                <w:rFonts w:ascii="Calibri" w:hAnsi="Calibri" w:eastAsia="Calibri" w:cs="Calibri"/>
                <w:spacing w:val="3"/>
                <w:sz w:val="20"/>
                <w:szCs w:val="20"/>
              </w:rPr>
              <w:t>1034-2019)</w:t>
            </w:r>
            <w:r>
              <w:rPr>
                <w:spacing w:val="3"/>
                <w:sz w:val="20"/>
                <w:szCs w:val="20"/>
              </w:rPr>
              <w:t>中（参</w:t>
            </w:r>
            <w:r>
              <w:rPr>
                <w:sz w:val="20"/>
                <w:szCs w:val="20"/>
              </w:rPr>
              <w:t xml:space="preserve"> </w:t>
            </w:r>
            <w:r>
              <w:rPr>
                <w:spacing w:val="2"/>
                <w:sz w:val="20"/>
                <w:szCs w:val="20"/>
              </w:rPr>
              <w:t>照非机动车）推荐可</w:t>
            </w:r>
          </w:p>
          <w:p w14:paraId="31523B98">
            <w:pPr>
              <w:pStyle w:val="6"/>
              <w:spacing w:before="25" w:line="202" w:lineRule="auto"/>
              <w:ind w:left="609"/>
              <w:rPr>
                <w:sz w:val="20"/>
                <w:szCs w:val="20"/>
              </w:rPr>
            </w:pPr>
            <w:r>
              <w:rPr>
                <w:spacing w:val="6"/>
                <w:sz w:val="20"/>
                <w:szCs w:val="20"/>
              </w:rPr>
              <w:t>行性措施</w:t>
            </w:r>
          </w:p>
        </w:tc>
        <w:tc>
          <w:tcPr>
            <w:tcW w:w="3028" w:type="dxa"/>
            <w:vAlign w:val="top"/>
          </w:tcPr>
          <w:p w14:paraId="0DAECEFE">
            <w:pPr>
              <w:spacing w:line="328" w:lineRule="auto"/>
              <w:rPr>
                <w:rFonts w:ascii="Arial"/>
                <w:sz w:val="21"/>
              </w:rPr>
            </w:pPr>
          </w:p>
          <w:p w14:paraId="7063DBAB">
            <w:pPr>
              <w:spacing w:line="328" w:lineRule="auto"/>
              <w:rPr>
                <w:rFonts w:ascii="Arial"/>
                <w:sz w:val="21"/>
              </w:rPr>
            </w:pPr>
          </w:p>
          <w:p w14:paraId="26B760E4">
            <w:pPr>
              <w:pStyle w:val="6"/>
              <w:spacing w:before="65" w:line="227" w:lineRule="auto"/>
              <w:ind w:left="684"/>
              <w:rPr>
                <w:sz w:val="20"/>
                <w:szCs w:val="20"/>
              </w:rPr>
            </w:pPr>
            <w:r>
              <w:rPr>
                <w:spacing w:val="8"/>
                <w:sz w:val="20"/>
                <w:szCs w:val="20"/>
              </w:rPr>
              <w:t>本项目采取的措施</w:t>
            </w:r>
          </w:p>
        </w:tc>
        <w:tc>
          <w:tcPr>
            <w:tcW w:w="1187" w:type="dxa"/>
            <w:tcBorders>
              <w:right w:val="single" w:color="000000" w:sz="10" w:space="0"/>
            </w:tcBorders>
            <w:vAlign w:val="top"/>
          </w:tcPr>
          <w:p w14:paraId="0E8888DB">
            <w:pPr>
              <w:spacing w:line="328" w:lineRule="auto"/>
              <w:rPr>
                <w:rFonts w:ascii="Arial"/>
                <w:sz w:val="21"/>
              </w:rPr>
            </w:pPr>
          </w:p>
          <w:p w14:paraId="6933F4D6">
            <w:pPr>
              <w:spacing w:line="328" w:lineRule="auto"/>
              <w:rPr>
                <w:rFonts w:ascii="Arial"/>
                <w:sz w:val="21"/>
              </w:rPr>
            </w:pPr>
          </w:p>
          <w:p w14:paraId="68329E48">
            <w:pPr>
              <w:pStyle w:val="6"/>
              <w:spacing w:before="65" w:line="228" w:lineRule="auto"/>
              <w:ind w:left="237"/>
              <w:rPr>
                <w:sz w:val="20"/>
                <w:szCs w:val="20"/>
              </w:rPr>
            </w:pPr>
            <w:r>
              <w:rPr>
                <w:spacing w:val="6"/>
                <w:sz w:val="20"/>
                <w:szCs w:val="20"/>
              </w:rPr>
              <w:t>可行性</w:t>
            </w:r>
          </w:p>
        </w:tc>
      </w:tr>
      <w:tr w14:paraId="098CE4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2" w:hRule="atLeast"/>
        </w:trPr>
        <w:tc>
          <w:tcPr>
            <w:tcW w:w="477" w:type="dxa"/>
            <w:vMerge w:val="continue"/>
            <w:tcBorders>
              <w:top w:val="nil"/>
              <w:left w:val="single" w:color="000000" w:sz="10" w:space="0"/>
              <w:bottom w:val="nil"/>
            </w:tcBorders>
            <w:vAlign w:val="top"/>
          </w:tcPr>
          <w:p w14:paraId="4276200C">
            <w:pPr>
              <w:rPr>
                <w:rFonts w:ascii="Arial"/>
                <w:sz w:val="21"/>
              </w:rPr>
            </w:pPr>
          </w:p>
        </w:tc>
        <w:tc>
          <w:tcPr>
            <w:tcW w:w="1046" w:type="dxa"/>
            <w:vMerge w:val="restart"/>
            <w:tcBorders>
              <w:bottom w:val="nil"/>
            </w:tcBorders>
            <w:vAlign w:val="top"/>
          </w:tcPr>
          <w:p w14:paraId="315DBA37">
            <w:pPr>
              <w:spacing w:line="312" w:lineRule="auto"/>
              <w:rPr>
                <w:rFonts w:ascii="Arial"/>
                <w:sz w:val="21"/>
              </w:rPr>
            </w:pPr>
          </w:p>
          <w:p w14:paraId="1C22618A">
            <w:pPr>
              <w:spacing w:line="312" w:lineRule="auto"/>
              <w:rPr>
                <w:rFonts w:ascii="Arial"/>
                <w:sz w:val="21"/>
              </w:rPr>
            </w:pPr>
          </w:p>
          <w:p w14:paraId="162ACCE7">
            <w:pPr>
              <w:spacing w:line="313" w:lineRule="auto"/>
              <w:rPr>
                <w:rFonts w:ascii="Arial"/>
                <w:sz w:val="21"/>
              </w:rPr>
            </w:pPr>
          </w:p>
          <w:p w14:paraId="354273D6">
            <w:pPr>
              <w:pStyle w:val="6"/>
              <w:spacing w:before="65" w:line="239" w:lineRule="auto"/>
              <w:ind w:left="365" w:right="266"/>
              <w:rPr>
                <w:sz w:val="20"/>
                <w:szCs w:val="20"/>
              </w:rPr>
            </w:pPr>
            <w:r>
              <w:rPr>
                <w:spacing w:val="4"/>
                <w:sz w:val="20"/>
                <w:szCs w:val="20"/>
              </w:rPr>
              <w:t>拆解</w:t>
            </w:r>
            <w:r>
              <w:rPr>
                <w:sz w:val="20"/>
                <w:szCs w:val="20"/>
              </w:rPr>
              <w:t xml:space="preserve"> </w:t>
            </w:r>
            <w:r>
              <w:rPr>
                <w:spacing w:val="4"/>
                <w:sz w:val="20"/>
                <w:szCs w:val="20"/>
              </w:rPr>
              <w:t>过程</w:t>
            </w:r>
          </w:p>
        </w:tc>
        <w:tc>
          <w:tcPr>
            <w:tcW w:w="1115" w:type="dxa"/>
            <w:vAlign w:val="top"/>
          </w:tcPr>
          <w:p w14:paraId="5BDE7D33">
            <w:pPr>
              <w:spacing w:line="390" w:lineRule="auto"/>
              <w:rPr>
                <w:rFonts w:ascii="Arial"/>
                <w:sz w:val="21"/>
              </w:rPr>
            </w:pPr>
          </w:p>
          <w:p w14:paraId="23D3ECDF">
            <w:pPr>
              <w:pStyle w:val="6"/>
              <w:spacing w:before="65" w:line="228" w:lineRule="auto"/>
              <w:ind w:left="137"/>
              <w:rPr>
                <w:sz w:val="20"/>
                <w:szCs w:val="20"/>
              </w:rPr>
            </w:pPr>
            <w:r>
              <w:rPr>
                <w:spacing w:val="7"/>
                <w:sz w:val="20"/>
                <w:szCs w:val="20"/>
              </w:rPr>
              <w:t>拆解废气</w:t>
            </w:r>
          </w:p>
        </w:tc>
        <w:tc>
          <w:tcPr>
            <w:tcW w:w="2049" w:type="dxa"/>
            <w:vAlign w:val="top"/>
          </w:tcPr>
          <w:p w14:paraId="73230A62">
            <w:pPr>
              <w:spacing w:line="389" w:lineRule="auto"/>
              <w:rPr>
                <w:rFonts w:ascii="Arial"/>
                <w:sz w:val="21"/>
              </w:rPr>
            </w:pPr>
          </w:p>
          <w:p w14:paraId="6B4F4970">
            <w:pPr>
              <w:pStyle w:val="6"/>
              <w:spacing w:before="65" w:line="227" w:lineRule="auto"/>
              <w:ind w:left="503"/>
              <w:rPr>
                <w:sz w:val="20"/>
                <w:szCs w:val="20"/>
              </w:rPr>
            </w:pPr>
            <w:r>
              <w:rPr>
                <w:spacing w:val="8"/>
                <w:sz w:val="20"/>
                <w:szCs w:val="20"/>
              </w:rPr>
              <w:t>布袋除尘器</w:t>
            </w:r>
          </w:p>
        </w:tc>
        <w:tc>
          <w:tcPr>
            <w:tcW w:w="3028" w:type="dxa"/>
            <w:vAlign w:val="top"/>
          </w:tcPr>
          <w:p w14:paraId="1E648B34">
            <w:pPr>
              <w:pStyle w:val="6"/>
              <w:spacing w:before="49" w:line="228" w:lineRule="auto"/>
              <w:ind w:left="158"/>
              <w:rPr>
                <w:sz w:val="20"/>
                <w:szCs w:val="20"/>
              </w:rPr>
            </w:pPr>
            <w:r>
              <w:rPr>
                <w:spacing w:val="8"/>
                <w:sz w:val="20"/>
                <w:szCs w:val="20"/>
              </w:rPr>
              <w:t>拆解区切割工段设置集气罩，</w:t>
            </w:r>
          </w:p>
          <w:p w14:paraId="1AAE1AAD">
            <w:pPr>
              <w:pStyle w:val="6"/>
              <w:spacing w:before="24" w:line="227" w:lineRule="auto"/>
              <w:ind w:left="165"/>
              <w:rPr>
                <w:sz w:val="20"/>
                <w:szCs w:val="20"/>
              </w:rPr>
            </w:pPr>
            <w:r>
              <w:rPr>
                <w:spacing w:val="5"/>
                <w:sz w:val="20"/>
                <w:szCs w:val="20"/>
              </w:rPr>
              <w:t>收集的废气经</w:t>
            </w:r>
            <w:r>
              <w:rPr>
                <w:spacing w:val="-16"/>
                <w:sz w:val="20"/>
                <w:szCs w:val="20"/>
              </w:rPr>
              <w:t xml:space="preserve"> </w:t>
            </w:r>
            <w:r>
              <w:rPr>
                <w:rFonts w:ascii="Calibri" w:hAnsi="Calibri" w:eastAsia="Calibri" w:cs="Calibri"/>
                <w:spacing w:val="5"/>
                <w:sz w:val="20"/>
                <w:szCs w:val="20"/>
              </w:rPr>
              <w:t>1</w:t>
            </w:r>
            <w:r>
              <w:rPr>
                <w:rFonts w:ascii="Calibri" w:hAnsi="Calibri" w:eastAsia="Calibri" w:cs="Calibri"/>
                <w:spacing w:val="16"/>
                <w:w w:val="102"/>
                <w:sz w:val="20"/>
                <w:szCs w:val="20"/>
              </w:rPr>
              <w:t xml:space="preserve"> </w:t>
            </w:r>
            <w:r>
              <w:rPr>
                <w:spacing w:val="5"/>
                <w:sz w:val="20"/>
                <w:szCs w:val="20"/>
              </w:rPr>
              <w:t>套布袋除尘器</w:t>
            </w:r>
          </w:p>
          <w:p w14:paraId="4AF4AC7C">
            <w:pPr>
              <w:pStyle w:val="6"/>
              <w:spacing w:before="27" w:line="228" w:lineRule="auto"/>
              <w:ind w:left="234"/>
              <w:rPr>
                <w:sz w:val="20"/>
                <w:szCs w:val="20"/>
              </w:rPr>
            </w:pPr>
            <w:r>
              <w:rPr>
                <w:spacing w:val="5"/>
                <w:sz w:val="20"/>
                <w:szCs w:val="20"/>
              </w:rPr>
              <w:t>处理后由</w:t>
            </w:r>
            <w:r>
              <w:rPr>
                <w:spacing w:val="-27"/>
                <w:sz w:val="20"/>
                <w:szCs w:val="20"/>
              </w:rPr>
              <w:t xml:space="preserve"> </w:t>
            </w:r>
            <w:r>
              <w:rPr>
                <w:rFonts w:ascii="Calibri" w:hAnsi="Calibri" w:eastAsia="Calibri" w:cs="Calibri"/>
                <w:spacing w:val="5"/>
                <w:sz w:val="20"/>
                <w:szCs w:val="20"/>
              </w:rPr>
              <w:t>15m</w:t>
            </w:r>
            <w:r>
              <w:rPr>
                <w:rFonts w:ascii="Calibri" w:hAnsi="Calibri" w:eastAsia="Calibri" w:cs="Calibri"/>
                <w:spacing w:val="25"/>
                <w:w w:val="102"/>
                <w:sz w:val="20"/>
                <w:szCs w:val="20"/>
              </w:rPr>
              <w:t xml:space="preserve"> </w:t>
            </w:r>
            <w:r>
              <w:rPr>
                <w:spacing w:val="5"/>
                <w:sz w:val="20"/>
                <w:szCs w:val="20"/>
              </w:rPr>
              <w:t>高排气筒排放</w:t>
            </w:r>
          </w:p>
          <w:p w14:paraId="2D700545">
            <w:pPr>
              <w:pStyle w:val="6"/>
              <w:spacing w:before="24" w:line="200" w:lineRule="auto"/>
              <w:ind w:left="1042"/>
              <w:rPr>
                <w:sz w:val="20"/>
                <w:szCs w:val="20"/>
              </w:rPr>
            </w:pPr>
            <w:r>
              <w:rPr>
                <w:spacing w:val="2"/>
                <w:sz w:val="20"/>
                <w:szCs w:val="20"/>
              </w:rPr>
              <w:t>（</w:t>
            </w:r>
            <w:r>
              <w:rPr>
                <w:rFonts w:ascii="Calibri" w:hAnsi="Calibri" w:eastAsia="Calibri" w:cs="Calibri"/>
                <w:sz w:val="20"/>
                <w:szCs w:val="20"/>
              </w:rPr>
              <w:t>DA</w:t>
            </w:r>
            <w:r>
              <w:rPr>
                <w:rFonts w:ascii="Calibri" w:hAnsi="Calibri" w:eastAsia="Calibri" w:cs="Calibri"/>
                <w:spacing w:val="2"/>
                <w:sz w:val="20"/>
                <w:szCs w:val="20"/>
              </w:rPr>
              <w:t>001</w:t>
            </w:r>
            <w:r>
              <w:rPr>
                <w:spacing w:val="2"/>
                <w:sz w:val="20"/>
                <w:szCs w:val="20"/>
              </w:rPr>
              <w:t>）</w:t>
            </w:r>
          </w:p>
        </w:tc>
        <w:tc>
          <w:tcPr>
            <w:tcW w:w="1187" w:type="dxa"/>
            <w:tcBorders>
              <w:right w:val="single" w:color="000000" w:sz="10" w:space="0"/>
            </w:tcBorders>
            <w:vAlign w:val="top"/>
          </w:tcPr>
          <w:p w14:paraId="08C375FC">
            <w:pPr>
              <w:spacing w:line="390" w:lineRule="auto"/>
              <w:rPr>
                <w:rFonts w:ascii="Arial"/>
                <w:sz w:val="21"/>
              </w:rPr>
            </w:pPr>
          </w:p>
          <w:p w14:paraId="68B085EE">
            <w:pPr>
              <w:pStyle w:val="6"/>
              <w:spacing w:before="65" w:line="228" w:lineRule="auto"/>
              <w:ind w:left="343"/>
              <w:rPr>
                <w:sz w:val="20"/>
                <w:szCs w:val="20"/>
              </w:rPr>
            </w:pPr>
            <w:r>
              <w:rPr>
                <w:spacing w:val="3"/>
                <w:sz w:val="20"/>
                <w:szCs w:val="20"/>
              </w:rPr>
              <w:t>可行</w:t>
            </w:r>
          </w:p>
        </w:tc>
      </w:tr>
      <w:tr w14:paraId="5AF86F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64" w:hRule="atLeast"/>
        </w:trPr>
        <w:tc>
          <w:tcPr>
            <w:tcW w:w="477" w:type="dxa"/>
            <w:vMerge w:val="continue"/>
            <w:tcBorders>
              <w:top w:val="nil"/>
              <w:left w:val="single" w:color="000000" w:sz="10" w:space="0"/>
              <w:bottom w:val="nil"/>
            </w:tcBorders>
            <w:vAlign w:val="top"/>
          </w:tcPr>
          <w:p w14:paraId="0CF173F4">
            <w:pPr>
              <w:rPr>
                <w:rFonts w:ascii="Arial"/>
                <w:sz w:val="21"/>
              </w:rPr>
            </w:pPr>
          </w:p>
        </w:tc>
        <w:tc>
          <w:tcPr>
            <w:tcW w:w="1046" w:type="dxa"/>
            <w:vMerge w:val="continue"/>
            <w:tcBorders>
              <w:top w:val="nil"/>
            </w:tcBorders>
            <w:vAlign w:val="top"/>
          </w:tcPr>
          <w:p w14:paraId="7C6C9704">
            <w:pPr>
              <w:rPr>
                <w:rFonts w:ascii="Arial"/>
                <w:sz w:val="21"/>
              </w:rPr>
            </w:pPr>
          </w:p>
        </w:tc>
        <w:tc>
          <w:tcPr>
            <w:tcW w:w="1115" w:type="dxa"/>
            <w:vAlign w:val="top"/>
          </w:tcPr>
          <w:p w14:paraId="57D43F52">
            <w:pPr>
              <w:spacing w:line="392" w:lineRule="auto"/>
              <w:rPr>
                <w:rFonts w:ascii="Arial"/>
                <w:sz w:val="21"/>
              </w:rPr>
            </w:pPr>
          </w:p>
          <w:p w14:paraId="4A04A1C6">
            <w:pPr>
              <w:pStyle w:val="6"/>
              <w:spacing w:before="66" w:line="239" w:lineRule="auto"/>
              <w:ind w:left="240" w:right="142" w:hanging="100"/>
              <w:rPr>
                <w:sz w:val="20"/>
                <w:szCs w:val="20"/>
              </w:rPr>
            </w:pPr>
            <w:r>
              <w:rPr>
                <w:spacing w:val="6"/>
                <w:sz w:val="20"/>
                <w:szCs w:val="20"/>
              </w:rPr>
              <w:t>非甲烷总</w:t>
            </w:r>
            <w:r>
              <w:rPr>
                <w:spacing w:val="1"/>
                <w:sz w:val="20"/>
                <w:szCs w:val="20"/>
              </w:rPr>
              <w:t xml:space="preserve"> </w:t>
            </w:r>
            <w:r>
              <w:rPr>
                <w:spacing w:val="6"/>
                <w:sz w:val="20"/>
                <w:szCs w:val="20"/>
              </w:rPr>
              <w:t>烃废气</w:t>
            </w:r>
          </w:p>
        </w:tc>
        <w:tc>
          <w:tcPr>
            <w:tcW w:w="2049" w:type="dxa"/>
            <w:vAlign w:val="top"/>
          </w:tcPr>
          <w:p w14:paraId="618202FD">
            <w:pPr>
              <w:spacing w:line="264" w:lineRule="auto"/>
              <w:rPr>
                <w:rFonts w:ascii="Arial"/>
                <w:sz w:val="21"/>
              </w:rPr>
            </w:pPr>
          </w:p>
          <w:p w14:paraId="6B8D4ED4">
            <w:pPr>
              <w:spacing w:line="264" w:lineRule="auto"/>
              <w:rPr>
                <w:rFonts w:ascii="Arial"/>
                <w:sz w:val="21"/>
              </w:rPr>
            </w:pPr>
          </w:p>
          <w:p w14:paraId="19FEBBFC">
            <w:pPr>
              <w:pStyle w:val="6"/>
              <w:spacing w:before="65" w:line="227" w:lineRule="auto"/>
              <w:ind w:left="295"/>
              <w:rPr>
                <w:sz w:val="20"/>
                <w:szCs w:val="20"/>
              </w:rPr>
            </w:pPr>
            <w:r>
              <w:rPr>
                <w:spacing w:val="8"/>
                <w:sz w:val="20"/>
                <w:szCs w:val="20"/>
              </w:rPr>
              <w:t>活性碳吸附装置</w:t>
            </w:r>
          </w:p>
        </w:tc>
        <w:tc>
          <w:tcPr>
            <w:tcW w:w="3028" w:type="dxa"/>
            <w:vAlign w:val="top"/>
          </w:tcPr>
          <w:p w14:paraId="2AB2103D">
            <w:pPr>
              <w:pStyle w:val="6"/>
              <w:spacing w:before="51" w:line="228" w:lineRule="auto"/>
              <w:ind w:left="157"/>
              <w:rPr>
                <w:sz w:val="20"/>
                <w:szCs w:val="20"/>
              </w:rPr>
            </w:pPr>
            <w:r>
              <w:rPr>
                <w:spacing w:val="9"/>
                <w:sz w:val="20"/>
                <w:szCs w:val="20"/>
              </w:rPr>
              <w:t>抽油液工段与危险废物贮存库</w:t>
            </w:r>
          </w:p>
          <w:p w14:paraId="704132A2">
            <w:pPr>
              <w:pStyle w:val="6"/>
              <w:spacing w:before="24" w:line="228" w:lineRule="auto"/>
              <w:ind w:left="157"/>
              <w:rPr>
                <w:sz w:val="20"/>
                <w:szCs w:val="20"/>
              </w:rPr>
            </w:pPr>
            <w:r>
              <w:rPr>
                <w:spacing w:val="6"/>
                <w:sz w:val="20"/>
                <w:szCs w:val="20"/>
              </w:rPr>
              <w:t>共用</w:t>
            </w:r>
            <w:r>
              <w:rPr>
                <w:spacing w:val="-21"/>
                <w:sz w:val="20"/>
                <w:szCs w:val="20"/>
              </w:rPr>
              <w:t xml:space="preserve"> </w:t>
            </w:r>
            <w:r>
              <w:rPr>
                <w:rFonts w:ascii="Calibri" w:hAnsi="Calibri" w:eastAsia="Calibri" w:cs="Calibri"/>
                <w:spacing w:val="6"/>
                <w:sz w:val="20"/>
                <w:szCs w:val="20"/>
              </w:rPr>
              <w:t>1</w:t>
            </w:r>
            <w:r>
              <w:rPr>
                <w:rFonts w:ascii="Calibri" w:hAnsi="Calibri" w:eastAsia="Calibri" w:cs="Calibri"/>
                <w:spacing w:val="17"/>
                <w:sz w:val="20"/>
                <w:szCs w:val="20"/>
              </w:rPr>
              <w:t xml:space="preserve"> </w:t>
            </w:r>
            <w:r>
              <w:rPr>
                <w:spacing w:val="6"/>
                <w:sz w:val="20"/>
                <w:szCs w:val="20"/>
              </w:rPr>
              <w:t>套设置集气装置，收集</w:t>
            </w:r>
          </w:p>
          <w:p w14:paraId="5B481CC1">
            <w:pPr>
              <w:pStyle w:val="6"/>
              <w:spacing w:before="26" w:line="227" w:lineRule="auto"/>
              <w:ind w:left="175"/>
              <w:rPr>
                <w:sz w:val="20"/>
                <w:szCs w:val="20"/>
              </w:rPr>
            </w:pPr>
            <w:r>
              <w:rPr>
                <w:spacing w:val="5"/>
                <w:sz w:val="20"/>
                <w:szCs w:val="20"/>
              </w:rPr>
              <w:t>的废气经</w:t>
            </w:r>
            <w:r>
              <w:rPr>
                <w:spacing w:val="-26"/>
                <w:sz w:val="20"/>
                <w:szCs w:val="20"/>
              </w:rPr>
              <w:t xml:space="preserve"> </w:t>
            </w:r>
            <w:r>
              <w:rPr>
                <w:rFonts w:ascii="Calibri" w:hAnsi="Calibri" w:eastAsia="Calibri" w:cs="Calibri"/>
                <w:spacing w:val="5"/>
                <w:sz w:val="20"/>
                <w:szCs w:val="20"/>
              </w:rPr>
              <w:t>1</w:t>
            </w:r>
            <w:r>
              <w:rPr>
                <w:rFonts w:ascii="Calibri" w:hAnsi="Calibri" w:eastAsia="Calibri" w:cs="Calibri"/>
                <w:spacing w:val="17"/>
                <w:sz w:val="20"/>
                <w:szCs w:val="20"/>
              </w:rPr>
              <w:t xml:space="preserve"> </w:t>
            </w:r>
            <w:r>
              <w:rPr>
                <w:spacing w:val="5"/>
                <w:sz w:val="20"/>
                <w:szCs w:val="20"/>
              </w:rPr>
              <w:t>套活性碳吸附装置</w:t>
            </w:r>
          </w:p>
          <w:p w14:paraId="18CB5966">
            <w:pPr>
              <w:pStyle w:val="6"/>
              <w:spacing w:before="24" w:line="228" w:lineRule="auto"/>
              <w:ind w:left="234"/>
              <w:rPr>
                <w:sz w:val="20"/>
                <w:szCs w:val="20"/>
              </w:rPr>
            </w:pPr>
            <w:r>
              <w:rPr>
                <w:spacing w:val="5"/>
                <w:sz w:val="20"/>
                <w:szCs w:val="20"/>
              </w:rPr>
              <w:t>处理后由</w:t>
            </w:r>
            <w:r>
              <w:rPr>
                <w:spacing w:val="-27"/>
                <w:sz w:val="20"/>
                <w:szCs w:val="20"/>
              </w:rPr>
              <w:t xml:space="preserve"> </w:t>
            </w:r>
            <w:r>
              <w:rPr>
                <w:rFonts w:ascii="Calibri" w:hAnsi="Calibri" w:eastAsia="Calibri" w:cs="Calibri"/>
                <w:spacing w:val="5"/>
                <w:sz w:val="20"/>
                <w:szCs w:val="20"/>
              </w:rPr>
              <w:t>15m</w:t>
            </w:r>
            <w:r>
              <w:rPr>
                <w:rFonts w:ascii="Calibri" w:hAnsi="Calibri" w:eastAsia="Calibri" w:cs="Calibri"/>
                <w:spacing w:val="25"/>
                <w:w w:val="102"/>
                <w:sz w:val="20"/>
                <w:szCs w:val="20"/>
              </w:rPr>
              <w:t xml:space="preserve"> </w:t>
            </w:r>
            <w:r>
              <w:rPr>
                <w:spacing w:val="5"/>
                <w:sz w:val="20"/>
                <w:szCs w:val="20"/>
              </w:rPr>
              <w:t>高排气筒排放</w:t>
            </w:r>
          </w:p>
          <w:p w14:paraId="2EEB61C9">
            <w:pPr>
              <w:pStyle w:val="6"/>
              <w:spacing w:before="27" w:line="196" w:lineRule="auto"/>
              <w:ind w:left="1042"/>
              <w:rPr>
                <w:sz w:val="20"/>
                <w:szCs w:val="20"/>
              </w:rPr>
            </w:pPr>
            <w:r>
              <w:rPr>
                <w:spacing w:val="2"/>
                <w:sz w:val="20"/>
                <w:szCs w:val="20"/>
              </w:rPr>
              <w:t>（</w:t>
            </w:r>
            <w:r>
              <w:rPr>
                <w:rFonts w:ascii="Calibri" w:hAnsi="Calibri" w:eastAsia="Calibri" w:cs="Calibri"/>
                <w:sz w:val="20"/>
                <w:szCs w:val="20"/>
              </w:rPr>
              <w:t>DA</w:t>
            </w:r>
            <w:r>
              <w:rPr>
                <w:rFonts w:ascii="Calibri" w:hAnsi="Calibri" w:eastAsia="Calibri" w:cs="Calibri"/>
                <w:spacing w:val="2"/>
                <w:sz w:val="20"/>
                <w:szCs w:val="20"/>
              </w:rPr>
              <w:t>002</w:t>
            </w:r>
            <w:r>
              <w:rPr>
                <w:spacing w:val="2"/>
                <w:sz w:val="20"/>
                <w:szCs w:val="20"/>
              </w:rPr>
              <w:t>）</w:t>
            </w:r>
          </w:p>
        </w:tc>
        <w:tc>
          <w:tcPr>
            <w:tcW w:w="1187" w:type="dxa"/>
            <w:tcBorders>
              <w:right w:val="single" w:color="000000" w:sz="10" w:space="0"/>
            </w:tcBorders>
            <w:vAlign w:val="top"/>
          </w:tcPr>
          <w:p w14:paraId="5A0B67DF">
            <w:pPr>
              <w:spacing w:line="264" w:lineRule="auto"/>
              <w:rPr>
                <w:rFonts w:ascii="Arial"/>
                <w:sz w:val="21"/>
              </w:rPr>
            </w:pPr>
          </w:p>
          <w:p w14:paraId="4C51BFBA">
            <w:pPr>
              <w:spacing w:line="264" w:lineRule="auto"/>
              <w:rPr>
                <w:rFonts w:ascii="Arial"/>
                <w:sz w:val="21"/>
              </w:rPr>
            </w:pPr>
          </w:p>
          <w:p w14:paraId="099C2E47">
            <w:pPr>
              <w:pStyle w:val="6"/>
              <w:spacing w:before="65" w:line="228" w:lineRule="auto"/>
              <w:ind w:left="343"/>
              <w:rPr>
                <w:sz w:val="20"/>
                <w:szCs w:val="20"/>
              </w:rPr>
            </w:pPr>
            <w:r>
              <w:rPr>
                <w:spacing w:val="3"/>
                <w:sz w:val="20"/>
                <w:szCs w:val="20"/>
              </w:rPr>
              <w:t>可行</w:t>
            </w:r>
          </w:p>
        </w:tc>
      </w:tr>
      <w:tr w14:paraId="15F956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58" w:hRule="atLeast"/>
        </w:trPr>
        <w:tc>
          <w:tcPr>
            <w:tcW w:w="477" w:type="dxa"/>
            <w:vMerge w:val="continue"/>
            <w:tcBorders>
              <w:top w:val="nil"/>
              <w:left w:val="single" w:color="000000" w:sz="10" w:space="0"/>
              <w:bottom w:val="single" w:color="000000" w:sz="10" w:space="0"/>
            </w:tcBorders>
            <w:vAlign w:val="top"/>
          </w:tcPr>
          <w:p w14:paraId="17E71F36">
            <w:pPr>
              <w:rPr>
                <w:rFonts w:ascii="Arial"/>
                <w:sz w:val="21"/>
              </w:rPr>
            </w:pPr>
          </w:p>
        </w:tc>
        <w:tc>
          <w:tcPr>
            <w:tcW w:w="8425" w:type="dxa"/>
            <w:gridSpan w:val="5"/>
            <w:tcBorders>
              <w:bottom w:val="single" w:color="000000" w:sz="10" w:space="0"/>
              <w:right w:val="single" w:color="000000" w:sz="10" w:space="0"/>
            </w:tcBorders>
            <w:vAlign w:val="top"/>
          </w:tcPr>
          <w:p w14:paraId="072B9519">
            <w:pPr>
              <w:pStyle w:val="6"/>
              <w:spacing w:before="137" w:line="336" w:lineRule="auto"/>
              <w:ind w:left="107" w:right="94" w:firstLine="476"/>
              <w:jc w:val="both"/>
            </w:pPr>
            <w:r>
              <w:rPr>
                <w:spacing w:val="-3"/>
              </w:rPr>
              <w:t>对照《排污许可证申请与核发技术规范 废弃资源加工工业》</w:t>
            </w:r>
            <w:r>
              <w:rPr>
                <w:spacing w:val="-50"/>
              </w:rPr>
              <w:t xml:space="preserve"> </w:t>
            </w:r>
            <w:r>
              <w:rPr>
                <w:rFonts w:ascii="Calibri" w:hAnsi="Calibri" w:eastAsia="Calibri" w:cs="Calibri"/>
                <w:spacing w:val="-3"/>
              </w:rPr>
              <w:t>(HJ1034-2019)</w:t>
            </w:r>
            <w:r>
              <w:rPr>
                <w:rFonts w:ascii="Calibri" w:hAnsi="Calibri" w:eastAsia="Calibri" w:cs="Calibri"/>
              </w:rPr>
              <w:t xml:space="preserve"> </w:t>
            </w:r>
            <w:r>
              <w:rPr>
                <w:spacing w:val="1"/>
              </w:rPr>
              <w:t>中（参照非机动车）中推荐的污染防治设施可行性技术，本项目采取的措施均</w:t>
            </w:r>
            <w:r>
              <w:rPr>
                <w:spacing w:val="12"/>
              </w:rPr>
              <w:t xml:space="preserve"> </w:t>
            </w:r>
            <w:r>
              <w:rPr>
                <w:spacing w:val="1"/>
              </w:rPr>
              <w:t>为该规范中推荐的可行性措施。同时，根据以上分析可知，项目采取的措施是</w:t>
            </w:r>
          </w:p>
        </w:tc>
      </w:tr>
    </w:tbl>
    <w:p w14:paraId="6BA0AD2B">
      <w:pPr>
        <w:pStyle w:val="2"/>
      </w:pPr>
    </w:p>
    <w:p w14:paraId="6A946FFA">
      <w:pPr>
        <w:sectPr>
          <w:footerReference r:id="rId72"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14FF4EB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984" w:hRule="atLeast"/>
        </w:trPr>
        <w:tc>
          <w:tcPr>
            <w:tcW w:w="477" w:type="dxa"/>
            <w:tcBorders>
              <w:right w:val="single" w:color="000000" w:sz="2" w:space="0"/>
            </w:tcBorders>
            <w:vAlign w:val="top"/>
          </w:tcPr>
          <w:p w14:paraId="54023245">
            <w:pPr>
              <w:rPr>
                <w:rFonts w:ascii="Arial"/>
                <w:sz w:val="21"/>
              </w:rPr>
            </w:pPr>
          </w:p>
        </w:tc>
        <w:tc>
          <w:tcPr>
            <w:tcW w:w="8425" w:type="dxa"/>
            <w:tcBorders>
              <w:left w:val="single" w:color="000000" w:sz="2" w:space="0"/>
            </w:tcBorders>
            <w:vAlign w:val="top"/>
          </w:tcPr>
          <w:p w14:paraId="3E3B7AC1">
            <w:pPr>
              <w:pStyle w:val="6"/>
              <w:spacing w:before="100" w:line="220" w:lineRule="auto"/>
              <w:ind w:left="106"/>
            </w:pPr>
            <w:r>
              <w:rPr>
                <w:spacing w:val="-1"/>
              </w:rPr>
              <w:t>可行的。为确保措施可行性，提出以下建议：</w:t>
            </w:r>
          </w:p>
          <w:p w14:paraId="0CDAA61E">
            <w:pPr>
              <w:pStyle w:val="6"/>
              <w:spacing w:before="181" w:line="346" w:lineRule="auto"/>
              <w:ind w:left="108" w:right="97" w:firstLine="477"/>
            </w:pPr>
            <w:r>
              <w:rPr>
                <w:rFonts w:ascii="Calibri" w:hAnsi="Calibri" w:eastAsia="Calibri" w:cs="Calibri"/>
                <w:spacing w:val="-2"/>
              </w:rPr>
              <w:t>a</w:t>
            </w:r>
            <w:r>
              <w:rPr>
                <w:spacing w:val="-2"/>
              </w:rPr>
              <w:t>）污染治理设施应与产生废气的生产工艺设备同步运行。由于事</w:t>
            </w:r>
            <w:r>
              <w:rPr>
                <w:spacing w:val="-3"/>
              </w:rPr>
              <w:t>故或设备</w:t>
            </w:r>
            <w:r>
              <w:t xml:space="preserve"> </w:t>
            </w:r>
            <w:r>
              <w:rPr>
                <w:spacing w:val="-1"/>
              </w:rPr>
              <w:t>维修等原因造成治理设施停止运行时，应立即报告当地环境主管部门。</w:t>
            </w:r>
          </w:p>
          <w:p w14:paraId="0429A4C8">
            <w:pPr>
              <w:pStyle w:val="6"/>
              <w:spacing w:before="37" w:line="351" w:lineRule="auto"/>
              <w:ind w:left="104" w:right="88" w:firstLine="488"/>
            </w:pPr>
            <w:r>
              <w:rPr>
                <w:rFonts w:ascii="Calibri" w:hAnsi="Calibri" w:eastAsia="Calibri" w:cs="Calibri"/>
                <w:spacing w:val="-2"/>
              </w:rPr>
              <w:t>b</w:t>
            </w:r>
            <w:r>
              <w:rPr>
                <w:spacing w:val="-2"/>
              </w:rPr>
              <w:t>）污染治理设施运行应在满足设计工况的条</w:t>
            </w:r>
            <w:r>
              <w:rPr>
                <w:spacing w:val="-3"/>
              </w:rPr>
              <w:t>件下进行，并根据工艺要求，</w:t>
            </w:r>
            <w:r>
              <w:t xml:space="preserve"> 定期对设备、电气、</w:t>
            </w:r>
            <w:r>
              <w:rPr>
                <w:spacing w:val="-69"/>
              </w:rPr>
              <w:t xml:space="preserve"> </w:t>
            </w:r>
            <w:r>
              <w:t>自控仪表及构筑物进行检查维护，确保污染治理设施</w:t>
            </w:r>
            <w:r>
              <w:rPr>
                <w:spacing w:val="-1"/>
              </w:rPr>
              <w:t>可靠</w:t>
            </w:r>
            <w:r>
              <w:t xml:space="preserve"> </w:t>
            </w:r>
            <w:r>
              <w:rPr>
                <w:spacing w:val="-4"/>
              </w:rPr>
              <w:t>运行。</w:t>
            </w:r>
          </w:p>
          <w:p w14:paraId="3793E0F9">
            <w:pPr>
              <w:pStyle w:val="6"/>
              <w:spacing w:before="33" w:line="313" w:lineRule="auto"/>
              <w:ind w:left="104" w:right="94" w:firstLine="481"/>
            </w:pPr>
            <w:r>
              <w:rPr>
                <w:rFonts w:ascii="Calibri" w:hAnsi="Calibri" w:eastAsia="Calibri" w:cs="Calibri"/>
                <w:spacing w:val="-2"/>
              </w:rPr>
              <w:t>c</w:t>
            </w:r>
            <w:r>
              <w:rPr>
                <w:spacing w:val="-2"/>
              </w:rPr>
              <w:t>）污染防治设施检修期间，排污单位相应排污设施应停止运行，并向生态</w:t>
            </w:r>
            <w:r>
              <w:rPr>
                <w:spacing w:val="10"/>
              </w:rPr>
              <w:t xml:space="preserve"> </w:t>
            </w:r>
            <w:r>
              <w:rPr>
                <w:spacing w:val="1"/>
              </w:rPr>
              <w:t>环境主管部门提交污染治理设施检维修计划，检修计划应至少包括检维修的起</w:t>
            </w:r>
            <w:r>
              <w:rPr>
                <w:spacing w:val="15"/>
              </w:rPr>
              <w:t xml:space="preserve"> </w:t>
            </w:r>
            <w:r>
              <w:rPr>
                <w:spacing w:val="-1"/>
              </w:rPr>
              <w:t>始时间、情形描述、预计结束时间、拟采取的应对措施等内容。</w:t>
            </w:r>
          </w:p>
          <w:p w14:paraId="2DF10DD0">
            <w:pPr>
              <w:pStyle w:val="6"/>
              <w:spacing w:before="184" w:line="220" w:lineRule="auto"/>
              <w:ind w:left="596"/>
            </w:pPr>
            <w:r>
              <w:rPr>
                <w:spacing w:val="-3"/>
              </w:rPr>
              <w:t>（</w:t>
            </w:r>
            <w:r>
              <w:rPr>
                <w:rFonts w:ascii="Calibri" w:hAnsi="Calibri" w:eastAsia="Calibri" w:cs="Calibri"/>
                <w:spacing w:val="-3"/>
              </w:rPr>
              <w:t>5</w:t>
            </w:r>
            <w:r>
              <w:rPr>
                <w:spacing w:val="-3"/>
              </w:rPr>
              <w:t>）废气监测计划</w:t>
            </w:r>
          </w:p>
          <w:p w14:paraId="0FA35365">
            <w:pPr>
              <w:pStyle w:val="6"/>
              <w:spacing w:before="183" w:line="346" w:lineRule="auto"/>
              <w:ind w:left="223" w:right="214" w:firstLine="480"/>
            </w:pPr>
            <w:r>
              <w:rPr>
                <w:spacing w:val="1"/>
              </w:rPr>
              <w:t>环境监测的目的是及时、准确、全面反映企业环境保护设施运行状况及</w:t>
            </w:r>
            <w:r>
              <w:rPr>
                <w:spacing w:val="18"/>
              </w:rPr>
              <w:t xml:space="preserve"> </w:t>
            </w:r>
            <w:r>
              <w:rPr>
                <w:spacing w:val="-1"/>
              </w:rPr>
              <w:t>存在的问题，为环境管理、污染源控制提供科学依据。</w:t>
            </w:r>
          </w:p>
          <w:p w14:paraId="04A462A6">
            <w:pPr>
              <w:pStyle w:val="6"/>
              <w:spacing w:before="34" w:line="340" w:lineRule="auto"/>
              <w:ind w:left="105" w:right="117" w:firstLine="480"/>
            </w:pPr>
            <w:r>
              <w:t>本项目监测计划根据《排污单位自行监测技术指南</w:t>
            </w:r>
            <w:r>
              <w:rPr>
                <w:rFonts w:ascii="Calibri" w:hAnsi="Calibri" w:eastAsia="Calibri" w:cs="Calibri"/>
              </w:rPr>
              <w:t>-</w:t>
            </w:r>
            <w:r>
              <w:t>总则》（</w:t>
            </w:r>
            <w:r>
              <w:rPr>
                <w:rFonts w:ascii="Calibri" w:hAnsi="Calibri" w:eastAsia="Calibri" w:cs="Calibri"/>
              </w:rPr>
              <w:t>HJ819-2017</w:t>
            </w:r>
            <w:r>
              <w:t>） 和《排污许可证申请与核发技术规范 废弃资源加工工业》</w:t>
            </w:r>
            <w:r>
              <w:rPr>
                <w:rFonts w:ascii="Calibri" w:hAnsi="Calibri" w:eastAsia="Calibri" w:cs="Calibri"/>
              </w:rPr>
              <w:t>(H1034-2019)</w:t>
            </w:r>
            <w:r>
              <w:t>制定，</w:t>
            </w:r>
            <w:r>
              <w:rPr>
                <w:spacing w:val="3"/>
              </w:rPr>
              <w:t xml:space="preserve"> </w:t>
            </w:r>
            <w:r>
              <w:rPr>
                <w:spacing w:val="-2"/>
              </w:rPr>
              <w:t>具体监测计划见下表。</w:t>
            </w:r>
          </w:p>
          <w:p w14:paraId="3BCFCFE4">
            <w:pPr>
              <w:pStyle w:val="6"/>
              <w:spacing w:before="1" w:line="211" w:lineRule="auto"/>
              <w:ind w:left="2820"/>
            </w:pPr>
            <w:r>
              <w:rPr>
                <w:b/>
                <w:bCs/>
                <w:spacing w:val="-2"/>
              </w:rPr>
              <w:t>表</w:t>
            </w:r>
            <w:r>
              <w:rPr>
                <w:spacing w:val="-54"/>
              </w:rPr>
              <w:t xml:space="preserve"> </w:t>
            </w:r>
            <w:r>
              <w:rPr>
                <w:rFonts w:ascii="Calibri" w:hAnsi="Calibri" w:eastAsia="Calibri" w:cs="Calibri"/>
                <w:b/>
                <w:bCs/>
                <w:spacing w:val="-2"/>
              </w:rPr>
              <w:t xml:space="preserve">4-5         </w:t>
            </w:r>
            <w:r>
              <w:rPr>
                <w:b/>
                <w:bCs/>
                <w:spacing w:val="-2"/>
              </w:rPr>
              <w:t>环境监测计划表</w:t>
            </w:r>
          </w:p>
          <w:tbl>
            <w:tblPr>
              <w:tblStyle w:val="5"/>
              <w:tblW w:w="7924" w:type="dxa"/>
              <w:tblInd w:w="24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2"/>
              <w:gridCol w:w="1382"/>
              <w:gridCol w:w="1650"/>
              <w:gridCol w:w="1815"/>
              <w:gridCol w:w="2195"/>
            </w:tblGrid>
            <w:tr w14:paraId="2B2DE0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trPr>
              <w:tc>
                <w:tcPr>
                  <w:tcW w:w="882" w:type="dxa"/>
                  <w:tcBorders>
                    <w:top w:val="single" w:color="000000" w:sz="10" w:space="0"/>
                    <w:left w:val="nil"/>
                  </w:tcBorders>
                  <w:vAlign w:val="top"/>
                </w:tcPr>
                <w:p w14:paraId="25438C8B">
                  <w:pPr>
                    <w:pStyle w:val="6"/>
                    <w:spacing w:before="133" w:line="228" w:lineRule="auto"/>
                    <w:ind w:left="238"/>
                    <w:rPr>
                      <w:sz w:val="20"/>
                      <w:szCs w:val="20"/>
                    </w:rPr>
                  </w:pPr>
                  <w:r>
                    <w:rPr>
                      <w:b/>
                      <w:bCs/>
                      <w:spacing w:val="3"/>
                      <w:sz w:val="20"/>
                      <w:szCs w:val="20"/>
                    </w:rPr>
                    <w:t>类别</w:t>
                  </w:r>
                </w:p>
              </w:tc>
              <w:tc>
                <w:tcPr>
                  <w:tcW w:w="1382" w:type="dxa"/>
                  <w:tcBorders>
                    <w:top w:val="single" w:color="000000" w:sz="10" w:space="0"/>
                  </w:tcBorders>
                  <w:vAlign w:val="top"/>
                </w:tcPr>
                <w:p w14:paraId="18FC0E07">
                  <w:pPr>
                    <w:pStyle w:val="6"/>
                    <w:spacing w:before="134" w:line="229" w:lineRule="auto"/>
                    <w:ind w:left="274"/>
                    <w:rPr>
                      <w:sz w:val="20"/>
                      <w:szCs w:val="20"/>
                    </w:rPr>
                  </w:pPr>
                  <w:r>
                    <w:rPr>
                      <w:b/>
                      <w:bCs/>
                      <w:spacing w:val="6"/>
                      <w:sz w:val="20"/>
                      <w:szCs w:val="20"/>
                    </w:rPr>
                    <w:t>监测点位</w:t>
                  </w:r>
                </w:p>
              </w:tc>
              <w:tc>
                <w:tcPr>
                  <w:tcW w:w="1650" w:type="dxa"/>
                  <w:tcBorders>
                    <w:top w:val="single" w:color="000000" w:sz="10" w:space="0"/>
                  </w:tcBorders>
                  <w:vAlign w:val="top"/>
                </w:tcPr>
                <w:p w14:paraId="41B77619">
                  <w:pPr>
                    <w:pStyle w:val="6"/>
                    <w:spacing w:before="134" w:line="228" w:lineRule="auto"/>
                    <w:ind w:left="409"/>
                    <w:rPr>
                      <w:sz w:val="20"/>
                      <w:szCs w:val="20"/>
                    </w:rPr>
                  </w:pPr>
                  <w:r>
                    <w:rPr>
                      <w:b/>
                      <w:bCs/>
                      <w:spacing w:val="6"/>
                      <w:sz w:val="20"/>
                      <w:szCs w:val="20"/>
                    </w:rPr>
                    <w:t>监测项目</w:t>
                  </w:r>
                </w:p>
              </w:tc>
              <w:tc>
                <w:tcPr>
                  <w:tcW w:w="1815" w:type="dxa"/>
                  <w:tcBorders>
                    <w:top w:val="single" w:color="000000" w:sz="10" w:space="0"/>
                  </w:tcBorders>
                  <w:vAlign w:val="top"/>
                </w:tcPr>
                <w:p w14:paraId="25605AEA">
                  <w:pPr>
                    <w:pStyle w:val="6"/>
                    <w:spacing w:before="133" w:line="228" w:lineRule="auto"/>
                    <w:ind w:left="492"/>
                    <w:rPr>
                      <w:sz w:val="20"/>
                      <w:szCs w:val="20"/>
                    </w:rPr>
                  </w:pPr>
                  <w:r>
                    <w:rPr>
                      <w:b/>
                      <w:bCs/>
                      <w:spacing w:val="6"/>
                      <w:sz w:val="20"/>
                      <w:szCs w:val="20"/>
                    </w:rPr>
                    <w:t>监测频次</w:t>
                  </w:r>
                </w:p>
              </w:tc>
              <w:tc>
                <w:tcPr>
                  <w:tcW w:w="2195" w:type="dxa"/>
                  <w:tcBorders>
                    <w:top w:val="single" w:color="000000" w:sz="10" w:space="0"/>
                    <w:right w:val="nil"/>
                  </w:tcBorders>
                  <w:vAlign w:val="top"/>
                </w:tcPr>
                <w:p w14:paraId="278A2F08">
                  <w:pPr>
                    <w:pStyle w:val="6"/>
                    <w:spacing w:before="133" w:line="228" w:lineRule="auto"/>
                    <w:ind w:left="682"/>
                    <w:rPr>
                      <w:sz w:val="20"/>
                      <w:szCs w:val="20"/>
                    </w:rPr>
                  </w:pPr>
                  <w:r>
                    <w:rPr>
                      <w:b/>
                      <w:bCs/>
                      <w:spacing w:val="6"/>
                      <w:sz w:val="20"/>
                      <w:szCs w:val="20"/>
                    </w:rPr>
                    <w:t>执行标准</w:t>
                  </w:r>
                </w:p>
              </w:tc>
            </w:tr>
            <w:tr w14:paraId="5194C3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882" w:type="dxa"/>
                  <w:vMerge w:val="restart"/>
                  <w:tcBorders>
                    <w:left w:val="nil"/>
                    <w:bottom w:val="nil"/>
                  </w:tcBorders>
                  <w:vAlign w:val="top"/>
                </w:tcPr>
                <w:p w14:paraId="15A01F17">
                  <w:pPr>
                    <w:spacing w:line="245" w:lineRule="auto"/>
                    <w:rPr>
                      <w:rFonts w:ascii="Arial"/>
                      <w:sz w:val="21"/>
                    </w:rPr>
                  </w:pPr>
                </w:p>
                <w:p w14:paraId="7A20DAE0">
                  <w:pPr>
                    <w:spacing w:line="245" w:lineRule="auto"/>
                    <w:rPr>
                      <w:rFonts w:ascii="Arial"/>
                      <w:sz w:val="21"/>
                    </w:rPr>
                  </w:pPr>
                </w:p>
                <w:p w14:paraId="56CF9BEE">
                  <w:pPr>
                    <w:spacing w:line="245" w:lineRule="auto"/>
                    <w:rPr>
                      <w:rFonts w:ascii="Arial"/>
                      <w:sz w:val="21"/>
                    </w:rPr>
                  </w:pPr>
                </w:p>
                <w:p w14:paraId="1DFEB537">
                  <w:pPr>
                    <w:spacing w:line="245" w:lineRule="auto"/>
                    <w:rPr>
                      <w:rFonts w:ascii="Arial"/>
                      <w:sz w:val="21"/>
                    </w:rPr>
                  </w:pPr>
                </w:p>
                <w:p w14:paraId="5062D00B">
                  <w:pPr>
                    <w:spacing w:line="245" w:lineRule="auto"/>
                    <w:rPr>
                      <w:rFonts w:ascii="Arial"/>
                      <w:sz w:val="21"/>
                    </w:rPr>
                  </w:pPr>
                </w:p>
                <w:p w14:paraId="75FF514D">
                  <w:pPr>
                    <w:spacing w:line="245" w:lineRule="auto"/>
                    <w:rPr>
                      <w:rFonts w:ascii="Arial"/>
                      <w:sz w:val="21"/>
                    </w:rPr>
                  </w:pPr>
                </w:p>
                <w:p w14:paraId="19437D69">
                  <w:pPr>
                    <w:pStyle w:val="6"/>
                    <w:spacing w:before="65" w:line="228" w:lineRule="auto"/>
                    <w:ind w:left="238"/>
                    <w:rPr>
                      <w:sz w:val="20"/>
                      <w:szCs w:val="20"/>
                    </w:rPr>
                  </w:pPr>
                  <w:r>
                    <w:rPr>
                      <w:spacing w:val="5"/>
                      <w:sz w:val="20"/>
                      <w:szCs w:val="20"/>
                    </w:rPr>
                    <w:t>废气</w:t>
                  </w:r>
                </w:p>
              </w:tc>
              <w:tc>
                <w:tcPr>
                  <w:tcW w:w="1382" w:type="dxa"/>
                  <w:vAlign w:val="top"/>
                </w:tcPr>
                <w:p w14:paraId="29F02701">
                  <w:pPr>
                    <w:pStyle w:val="6"/>
                    <w:spacing w:before="35" w:line="231" w:lineRule="auto"/>
                    <w:ind w:left="211" w:right="215" w:firstLine="169"/>
                    <w:rPr>
                      <w:sz w:val="20"/>
                      <w:szCs w:val="20"/>
                    </w:rPr>
                  </w:pPr>
                  <w:r>
                    <w:rPr>
                      <w:spacing w:val="6"/>
                      <w:sz w:val="20"/>
                      <w:szCs w:val="20"/>
                    </w:rPr>
                    <w:t>排气筒</w:t>
                  </w:r>
                  <w:r>
                    <w:rPr>
                      <w:sz w:val="20"/>
                      <w:szCs w:val="20"/>
                    </w:rPr>
                    <w:t xml:space="preserve">  </w:t>
                  </w:r>
                  <w:r>
                    <w:rPr>
                      <w:spacing w:val="1"/>
                      <w:sz w:val="20"/>
                      <w:szCs w:val="20"/>
                    </w:rPr>
                    <w:t>（</w:t>
                  </w:r>
                  <w:r>
                    <w:rPr>
                      <w:rFonts w:ascii="Calibri" w:hAnsi="Calibri" w:eastAsia="Calibri" w:cs="Calibri"/>
                      <w:sz w:val="20"/>
                      <w:szCs w:val="20"/>
                    </w:rPr>
                    <w:t>DA</w:t>
                  </w:r>
                  <w:r>
                    <w:rPr>
                      <w:rFonts w:ascii="Calibri" w:hAnsi="Calibri" w:eastAsia="Calibri" w:cs="Calibri"/>
                      <w:spacing w:val="1"/>
                      <w:sz w:val="20"/>
                      <w:szCs w:val="20"/>
                    </w:rPr>
                    <w:t>001</w:t>
                  </w:r>
                  <w:r>
                    <w:rPr>
                      <w:spacing w:val="1"/>
                      <w:sz w:val="20"/>
                      <w:szCs w:val="20"/>
                    </w:rPr>
                    <w:t>）</w:t>
                  </w:r>
                </w:p>
              </w:tc>
              <w:tc>
                <w:tcPr>
                  <w:tcW w:w="1650" w:type="dxa"/>
                  <w:vAlign w:val="top"/>
                </w:tcPr>
                <w:p w14:paraId="6230DECE">
                  <w:pPr>
                    <w:pStyle w:val="6"/>
                    <w:spacing w:before="171" w:line="228" w:lineRule="auto"/>
                    <w:ind w:left="515"/>
                    <w:rPr>
                      <w:sz w:val="20"/>
                      <w:szCs w:val="20"/>
                    </w:rPr>
                  </w:pPr>
                  <w:r>
                    <w:rPr>
                      <w:spacing w:val="7"/>
                      <w:sz w:val="20"/>
                      <w:szCs w:val="20"/>
                    </w:rPr>
                    <w:t>颗粒物</w:t>
                  </w:r>
                </w:p>
              </w:tc>
              <w:tc>
                <w:tcPr>
                  <w:tcW w:w="1815" w:type="dxa"/>
                  <w:vAlign w:val="top"/>
                </w:tcPr>
                <w:p w14:paraId="0A765C84">
                  <w:pPr>
                    <w:pStyle w:val="6"/>
                    <w:spacing w:before="136" w:line="280" w:lineRule="exact"/>
                    <w:ind w:left="592"/>
                    <w:rPr>
                      <w:sz w:val="20"/>
                      <w:szCs w:val="20"/>
                    </w:rPr>
                  </w:pPr>
                  <w:r>
                    <w:rPr>
                      <w:rFonts w:ascii="Calibri" w:hAnsi="Calibri" w:eastAsia="Calibri" w:cs="Calibri"/>
                      <w:spacing w:val="-1"/>
                      <w:position w:val="2"/>
                      <w:sz w:val="20"/>
                      <w:szCs w:val="20"/>
                    </w:rPr>
                    <w:t>1</w:t>
                  </w:r>
                  <w:r>
                    <w:rPr>
                      <w:rFonts w:ascii="Calibri" w:hAnsi="Calibri" w:eastAsia="Calibri" w:cs="Calibri"/>
                      <w:spacing w:val="21"/>
                      <w:w w:val="101"/>
                      <w:position w:val="2"/>
                      <w:sz w:val="20"/>
                      <w:szCs w:val="20"/>
                    </w:rPr>
                    <w:t xml:space="preserve"> </w:t>
                  </w:r>
                  <w:r>
                    <w:rPr>
                      <w:spacing w:val="-1"/>
                      <w:position w:val="2"/>
                      <w:sz w:val="20"/>
                      <w:szCs w:val="20"/>
                    </w:rPr>
                    <w:t>次</w:t>
                  </w:r>
                  <w:r>
                    <w:rPr>
                      <w:rFonts w:ascii="Calibri" w:hAnsi="Calibri" w:eastAsia="Calibri" w:cs="Calibri"/>
                      <w:spacing w:val="-1"/>
                      <w:position w:val="2"/>
                      <w:sz w:val="20"/>
                      <w:szCs w:val="20"/>
                    </w:rPr>
                    <w:t>/</w:t>
                  </w:r>
                  <w:r>
                    <w:rPr>
                      <w:spacing w:val="-1"/>
                      <w:position w:val="2"/>
                      <w:sz w:val="20"/>
                      <w:szCs w:val="20"/>
                    </w:rPr>
                    <w:t>年</w:t>
                  </w:r>
                </w:p>
              </w:tc>
              <w:tc>
                <w:tcPr>
                  <w:tcW w:w="2195" w:type="dxa"/>
                  <w:vMerge w:val="restart"/>
                  <w:tcBorders>
                    <w:bottom w:val="nil"/>
                    <w:right w:val="nil"/>
                  </w:tcBorders>
                  <w:vAlign w:val="top"/>
                </w:tcPr>
                <w:p w14:paraId="02AB6A7C">
                  <w:pPr>
                    <w:pStyle w:val="6"/>
                    <w:spacing w:before="181" w:line="243" w:lineRule="auto"/>
                    <w:ind w:left="132" w:right="109" w:firstLine="32"/>
                    <w:jc w:val="both"/>
                    <w:rPr>
                      <w:sz w:val="20"/>
                      <w:szCs w:val="20"/>
                    </w:rPr>
                  </w:pPr>
                  <w:r>
                    <w:rPr>
                      <w:spacing w:val="8"/>
                      <w:sz w:val="20"/>
                      <w:szCs w:val="20"/>
                    </w:rPr>
                    <w:t>《大气污染物综合排</w:t>
                  </w:r>
                  <w:r>
                    <w:rPr>
                      <w:spacing w:val="2"/>
                      <w:sz w:val="20"/>
                      <w:szCs w:val="20"/>
                    </w:rPr>
                    <w:t xml:space="preserve"> </w:t>
                  </w:r>
                  <w:r>
                    <w:rPr>
                      <w:spacing w:val="13"/>
                      <w:sz w:val="20"/>
                      <w:szCs w:val="20"/>
                    </w:rPr>
                    <w:t>放标准》（</w:t>
                  </w:r>
                  <w:r>
                    <w:rPr>
                      <w:rFonts w:ascii="Calibri" w:hAnsi="Calibri" w:eastAsia="Calibri" w:cs="Calibri"/>
                      <w:sz w:val="20"/>
                      <w:szCs w:val="20"/>
                    </w:rPr>
                    <w:t>GB</w:t>
                  </w:r>
                  <w:r>
                    <w:rPr>
                      <w:rFonts w:ascii="Calibri" w:hAnsi="Calibri" w:eastAsia="Calibri" w:cs="Calibri"/>
                      <w:spacing w:val="13"/>
                      <w:sz w:val="20"/>
                      <w:szCs w:val="20"/>
                    </w:rPr>
                    <w:t>16297</w:t>
                  </w:r>
                  <w:r>
                    <w:rPr>
                      <w:rFonts w:ascii="Calibri" w:hAnsi="Calibri" w:eastAsia="Calibri" w:cs="Calibri"/>
                      <w:sz w:val="20"/>
                      <w:szCs w:val="20"/>
                    </w:rPr>
                    <w:t xml:space="preserve">   </w:t>
                  </w:r>
                  <w:r>
                    <w:rPr>
                      <w:spacing w:val="10"/>
                      <w:sz w:val="20"/>
                      <w:szCs w:val="20"/>
                    </w:rPr>
                    <w:t>-</w:t>
                  </w:r>
                  <w:r>
                    <w:rPr>
                      <w:rFonts w:ascii="Calibri" w:hAnsi="Calibri" w:eastAsia="Calibri" w:cs="Calibri"/>
                      <w:spacing w:val="10"/>
                      <w:sz w:val="20"/>
                      <w:szCs w:val="20"/>
                    </w:rPr>
                    <w:t>1996</w:t>
                  </w:r>
                  <w:r>
                    <w:rPr>
                      <w:spacing w:val="10"/>
                      <w:sz w:val="20"/>
                      <w:szCs w:val="20"/>
                    </w:rPr>
                    <w:t xml:space="preserve">）表 </w:t>
                  </w:r>
                  <w:r>
                    <w:rPr>
                      <w:rFonts w:ascii="Calibri" w:hAnsi="Calibri" w:eastAsia="Calibri" w:cs="Calibri"/>
                      <w:spacing w:val="10"/>
                      <w:sz w:val="20"/>
                      <w:szCs w:val="20"/>
                    </w:rPr>
                    <w:t>2</w:t>
                  </w:r>
                  <w:r>
                    <w:rPr>
                      <w:rFonts w:ascii="Calibri" w:hAnsi="Calibri" w:eastAsia="Calibri" w:cs="Calibri"/>
                      <w:spacing w:val="16"/>
                      <w:sz w:val="20"/>
                      <w:szCs w:val="20"/>
                    </w:rPr>
                    <w:t xml:space="preserve">  </w:t>
                  </w:r>
                  <w:r>
                    <w:rPr>
                      <w:spacing w:val="10"/>
                      <w:sz w:val="20"/>
                      <w:szCs w:val="20"/>
                    </w:rPr>
                    <w:t>二级排</w:t>
                  </w:r>
                </w:p>
                <w:p w14:paraId="57B36750">
                  <w:pPr>
                    <w:pStyle w:val="6"/>
                    <w:spacing w:before="25" w:line="228" w:lineRule="auto"/>
                    <w:ind w:left="579"/>
                    <w:rPr>
                      <w:sz w:val="20"/>
                      <w:szCs w:val="20"/>
                    </w:rPr>
                  </w:pPr>
                  <w:r>
                    <w:rPr>
                      <w:spacing w:val="8"/>
                      <w:sz w:val="20"/>
                      <w:szCs w:val="20"/>
                    </w:rPr>
                    <w:t>放浓度限值</w:t>
                  </w:r>
                </w:p>
              </w:tc>
            </w:tr>
            <w:tr w14:paraId="3A6CFD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5" w:hRule="atLeast"/>
              </w:trPr>
              <w:tc>
                <w:tcPr>
                  <w:tcW w:w="882" w:type="dxa"/>
                  <w:vMerge w:val="continue"/>
                  <w:tcBorders>
                    <w:top w:val="nil"/>
                    <w:left w:val="nil"/>
                    <w:bottom w:val="nil"/>
                  </w:tcBorders>
                  <w:vAlign w:val="top"/>
                </w:tcPr>
                <w:p w14:paraId="0A23FE26">
                  <w:pPr>
                    <w:rPr>
                      <w:rFonts w:ascii="Arial"/>
                      <w:sz w:val="21"/>
                    </w:rPr>
                  </w:pPr>
                </w:p>
              </w:tc>
              <w:tc>
                <w:tcPr>
                  <w:tcW w:w="1382" w:type="dxa"/>
                  <w:vMerge w:val="restart"/>
                  <w:tcBorders>
                    <w:bottom w:val="nil"/>
                  </w:tcBorders>
                  <w:vAlign w:val="top"/>
                </w:tcPr>
                <w:p w14:paraId="10C7BC5C">
                  <w:pPr>
                    <w:pStyle w:val="6"/>
                    <w:spacing w:before="179" w:line="245" w:lineRule="auto"/>
                    <w:ind w:left="211" w:right="215" w:firstLine="169"/>
                    <w:rPr>
                      <w:sz w:val="20"/>
                      <w:szCs w:val="20"/>
                    </w:rPr>
                  </w:pPr>
                  <w:r>
                    <w:rPr>
                      <w:spacing w:val="6"/>
                      <w:sz w:val="20"/>
                      <w:szCs w:val="20"/>
                    </w:rPr>
                    <w:t>排气筒</w:t>
                  </w:r>
                  <w:r>
                    <w:rPr>
                      <w:sz w:val="20"/>
                      <w:szCs w:val="20"/>
                    </w:rPr>
                    <w:t xml:space="preserve">  </w:t>
                  </w:r>
                  <w:r>
                    <w:rPr>
                      <w:spacing w:val="1"/>
                      <w:sz w:val="20"/>
                      <w:szCs w:val="20"/>
                    </w:rPr>
                    <w:t>（</w:t>
                  </w:r>
                  <w:r>
                    <w:rPr>
                      <w:rFonts w:ascii="Calibri" w:hAnsi="Calibri" w:eastAsia="Calibri" w:cs="Calibri"/>
                      <w:sz w:val="20"/>
                      <w:szCs w:val="20"/>
                    </w:rPr>
                    <w:t>DA</w:t>
                  </w:r>
                  <w:r>
                    <w:rPr>
                      <w:rFonts w:ascii="Calibri" w:hAnsi="Calibri" w:eastAsia="Calibri" w:cs="Calibri"/>
                      <w:spacing w:val="1"/>
                      <w:sz w:val="20"/>
                      <w:szCs w:val="20"/>
                    </w:rPr>
                    <w:t>002</w:t>
                  </w:r>
                  <w:r>
                    <w:rPr>
                      <w:spacing w:val="1"/>
                      <w:sz w:val="20"/>
                      <w:szCs w:val="20"/>
                    </w:rPr>
                    <w:t>）</w:t>
                  </w:r>
                </w:p>
              </w:tc>
              <w:tc>
                <w:tcPr>
                  <w:tcW w:w="1650" w:type="dxa"/>
                  <w:vAlign w:val="top"/>
                </w:tcPr>
                <w:p w14:paraId="66DF1902">
                  <w:pPr>
                    <w:pStyle w:val="6"/>
                    <w:spacing w:before="38" w:line="209" w:lineRule="auto"/>
                    <w:ind w:left="308"/>
                    <w:rPr>
                      <w:sz w:val="20"/>
                      <w:szCs w:val="20"/>
                    </w:rPr>
                  </w:pPr>
                  <w:r>
                    <w:rPr>
                      <w:spacing w:val="7"/>
                      <w:sz w:val="20"/>
                      <w:szCs w:val="20"/>
                    </w:rPr>
                    <w:t>非甲烷总烃</w:t>
                  </w:r>
                </w:p>
              </w:tc>
              <w:tc>
                <w:tcPr>
                  <w:tcW w:w="1815" w:type="dxa"/>
                  <w:vAlign w:val="top"/>
                </w:tcPr>
                <w:p w14:paraId="32AAB3A6">
                  <w:pPr>
                    <w:pStyle w:val="6"/>
                    <w:spacing w:before="6" w:line="239" w:lineRule="auto"/>
                    <w:ind w:left="592"/>
                    <w:rPr>
                      <w:sz w:val="20"/>
                      <w:szCs w:val="20"/>
                    </w:rPr>
                  </w:pPr>
                  <w:r>
                    <w:rPr>
                      <w:rFonts w:ascii="Calibri" w:hAnsi="Calibri" w:eastAsia="Calibri" w:cs="Calibri"/>
                      <w:spacing w:val="-1"/>
                      <w:sz w:val="20"/>
                      <w:szCs w:val="20"/>
                    </w:rPr>
                    <w:t>1</w:t>
                  </w:r>
                  <w:r>
                    <w:rPr>
                      <w:rFonts w:ascii="Calibri" w:hAnsi="Calibri" w:eastAsia="Calibri" w:cs="Calibri"/>
                      <w:spacing w:val="21"/>
                      <w:w w:val="101"/>
                      <w:sz w:val="20"/>
                      <w:szCs w:val="20"/>
                    </w:rPr>
                    <w:t xml:space="preserve"> </w:t>
                  </w:r>
                  <w:r>
                    <w:rPr>
                      <w:spacing w:val="-1"/>
                      <w:sz w:val="20"/>
                      <w:szCs w:val="20"/>
                    </w:rPr>
                    <w:t>次</w:t>
                  </w:r>
                  <w:r>
                    <w:rPr>
                      <w:rFonts w:ascii="Calibri" w:hAnsi="Calibri" w:eastAsia="Calibri" w:cs="Calibri"/>
                      <w:spacing w:val="-1"/>
                      <w:sz w:val="20"/>
                      <w:szCs w:val="20"/>
                    </w:rPr>
                    <w:t>/</w:t>
                  </w:r>
                  <w:r>
                    <w:rPr>
                      <w:spacing w:val="-1"/>
                      <w:sz w:val="20"/>
                      <w:szCs w:val="20"/>
                    </w:rPr>
                    <w:t>年</w:t>
                  </w:r>
                </w:p>
              </w:tc>
              <w:tc>
                <w:tcPr>
                  <w:tcW w:w="2195" w:type="dxa"/>
                  <w:vMerge w:val="continue"/>
                  <w:tcBorders>
                    <w:top w:val="nil"/>
                    <w:bottom w:val="nil"/>
                    <w:right w:val="nil"/>
                  </w:tcBorders>
                  <w:vAlign w:val="top"/>
                </w:tcPr>
                <w:p w14:paraId="0B6D1E85">
                  <w:pPr>
                    <w:rPr>
                      <w:rFonts w:ascii="Arial"/>
                      <w:sz w:val="21"/>
                    </w:rPr>
                  </w:pPr>
                </w:p>
              </w:tc>
            </w:tr>
            <w:tr w14:paraId="5B8A68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6" w:hRule="atLeast"/>
              </w:trPr>
              <w:tc>
                <w:tcPr>
                  <w:tcW w:w="882" w:type="dxa"/>
                  <w:vMerge w:val="continue"/>
                  <w:tcBorders>
                    <w:top w:val="nil"/>
                    <w:left w:val="nil"/>
                    <w:bottom w:val="nil"/>
                  </w:tcBorders>
                  <w:vAlign w:val="top"/>
                </w:tcPr>
                <w:p w14:paraId="75C704D9">
                  <w:pPr>
                    <w:rPr>
                      <w:rFonts w:ascii="Arial"/>
                      <w:sz w:val="21"/>
                    </w:rPr>
                  </w:pPr>
                </w:p>
              </w:tc>
              <w:tc>
                <w:tcPr>
                  <w:tcW w:w="1382" w:type="dxa"/>
                  <w:vMerge w:val="continue"/>
                  <w:tcBorders>
                    <w:top w:val="nil"/>
                  </w:tcBorders>
                  <w:vAlign w:val="top"/>
                </w:tcPr>
                <w:p w14:paraId="06F7F7FA">
                  <w:pPr>
                    <w:rPr>
                      <w:rFonts w:ascii="Arial"/>
                      <w:sz w:val="21"/>
                    </w:rPr>
                  </w:pPr>
                </w:p>
              </w:tc>
              <w:tc>
                <w:tcPr>
                  <w:tcW w:w="1650" w:type="dxa"/>
                  <w:vAlign w:val="top"/>
                </w:tcPr>
                <w:p w14:paraId="1D82C7BD">
                  <w:pPr>
                    <w:pStyle w:val="6"/>
                    <w:spacing w:before="175" w:line="229" w:lineRule="auto"/>
                    <w:ind w:left="515"/>
                    <w:rPr>
                      <w:sz w:val="20"/>
                      <w:szCs w:val="20"/>
                    </w:rPr>
                  </w:pPr>
                  <w:r>
                    <w:rPr>
                      <w:spacing w:val="7"/>
                      <w:sz w:val="20"/>
                      <w:szCs w:val="20"/>
                    </w:rPr>
                    <w:t>硫酸雾</w:t>
                  </w:r>
                </w:p>
              </w:tc>
              <w:tc>
                <w:tcPr>
                  <w:tcW w:w="1815" w:type="dxa"/>
                  <w:vAlign w:val="top"/>
                </w:tcPr>
                <w:p w14:paraId="53DDF02B">
                  <w:pPr>
                    <w:pStyle w:val="6"/>
                    <w:spacing w:before="41" w:line="228" w:lineRule="auto"/>
                    <w:ind w:left="701" w:right="486" w:hanging="207"/>
                    <w:rPr>
                      <w:sz w:val="20"/>
                      <w:szCs w:val="20"/>
                    </w:rPr>
                  </w:pPr>
                  <w:r>
                    <w:rPr>
                      <w:spacing w:val="7"/>
                      <w:sz w:val="20"/>
                      <w:szCs w:val="20"/>
                    </w:rPr>
                    <w:t>有破损电</w:t>
                  </w:r>
                  <w:r>
                    <w:rPr>
                      <w:sz w:val="20"/>
                      <w:szCs w:val="20"/>
                    </w:rPr>
                    <w:t xml:space="preserve"> </w:t>
                  </w:r>
                  <w:r>
                    <w:rPr>
                      <w:spacing w:val="4"/>
                      <w:sz w:val="20"/>
                      <w:szCs w:val="20"/>
                    </w:rPr>
                    <w:t>池时</w:t>
                  </w:r>
                </w:p>
              </w:tc>
              <w:tc>
                <w:tcPr>
                  <w:tcW w:w="2195" w:type="dxa"/>
                  <w:vMerge w:val="continue"/>
                  <w:tcBorders>
                    <w:top w:val="nil"/>
                    <w:right w:val="nil"/>
                  </w:tcBorders>
                  <w:vAlign w:val="top"/>
                </w:tcPr>
                <w:p w14:paraId="29728E08">
                  <w:pPr>
                    <w:rPr>
                      <w:rFonts w:ascii="Arial"/>
                      <w:sz w:val="21"/>
                    </w:rPr>
                  </w:pPr>
                </w:p>
              </w:tc>
            </w:tr>
            <w:tr w14:paraId="0DE0D4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7" w:hRule="atLeast"/>
              </w:trPr>
              <w:tc>
                <w:tcPr>
                  <w:tcW w:w="882" w:type="dxa"/>
                  <w:vMerge w:val="continue"/>
                  <w:tcBorders>
                    <w:top w:val="nil"/>
                    <w:left w:val="nil"/>
                    <w:bottom w:val="nil"/>
                  </w:tcBorders>
                  <w:vAlign w:val="top"/>
                </w:tcPr>
                <w:p w14:paraId="1733CBED">
                  <w:pPr>
                    <w:rPr>
                      <w:rFonts w:ascii="Arial"/>
                      <w:sz w:val="21"/>
                    </w:rPr>
                  </w:pPr>
                </w:p>
              </w:tc>
              <w:tc>
                <w:tcPr>
                  <w:tcW w:w="1382" w:type="dxa"/>
                  <w:vAlign w:val="top"/>
                </w:tcPr>
                <w:p w14:paraId="33200AC0">
                  <w:pPr>
                    <w:spacing w:line="385" w:lineRule="auto"/>
                    <w:rPr>
                      <w:rFonts w:ascii="Arial"/>
                      <w:sz w:val="21"/>
                    </w:rPr>
                  </w:pPr>
                </w:p>
                <w:p w14:paraId="7AD0C3D6">
                  <w:pPr>
                    <w:pStyle w:val="6"/>
                    <w:spacing w:before="65" w:line="228" w:lineRule="auto"/>
                    <w:ind w:left="489"/>
                    <w:rPr>
                      <w:sz w:val="20"/>
                      <w:szCs w:val="20"/>
                    </w:rPr>
                  </w:pPr>
                  <w:r>
                    <w:rPr>
                      <w:spacing w:val="3"/>
                      <w:sz w:val="20"/>
                      <w:szCs w:val="20"/>
                    </w:rPr>
                    <w:t>厂界</w:t>
                  </w:r>
                </w:p>
              </w:tc>
              <w:tc>
                <w:tcPr>
                  <w:tcW w:w="1650" w:type="dxa"/>
                  <w:vAlign w:val="top"/>
                </w:tcPr>
                <w:p w14:paraId="20B9A032">
                  <w:pPr>
                    <w:spacing w:line="250" w:lineRule="auto"/>
                    <w:rPr>
                      <w:rFonts w:ascii="Arial"/>
                      <w:sz w:val="21"/>
                    </w:rPr>
                  </w:pPr>
                </w:p>
                <w:p w14:paraId="67C38FD5">
                  <w:pPr>
                    <w:pStyle w:val="6"/>
                    <w:spacing w:before="65"/>
                    <w:ind w:left="624" w:right="106" w:hanging="512"/>
                    <w:rPr>
                      <w:sz w:val="20"/>
                      <w:szCs w:val="20"/>
                    </w:rPr>
                  </w:pPr>
                  <w:r>
                    <w:rPr>
                      <w:spacing w:val="3"/>
                      <w:sz w:val="20"/>
                      <w:szCs w:val="20"/>
                    </w:rPr>
                    <w:t xml:space="preserve">颗粒物、非甲烷 </w:t>
                  </w:r>
                  <w:r>
                    <w:rPr>
                      <w:spacing w:val="2"/>
                      <w:sz w:val="20"/>
                      <w:szCs w:val="20"/>
                    </w:rPr>
                    <w:t>总烃</w:t>
                  </w:r>
                </w:p>
              </w:tc>
              <w:tc>
                <w:tcPr>
                  <w:tcW w:w="1815" w:type="dxa"/>
                  <w:vAlign w:val="top"/>
                </w:tcPr>
                <w:p w14:paraId="38BD49BB">
                  <w:pPr>
                    <w:spacing w:line="350" w:lineRule="auto"/>
                    <w:rPr>
                      <w:rFonts w:ascii="Arial"/>
                      <w:sz w:val="21"/>
                    </w:rPr>
                  </w:pPr>
                </w:p>
                <w:p w14:paraId="5A868259">
                  <w:pPr>
                    <w:pStyle w:val="6"/>
                    <w:spacing w:before="65" w:line="280" w:lineRule="exact"/>
                    <w:ind w:left="592"/>
                    <w:rPr>
                      <w:sz w:val="20"/>
                      <w:szCs w:val="20"/>
                    </w:rPr>
                  </w:pPr>
                  <w:r>
                    <w:rPr>
                      <w:rFonts w:ascii="Calibri" w:hAnsi="Calibri" w:eastAsia="Calibri" w:cs="Calibri"/>
                      <w:spacing w:val="-1"/>
                      <w:position w:val="2"/>
                      <w:sz w:val="20"/>
                      <w:szCs w:val="20"/>
                    </w:rPr>
                    <w:t>1</w:t>
                  </w:r>
                  <w:r>
                    <w:rPr>
                      <w:rFonts w:ascii="Calibri" w:hAnsi="Calibri" w:eastAsia="Calibri" w:cs="Calibri"/>
                      <w:spacing w:val="21"/>
                      <w:w w:val="101"/>
                      <w:position w:val="2"/>
                      <w:sz w:val="20"/>
                      <w:szCs w:val="20"/>
                    </w:rPr>
                    <w:t xml:space="preserve"> </w:t>
                  </w:r>
                  <w:r>
                    <w:rPr>
                      <w:spacing w:val="-1"/>
                      <w:position w:val="2"/>
                      <w:sz w:val="20"/>
                      <w:szCs w:val="20"/>
                    </w:rPr>
                    <w:t>次</w:t>
                  </w:r>
                  <w:r>
                    <w:rPr>
                      <w:rFonts w:ascii="Calibri" w:hAnsi="Calibri" w:eastAsia="Calibri" w:cs="Calibri"/>
                      <w:spacing w:val="-1"/>
                      <w:position w:val="2"/>
                      <w:sz w:val="20"/>
                      <w:szCs w:val="20"/>
                    </w:rPr>
                    <w:t>/</w:t>
                  </w:r>
                  <w:r>
                    <w:rPr>
                      <w:spacing w:val="-1"/>
                      <w:position w:val="2"/>
                      <w:sz w:val="20"/>
                      <w:szCs w:val="20"/>
                    </w:rPr>
                    <w:t>年</w:t>
                  </w:r>
                </w:p>
              </w:tc>
              <w:tc>
                <w:tcPr>
                  <w:tcW w:w="2195" w:type="dxa"/>
                  <w:tcBorders>
                    <w:right w:val="nil"/>
                  </w:tcBorders>
                  <w:vAlign w:val="top"/>
                </w:tcPr>
                <w:p w14:paraId="7D30D747">
                  <w:pPr>
                    <w:pStyle w:val="6"/>
                    <w:spacing w:before="44" w:line="244" w:lineRule="auto"/>
                    <w:ind w:left="132" w:right="109" w:firstLine="32"/>
                    <w:jc w:val="both"/>
                    <w:rPr>
                      <w:sz w:val="20"/>
                      <w:szCs w:val="20"/>
                    </w:rPr>
                  </w:pPr>
                  <w:r>
                    <w:rPr>
                      <w:spacing w:val="8"/>
                      <w:sz w:val="20"/>
                      <w:szCs w:val="20"/>
                    </w:rPr>
                    <w:t>《大气污染物综合排</w:t>
                  </w:r>
                  <w:r>
                    <w:rPr>
                      <w:spacing w:val="2"/>
                      <w:sz w:val="20"/>
                      <w:szCs w:val="20"/>
                    </w:rPr>
                    <w:t xml:space="preserve"> </w:t>
                  </w:r>
                  <w:r>
                    <w:rPr>
                      <w:spacing w:val="13"/>
                      <w:sz w:val="20"/>
                      <w:szCs w:val="20"/>
                    </w:rPr>
                    <w:t>放标准》（</w:t>
                  </w:r>
                  <w:r>
                    <w:rPr>
                      <w:rFonts w:ascii="Calibri" w:hAnsi="Calibri" w:eastAsia="Calibri" w:cs="Calibri"/>
                      <w:sz w:val="20"/>
                      <w:szCs w:val="20"/>
                    </w:rPr>
                    <w:t>GB</w:t>
                  </w:r>
                  <w:r>
                    <w:rPr>
                      <w:rFonts w:ascii="Calibri" w:hAnsi="Calibri" w:eastAsia="Calibri" w:cs="Calibri"/>
                      <w:spacing w:val="13"/>
                      <w:sz w:val="20"/>
                      <w:szCs w:val="20"/>
                    </w:rPr>
                    <w:t>16297</w:t>
                  </w:r>
                  <w:r>
                    <w:rPr>
                      <w:rFonts w:ascii="Calibri" w:hAnsi="Calibri" w:eastAsia="Calibri" w:cs="Calibri"/>
                      <w:sz w:val="20"/>
                      <w:szCs w:val="20"/>
                    </w:rPr>
                    <w:t xml:space="preserve">   </w:t>
                  </w:r>
                  <w:r>
                    <w:rPr>
                      <w:spacing w:val="10"/>
                      <w:sz w:val="20"/>
                      <w:szCs w:val="20"/>
                    </w:rPr>
                    <w:t>-</w:t>
                  </w:r>
                  <w:r>
                    <w:rPr>
                      <w:rFonts w:ascii="Calibri" w:hAnsi="Calibri" w:eastAsia="Calibri" w:cs="Calibri"/>
                      <w:spacing w:val="10"/>
                      <w:sz w:val="20"/>
                      <w:szCs w:val="20"/>
                    </w:rPr>
                    <w:t>1996</w:t>
                  </w:r>
                  <w:r>
                    <w:rPr>
                      <w:spacing w:val="10"/>
                      <w:sz w:val="20"/>
                      <w:szCs w:val="20"/>
                    </w:rPr>
                    <w:t xml:space="preserve">）表 </w:t>
                  </w:r>
                  <w:r>
                    <w:rPr>
                      <w:rFonts w:ascii="Calibri" w:hAnsi="Calibri" w:eastAsia="Calibri" w:cs="Calibri"/>
                      <w:spacing w:val="10"/>
                      <w:sz w:val="20"/>
                      <w:szCs w:val="20"/>
                    </w:rPr>
                    <w:t>2</w:t>
                  </w:r>
                  <w:r>
                    <w:rPr>
                      <w:rFonts w:ascii="Calibri" w:hAnsi="Calibri" w:eastAsia="Calibri" w:cs="Calibri"/>
                      <w:spacing w:val="16"/>
                      <w:sz w:val="20"/>
                      <w:szCs w:val="20"/>
                    </w:rPr>
                    <w:t xml:space="preserve">  </w:t>
                  </w:r>
                  <w:r>
                    <w:rPr>
                      <w:spacing w:val="10"/>
                      <w:sz w:val="20"/>
                      <w:szCs w:val="20"/>
                    </w:rPr>
                    <w:t>二级排</w:t>
                  </w:r>
                </w:p>
                <w:p w14:paraId="0CC5CC70">
                  <w:pPr>
                    <w:pStyle w:val="6"/>
                    <w:spacing w:before="22" w:line="200" w:lineRule="auto"/>
                    <w:ind w:left="579"/>
                    <w:rPr>
                      <w:sz w:val="20"/>
                      <w:szCs w:val="20"/>
                    </w:rPr>
                  </w:pPr>
                  <w:r>
                    <w:rPr>
                      <w:spacing w:val="8"/>
                      <w:sz w:val="20"/>
                      <w:szCs w:val="20"/>
                    </w:rPr>
                    <w:t>放浓度限值</w:t>
                  </w:r>
                </w:p>
              </w:tc>
            </w:tr>
            <w:tr w14:paraId="51778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5" w:hRule="atLeast"/>
              </w:trPr>
              <w:tc>
                <w:tcPr>
                  <w:tcW w:w="882" w:type="dxa"/>
                  <w:vMerge w:val="continue"/>
                  <w:tcBorders>
                    <w:top w:val="nil"/>
                    <w:left w:val="nil"/>
                    <w:bottom w:val="single" w:color="000000" w:sz="10" w:space="0"/>
                  </w:tcBorders>
                  <w:vAlign w:val="top"/>
                </w:tcPr>
                <w:p w14:paraId="4429D29E">
                  <w:pPr>
                    <w:rPr>
                      <w:rFonts w:ascii="Arial"/>
                      <w:sz w:val="21"/>
                    </w:rPr>
                  </w:pPr>
                </w:p>
              </w:tc>
              <w:tc>
                <w:tcPr>
                  <w:tcW w:w="1382" w:type="dxa"/>
                  <w:tcBorders>
                    <w:bottom w:val="single" w:color="000000" w:sz="10" w:space="0"/>
                  </w:tcBorders>
                  <w:vAlign w:val="top"/>
                </w:tcPr>
                <w:p w14:paraId="7BD55570">
                  <w:pPr>
                    <w:pStyle w:val="6"/>
                    <w:spacing w:before="182" w:line="239" w:lineRule="auto"/>
                    <w:ind w:left="382" w:right="165" w:hanging="212"/>
                    <w:rPr>
                      <w:sz w:val="20"/>
                      <w:szCs w:val="20"/>
                    </w:rPr>
                  </w:pPr>
                  <w:r>
                    <w:rPr>
                      <w:spacing w:val="8"/>
                      <w:sz w:val="20"/>
                      <w:szCs w:val="20"/>
                    </w:rPr>
                    <w:t>拆解车间外</w:t>
                  </w:r>
                  <w:r>
                    <w:rPr>
                      <w:sz w:val="20"/>
                      <w:szCs w:val="20"/>
                    </w:rPr>
                    <w:t xml:space="preserve"> </w:t>
                  </w:r>
                  <w:r>
                    <w:rPr>
                      <w:spacing w:val="6"/>
                      <w:sz w:val="20"/>
                      <w:szCs w:val="20"/>
                    </w:rPr>
                    <w:t>监控点</w:t>
                  </w:r>
                </w:p>
              </w:tc>
              <w:tc>
                <w:tcPr>
                  <w:tcW w:w="1650" w:type="dxa"/>
                  <w:tcBorders>
                    <w:bottom w:val="single" w:color="000000" w:sz="10" w:space="0"/>
                  </w:tcBorders>
                  <w:vAlign w:val="top"/>
                </w:tcPr>
                <w:p w14:paraId="28B5E7D0">
                  <w:pPr>
                    <w:spacing w:line="249" w:lineRule="auto"/>
                    <w:rPr>
                      <w:rFonts w:ascii="Arial"/>
                      <w:sz w:val="21"/>
                    </w:rPr>
                  </w:pPr>
                </w:p>
                <w:p w14:paraId="4462B33F">
                  <w:pPr>
                    <w:pStyle w:val="6"/>
                    <w:spacing w:before="65" w:line="228" w:lineRule="auto"/>
                    <w:ind w:left="308"/>
                    <w:rPr>
                      <w:sz w:val="20"/>
                      <w:szCs w:val="20"/>
                    </w:rPr>
                  </w:pPr>
                  <w:r>
                    <w:rPr>
                      <w:spacing w:val="7"/>
                      <w:sz w:val="20"/>
                      <w:szCs w:val="20"/>
                    </w:rPr>
                    <w:t>非甲烷总烃</w:t>
                  </w:r>
                </w:p>
              </w:tc>
              <w:tc>
                <w:tcPr>
                  <w:tcW w:w="1815" w:type="dxa"/>
                  <w:tcBorders>
                    <w:bottom w:val="single" w:color="000000" w:sz="10" w:space="0"/>
                  </w:tcBorders>
                  <w:vAlign w:val="top"/>
                </w:tcPr>
                <w:p w14:paraId="02F9E26A">
                  <w:pPr>
                    <w:pStyle w:val="6"/>
                    <w:spacing w:before="283" w:line="280" w:lineRule="exact"/>
                    <w:ind w:left="592"/>
                    <w:rPr>
                      <w:sz w:val="20"/>
                      <w:szCs w:val="20"/>
                    </w:rPr>
                  </w:pPr>
                  <w:r>
                    <w:rPr>
                      <w:rFonts w:ascii="Calibri" w:hAnsi="Calibri" w:eastAsia="Calibri" w:cs="Calibri"/>
                      <w:spacing w:val="-1"/>
                      <w:position w:val="2"/>
                      <w:sz w:val="20"/>
                      <w:szCs w:val="20"/>
                    </w:rPr>
                    <w:t>1</w:t>
                  </w:r>
                  <w:r>
                    <w:rPr>
                      <w:rFonts w:ascii="Calibri" w:hAnsi="Calibri" w:eastAsia="Calibri" w:cs="Calibri"/>
                      <w:spacing w:val="21"/>
                      <w:w w:val="101"/>
                      <w:position w:val="2"/>
                      <w:sz w:val="20"/>
                      <w:szCs w:val="20"/>
                    </w:rPr>
                    <w:t xml:space="preserve"> </w:t>
                  </w:r>
                  <w:r>
                    <w:rPr>
                      <w:spacing w:val="-1"/>
                      <w:position w:val="2"/>
                      <w:sz w:val="20"/>
                      <w:szCs w:val="20"/>
                    </w:rPr>
                    <w:t>次</w:t>
                  </w:r>
                  <w:r>
                    <w:rPr>
                      <w:rFonts w:ascii="Calibri" w:hAnsi="Calibri" w:eastAsia="Calibri" w:cs="Calibri"/>
                      <w:spacing w:val="-1"/>
                      <w:position w:val="2"/>
                      <w:sz w:val="20"/>
                      <w:szCs w:val="20"/>
                    </w:rPr>
                    <w:t>/</w:t>
                  </w:r>
                  <w:r>
                    <w:rPr>
                      <w:spacing w:val="-1"/>
                      <w:position w:val="2"/>
                      <w:sz w:val="20"/>
                      <w:szCs w:val="20"/>
                    </w:rPr>
                    <w:t>年</w:t>
                  </w:r>
                </w:p>
              </w:tc>
              <w:tc>
                <w:tcPr>
                  <w:tcW w:w="2195" w:type="dxa"/>
                  <w:tcBorders>
                    <w:bottom w:val="single" w:color="000000" w:sz="10" w:space="0"/>
                    <w:right w:val="nil"/>
                  </w:tcBorders>
                  <w:vAlign w:val="top"/>
                </w:tcPr>
                <w:p w14:paraId="47D2640B">
                  <w:pPr>
                    <w:pStyle w:val="6"/>
                    <w:spacing w:before="51" w:line="227" w:lineRule="auto"/>
                    <w:ind w:left="164"/>
                    <w:rPr>
                      <w:sz w:val="20"/>
                      <w:szCs w:val="20"/>
                    </w:rPr>
                  </w:pPr>
                  <w:r>
                    <w:rPr>
                      <w:spacing w:val="8"/>
                      <w:sz w:val="20"/>
                      <w:szCs w:val="20"/>
                    </w:rPr>
                    <w:t>《挥发性有机物无组</w:t>
                  </w:r>
                </w:p>
                <w:p w14:paraId="612EE865">
                  <w:pPr>
                    <w:pStyle w:val="6"/>
                    <w:spacing w:before="27" w:line="233" w:lineRule="auto"/>
                    <w:ind w:left="411" w:right="272" w:hanging="146"/>
                    <w:rPr>
                      <w:rFonts w:ascii="Calibri" w:hAnsi="Calibri" w:eastAsia="Calibri" w:cs="Calibri"/>
                      <w:sz w:val="20"/>
                      <w:szCs w:val="20"/>
                    </w:rPr>
                  </w:pPr>
                  <w:r>
                    <w:rPr>
                      <w:spacing w:val="6"/>
                      <w:sz w:val="20"/>
                      <w:szCs w:val="20"/>
                    </w:rPr>
                    <w:t>织排放控制标准》</w:t>
                  </w:r>
                  <w:r>
                    <w:rPr>
                      <w:spacing w:val="4"/>
                      <w:sz w:val="20"/>
                      <w:szCs w:val="20"/>
                    </w:rPr>
                    <w:t xml:space="preserve"> </w:t>
                  </w:r>
                  <w:r>
                    <w:rPr>
                      <w:rFonts w:ascii="Calibri" w:hAnsi="Calibri" w:eastAsia="Calibri" w:cs="Calibri"/>
                      <w:spacing w:val="4"/>
                      <w:sz w:val="20"/>
                      <w:szCs w:val="20"/>
                    </w:rPr>
                    <w:t>(</w:t>
                  </w:r>
                  <w:r>
                    <w:rPr>
                      <w:rFonts w:ascii="Calibri" w:hAnsi="Calibri" w:eastAsia="Calibri" w:cs="Calibri"/>
                      <w:sz w:val="20"/>
                      <w:szCs w:val="20"/>
                    </w:rPr>
                    <w:t>GB</w:t>
                  </w:r>
                  <w:r>
                    <w:rPr>
                      <w:rFonts w:ascii="Calibri" w:hAnsi="Calibri" w:eastAsia="Calibri" w:cs="Calibri"/>
                      <w:spacing w:val="4"/>
                      <w:sz w:val="20"/>
                      <w:szCs w:val="20"/>
                    </w:rPr>
                    <w:t>37822-2019)</w:t>
                  </w:r>
                </w:p>
              </w:tc>
            </w:tr>
          </w:tbl>
          <w:p w14:paraId="621EEC54">
            <w:pPr>
              <w:pStyle w:val="6"/>
              <w:spacing w:before="114" w:line="330" w:lineRule="auto"/>
              <w:ind w:left="244" w:right="214" w:firstLine="461"/>
            </w:pPr>
            <w:r>
              <w:rPr>
                <w:spacing w:val="1"/>
              </w:rPr>
              <w:t>若企业不具备监测条件进行上述污染源及环境质量监测，可委托有资质</w:t>
            </w:r>
            <w:r>
              <w:rPr>
                <w:spacing w:val="17"/>
              </w:rPr>
              <w:t xml:space="preserve"> </w:t>
            </w:r>
            <w:r>
              <w:rPr>
                <w:spacing w:val="-3"/>
              </w:rPr>
              <w:t>的环境监测单位进行监测。</w:t>
            </w:r>
          </w:p>
          <w:p w14:paraId="18058B76">
            <w:pPr>
              <w:pStyle w:val="6"/>
              <w:spacing w:before="1" w:line="220" w:lineRule="auto"/>
              <w:ind w:left="596"/>
            </w:pPr>
            <w:r>
              <w:rPr>
                <w:spacing w:val="-5"/>
              </w:rPr>
              <w:t>（</w:t>
            </w:r>
            <w:r>
              <w:rPr>
                <w:rFonts w:ascii="Calibri" w:hAnsi="Calibri" w:eastAsia="Calibri" w:cs="Calibri"/>
                <w:spacing w:val="-5"/>
              </w:rPr>
              <w:t>6</w:t>
            </w:r>
            <w:r>
              <w:rPr>
                <w:spacing w:val="-5"/>
              </w:rPr>
              <w:t>）结论</w:t>
            </w:r>
          </w:p>
          <w:p w14:paraId="5D4FBA42">
            <w:pPr>
              <w:pStyle w:val="6"/>
              <w:spacing w:before="183" w:line="348" w:lineRule="auto"/>
              <w:ind w:left="105" w:right="94" w:firstLine="481"/>
              <w:jc w:val="both"/>
            </w:pPr>
            <w:r>
              <w:rPr>
                <w:spacing w:val="-6"/>
              </w:rPr>
              <w:t>综上，本项目采取措施可行，采取措施后，颗粒物、非甲烷总烃均满足《大</w:t>
            </w:r>
            <w:r>
              <w:rPr>
                <w:spacing w:val="2"/>
              </w:rPr>
              <w:t xml:space="preserve"> </w:t>
            </w:r>
            <w:r>
              <w:rPr>
                <w:spacing w:val="-3"/>
              </w:rPr>
              <w:t>气污染物综合排放标准》</w:t>
            </w:r>
            <w:r>
              <w:rPr>
                <w:rFonts w:ascii="Calibri" w:hAnsi="Calibri" w:eastAsia="Calibri" w:cs="Calibri"/>
                <w:spacing w:val="-3"/>
              </w:rPr>
              <w:t>(GB16297-1996)</w:t>
            </w:r>
            <w:r>
              <w:rPr>
                <w:spacing w:val="-3"/>
              </w:rPr>
              <w:t>表</w:t>
            </w:r>
            <w:r>
              <w:rPr>
                <w:spacing w:val="-47"/>
              </w:rPr>
              <w:t xml:space="preserve"> </w:t>
            </w:r>
            <w:r>
              <w:rPr>
                <w:rFonts w:ascii="Calibri" w:hAnsi="Calibri" w:eastAsia="Calibri" w:cs="Calibri"/>
                <w:spacing w:val="-3"/>
              </w:rPr>
              <w:t>2</w:t>
            </w:r>
            <w:r>
              <w:rPr>
                <w:rFonts w:ascii="Calibri" w:hAnsi="Calibri" w:eastAsia="Calibri" w:cs="Calibri"/>
                <w:spacing w:val="17"/>
                <w:w w:val="101"/>
              </w:rPr>
              <w:t xml:space="preserve"> </w:t>
            </w:r>
            <w:r>
              <w:rPr>
                <w:spacing w:val="-3"/>
              </w:rPr>
              <w:t>新污染源大</w:t>
            </w:r>
            <w:r>
              <w:rPr>
                <w:spacing w:val="-4"/>
              </w:rPr>
              <w:t>气污染物排放限值中无</w:t>
            </w:r>
            <w:r>
              <w:t xml:space="preserve"> </w:t>
            </w:r>
            <w:r>
              <w:rPr>
                <w:spacing w:val="1"/>
              </w:rPr>
              <w:t>组织排放监控浓度限值要求；厂房外非甲烷总烃满足《挥发性有机物无组织排</w:t>
            </w:r>
          </w:p>
        </w:tc>
      </w:tr>
    </w:tbl>
    <w:p w14:paraId="75886E32">
      <w:pPr>
        <w:pStyle w:val="2"/>
      </w:pPr>
    </w:p>
    <w:p w14:paraId="58B03C0F">
      <w:pPr>
        <w:sectPr>
          <w:footerReference r:id="rId73" w:type="default"/>
          <w:pgSz w:w="11906" w:h="16839"/>
          <w:pgMar w:top="1270" w:right="1489" w:bottom="1263" w:left="1488" w:header="0" w:footer="1097" w:gutter="0"/>
          <w:cols w:space="720" w:num="1"/>
        </w:sectPr>
      </w:pPr>
    </w:p>
    <w:tbl>
      <w:tblPr>
        <w:tblStyle w:val="5"/>
        <w:tblW w:w="890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804"/>
        <w:gridCol w:w="894"/>
        <w:gridCol w:w="707"/>
        <w:gridCol w:w="911"/>
        <w:gridCol w:w="852"/>
        <w:gridCol w:w="773"/>
        <w:gridCol w:w="699"/>
        <w:gridCol w:w="847"/>
        <w:gridCol w:w="980"/>
        <w:gridCol w:w="958"/>
      </w:tblGrid>
      <w:tr w14:paraId="269CD3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321" w:hRule="atLeast"/>
        </w:trPr>
        <w:tc>
          <w:tcPr>
            <w:tcW w:w="477" w:type="dxa"/>
            <w:vMerge w:val="restart"/>
            <w:tcBorders>
              <w:top w:val="single" w:color="000000" w:sz="10" w:space="0"/>
              <w:left w:val="single" w:color="000000" w:sz="10" w:space="0"/>
              <w:bottom w:val="nil"/>
            </w:tcBorders>
            <w:vAlign w:val="top"/>
          </w:tcPr>
          <w:p w14:paraId="19E5451A">
            <w:pPr>
              <w:rPr>
                <w:rFonts w:ascii="Arial"/>
                <w:sz w:val="21"/>
              </w:rPr>
            </w:pPr>
            <w:r>
              <w:pict>
                <v:shape id="_x0000_s1036" o:spid="_x0000_s1036" style="position:absolute;left:0pt;margin-left:106.3pt;margin-top:762.15pt;height:1.45pt;width:405.8pt;mso-position-horizontal-relative:page;mso-position-vertical-relative:page;z-index:251672576;mso-width-relative:page;mso-height-relative:page;" filled="f" stroked="t" coordsize="8115,29" o:allowincell="f" path="m0,14l8115,14e">
                  <v:fill on="f" focussize="0,0"/>
                  <v:stroke weight="1.44pt" color="#000000" miterlimit="2" joinstyle="bevel"/>
                  <v:imagedata o:title=""/>
                  <o:lock v:ext="edit"/>
                </v:shape>
              </w:pict>
            </w:r>
          </w:p>
        </w:tc>
        <w:tc>
          <w:tcPr>
            <w:tcW w:w="8425" w:type="dxa"/>
            <w:gridSpan w:val="10"/>
            <w:tcBorders>
              <w:top w:val="single" w:color="000000" w:sz="10" w:space="0"/>
              <w:bottom w:val="single" w:color="000000" w:sz="10" w:space="0"/>
              <w:right w:val="single" w:color="000000" w:sz="10" w:space="0"/>
            </w:tcBorders>
            <w:vAlign w:val="top"/>
          </w:tcPr>
          <w:p w14:paraId="6FEE130C">
            <w:pPr>
              <w:pStyle w:val="6"/>
              <w:spacing w:before="21" w:line="345" w:lineRule="auto"/>
              <w:ind w:left="106" w:right="99" w:hanging="2"/>
            </w:pPr>
            <w:r>
              <w:rPr>
                <w:spacing w:val="-1"/>
              </w:rPr>
              <w:t>放控制标准》（</w:t>
            </w:r>
            <w:r>
              <w:rPr>
                <w:rFonts w:ascii="Calibri" w:hAnsi="Calibri" w:eastAsia="Calibri" w:cs="Calibri"/>
                <w:spacing w:val="-1"/>
              </w:rPr>
              <w:t>GB37822-2019</w:t>
            </w:r>
            <w:r>
              <w:rPr>
                <w:spacing w:val="-1"/>
              </w:rPr>
              <w:t>）附录</w:t>
            </w:r>
            <w:r>
              <w:rPr>
                <w:spacing w:val="-36"/>
              </w:rPr>
              <w:t xml:space="preserve"> </w:t>
            </w:r>
            <w:r>
              <w:rPr>
                <w:rFonts w:ascii="Calibri" w:hAnsi="Calibri" w:eastAsia="Calibri" w:cs="Calibri"/>
                <w:spacing w:val="-1"/>
              </w:rPr>
              <w:t>A</w:t>
            </w:r>
            <w:r>
              <w:rPr>
                <w:rFonts w:ascii="Calibri" w:hAnsi="Calibri" w:eastAsia="Calibri" w:cs="Calibri"/>
                <w:spacing w:val="41"/>
              </w:rPr>
              <w:t xml:space="preserve"> </w:t>
            </w:r>
            <w:r>
              <w:rPr>
                <w:spacing w:val="-1"/>
              </w:rPr>
              <w:t>中表</w:t>
            </w:r>
            <w:r>
              <w:rPr>
                <w:spacing w:val="-54"/>
              </w:rPr>
              <w:t xml:space="preserve"> </w:t>
            </w:r>
            <w:r>
              <w:rPr>
                <w:rFonts w:ascii="Calibri" w:hAnsi="Calibri" w:eastAsia="Calibri" w:cs="Calibri"/>
                <w:spacing w:val="-1"/>
              </w:rPr>
              <w:t>A.1</w:t>
            </w:r>
            <w:r>
              <w:rPr>
                <w:rFonts w:ascii="Calibri" w:hAnsi="Calibri" w:eastAsia="Calibri" w:cs="Calibri"/>
                <w:spacing w:val="36"/>
              </w:rPr>
              <w:t xml:space="preserve"> </w:t>
            </w:r>
            <w:r>
              <w:rPr>
                <w:spacing w:val="-1"/>
              </w:rPr>
              <w:t>限值要求，项目建成后对周围</w:t>
            </w:r>
            <w:r>
              <w:t xml:space="preserve"> </w:t>
            </w:r>
            <w:r>
              <w:rPr>
                <w:spacing w:val="-2"/>
              </w:rPr>
              <w:t>大气环境影响较小。</w:t>
            </w:r>
          </w:p>
          <w:p w14:paraId="14565A34">
            <w:pPr>
              <w:pStyle w:val="6"/>
              <w:spacing w:before="34" w:line="219" w:lineRule="auto"/>
              <w:ind w:left="585"/>
            </w:pPr>
            <w:r>
              <w:rPr>
                <w:rFonts w:ascii="Calibri" w:hAnsi="Calibri" w:eastAsia="Calibri" w:cs="Calibri"/>
                <w:b/>
                <w:bCs/>
                <w:spacing w:val="-11"/>
              </w:rPr>
              <w:t>2</w:t>
            </w:r>
            <w:r>
              <w:rPr>
                <w:rFonts w:ascii="Calibri" w:hAnsi="Calibri" w:eastAsia="Calibri" w:cs="Calibri"/>
                <w:b/>
                <w:bCs/>
                <w:spacing w:val="-29"/>
              </w:rPr>
              <w:t xml:space="preserve"> </w:t>
            </w:r>
            <w:r>
              <w:rPr>
                <w:b/>
                <w:bCs/>
                <w:spacing w:val="-11"/>
              </w:rPr>
              <w:t>、废水</w:t>
            </w:r>
          </w:p>
          <w:p w14:paraId="4743E397">
            <w:pPr>
              <w:pStyle w:val="6"/>
              <w:spacing w:before="142" w:line="333" w:lineRule="auto"/>
              <w:ind w:left="105" w:right="155" w:firstLine="480"/>
            </w:pPr>
            <w:r>
              <w:rPr>
                <w:spacing w:val="1"/>
              </w:rPr>
              <w:t>本项目生活污水按生活用水量的</w:t>
            </w:r>
            <w:r>
              <w:rPr>
                <w:rFonts w:ascii="Calibri" w:hAnsi="Calibri" w:eastAsia="Calibri" w:cs="Calibri"/>
                <w:spacing w:val="1"/>
              </w:rPr>
              <w:t>80%</w:t>
            </w:r>
            <w:r>
              <w:rPr>
                <w:spacing w:val="1"/>
              </w:rPr>
              <w:t>计，则生活污水排放量为</w:t>
            </w:r>
            <w:r>
              <w:rPr>
                <w:spacing w:val="-52"/>
              </w:rPr>
              <w:t xml:space="preserve"> </w:t>
            </w:r>
            <w:r>
              <w:rPr>
                <w:rFonts w:ascii="Calibri" w:hAnsi="Calibri" w:eastAsia="Calibri" w:cs="Calibri"/>
                <w:spacing w:val="1"/>
              </w:rPr>
              <w:t>0.32</w:t>
            </w:r>
            <w:r>
              <w:rPr>
                <w:rFonts w:ascii="Calibri" w:hAnsi="Calibri" w:eastAsia="Calibri" w:cs="Calibri"/>
              </w:rPr>
              <w:t>m</w:t>
            </w:r>
            <w:r>
              <w:rPr>
                <w:rFonts w:ascii="Calibri" w:hAnsi="Calibri" w:eastAsia="Calibri" w:cs="Calibri"/>
                <w:position w:val="8"/>
                <w:sz w:val="15"/>
                <w:szCs w:val="15"/>
              </w:rPr>
              <w:t>3</w:t>
            </w:r>
            <w:r>
              <w:rPr>
                <w:rFonts w:ascii="Calibri" w:hAnsi="Calibri" w:eastAsia="Calibri" w:cs="Calibri"/>
              </w:rPr>
              <w:t>/d</w:t>
            </w:r>
            <w:r>
              <w:t xml:space="preserve">， </w:t>
            </w:r>
            <w:r>
              <w:rPr>
                <w:rFonts w:ascii="Calibri" w:hAnsi="Calibri" w:eastAsia="Calibri" w:cs="Calibri"/>
                <w:spacing w:val="-2"/>
              </w:rPr>
              <w:t>96t/a</w:t>
            </w:r>
            <w:r>
              <w:rPr>
                <w:rFonts w:ascii="Calibri" w:hAnsi="Calibri" w:eastAsia="Calibri" w:cs="Calibri"/>
                <w:spacing w:val="-21"/>
              </w:rPr>
              <w:t xml:space="preserve"> </w:t>
            </w:r>
            <w:r>
              <w:rPr>
                <w:spacing w:val="-2"/>
              </w:rPr>
              <w:t>。设防渗旱厕供员工使用，定期清掏作农肥。</w:t>
            </w:r>
          </w:p>
          <w:p w14:paraId="332F4362">
            <w:pPr>
              <w:pStyle w:val="6"/>
              <w:spacing w:before="107" w:line="347" w:lineRule="auto"/>
              <w:ind w:left="103" w:right="94" w:firstLine="481"/>
            </w:pPr>
            <w:r>
              <w:rPr>
                <w:spacing w:val="1"/>
              </w:rPr>
              <w:t>本项目运行期无生产废水产生，本项目车辆不在厂区内清洗，无地面清洗</w:t>
            </w:r>
            <w:r>
              <w:rPr>
                <w:spacing w:val="16"/>
              </w:rPr>
              <w:t xml:space="preserve"> </w:t>
            </w:r>
            <w:r>
              <w:rPr>
                <w:spacing w:val="-3"/>
              </w:rPr>
              <w:t>废水。</w:t>
            </w:r>
          </w:p>
          <w:p w14:paraId="0B26A67B">
            <w:pPr>
              <w:pStyle w:val="6"/>
              <w:spacing w:before="32" w:line="347" w:lineRule="auto"/>
              <w:ind w:left="110" w:right="94" w:firstLine="475"/>
            </w:pPr>
            <w:r>
              <w:rPr>
                <w:spacing w:val="1"/>
              </w:rPr>
              <w:t>本项目厂区均为室内，雨水自然坡降进入厂区雨水收集池，经现有雨排系</w:t>
            </w:r>
            <w:r>
              <w:rPr>
                <w:spacing w:val="16"/>
              </w:rPr>
              <w:t xml:space="preserve"> </w:t>
            </w:r>
            <w:r>
              <w:rPr>
                <w:spacing w:val="-3"/>
              </w:rPr>
              <w:t>统排出厂区外。</w:t>
            </w:r>
          </w:p>
          <w:p w14:paraId="095C1E5A">
            <w:pPr>
              <w:pStyle w:val="6"/>
              <w:spacing w:before="31" w:line="219" w:lineRule="auto"/>
              <w:ind w:left="587"/>
              <w:outlineLvl w:val="2"/>
            </w:pPr>
            <w:r>
              <w:rPr>
                <w:spacing w:val="-1"/>
              </w:rPr>
              <w:t>综上，本项目对地表水环境影响可接受。</w:t>
            </w:r>
          </w:p>
          <w:p w14:paraId="14FCA9D0">
            <w:pPr>
              <w:pStyle w:val="6"/>
              <w:spacing w:before="183" w:line="220" w:lineRule="auto"/>
              <w:ind w:left="585"/>
            </w:pPr>
            <w:r>
              <w:rPr>
                <w:rFonts w:ascii="Calibri" w:hAnsi="Calibri" w:eastAsia="Calibri" w:cs="Calibri"/>
                <w:b/>
                <w:bCs/>
                <w:spacing w:val="-11"/>
              </w:rPr>
              <w:t>3</w:t>
            </w:r>
            <w:r>
              <w:rPr>
                <w:rFonts w:ascii="Calibri" w:hAnsi="Calibri" w:eastAsia="Calibri" w:cs="Calibri"/>
                <w:b/>
                <w:bCs/>
                <w:spacing w:val="-29"/>
              </w:rPr>
              <w:t xml:space="preserve"> </w:t>
            </w:r>
            <w:r>
              <w:rPr>
                <w:b/>
                <w:bCs/>
                <w:spacing w:val="-11"/>
              </w:rPr>
              <w:t>、噪声</w:t>
            </w:r>
          </w:p>
          <w:p w14:paraId="5A6C6B01">
            <w:pPr>
              <w:pStyle w:val="6"/>
              <w:spacing w:before="180" w:line="220" w:lineRule="auto"/>
              <w:ind w:left="596"/>
            </w:pPr>
            <w:r>
              <w:rPr>
                <w:spacing w:val="-3"/>
              </w:rPr>
              <w:t>（1）噪声影响分析</w:t>
            </w:r>
          </w:p>
          <w:p w14:paraId="23C88636">
            <w:pPr>
              <w:pStyle w:val="6"/>
              <w:spacing w:before="183" w:line="351" w:lineRule="auto"/>
              <w:ind w:left="101" w:right="105" w:firstLine="483"/>
              <w:jc w:val="both"/>
            </w:pPr>
            <w:r>
              <w:t>本项目噪声污染源主要为铲车、叉车、电钻、等离子切割机、</w:t>
            </w:r>
            <w:r>
              <w:rPr>
                <w:sz w:val="20"/>
                <w:szCs w:val="20"/>
              </w:rPr>
              <w:t>轮胎拆</w:t>
            </w:r>
            <w:r>
              <w:rPr>
                <w:spacing w:val="-1"/>
                <w:sz w:val="20"/>
                <w:szCs w:val="20"/>
              </w:rPr>
              <w:t>装机</w:t>
            </w:r>
            <w:r>
              <w:rPr>
                <w:spacing w:val="-1"/>
              </w:rPr>
              <w:t>、</w:t>
            </w:r>
            <w:r>
              <w:t xml:space="preserve"> </w:t>
            </w:r>
            <w:r>
              <w:rPr>
                <w:spacing w:val="7"/>
                <w:sz w:val="20"/>
                <w:szCs w:val="20"/>
              </w:rPr>
              <w:t>报废汽车废油液抽取机</w:t>
            </w:r>
            <w:r>
              <w:rPr>
                <w:spacing w:val="7"/>
              </w:rPr>
              <w:t>、风机等设备产生的噪声，类</w:t>
            </w:r>
            <w:r>
              <w:rPr>
                <w:spacing w:val="6"/>
              </w:rPr>
              <w:t>比其它同类项目声功率</w:t>
            </w:r>
            <w:r>
              <w:rPr>
                <w:spacing w:val="-49"/>
              </w:rPr>
              <w:t xml:space="preserve"> </w:t>
            </w:r>
            <w:r>
              <w:rPr>
                <w:spacing w:val="6"/>
              </w:rPr>
              <w:t>65~</w:t>
            </w:r>
            <w:r>
              <w:t xml:space="preserve"> </w:t>
            </w:r>
            <w:r>
              <w:rPr>
                <w:spacing w:val="-1"/>
              </w:rPr>
              <w:t>90dB(A)。</w:t>
            </w:r>
          </w:p>
          <w:p w14:paraId="2EAB4F98">
            <w:pPr>
              <w:pStyle w:val="6"/>
              <w:spacing w:before="32" w:line="345" w:lineRule="auto"/>
              <w:ind w:left="108" w:right="94" w:firstLine="477"/>
            </w:pPr>
            <w:r>
              <w:rPr>
                <w:spacing w:val="1"/>
              </w:rPr>
              <w:t>本项目噪声污染源通过选用低噪声设备、建筑隔声、减振等措施对噪声进</w:t>
            </w:r>
            <w:r>
              <w:rPr>
                <w:spacing w:val="16"/>
              </w:rPr>
              <w:t xml:space="preserve"> </w:t>
            </w:r>
            <w:r>
              <w:rPr>
                <w:spacing w:val="-4"/>
              </w:rPr>
              <w:t>行控制。</w:t>
            </w:r>
          </w:p>
          <w:p w14:paraId="183AD690">
            <w:pPr>
              <w:pStyle w:val="6"/>
              <w:spacing w:before="113" w:line="212" w:lineRule="auto"/>
              <w:ind w:left="1591"/>
            </w:pPr>
            <w:r>
              <w:rPr>
                <w:b/>
                <w:bCs/>
                <w:spacing w:val="-2"/>
              </w:rPr>
              <w:t>表</w:t>
            </w:r>
            <w:r>
              <w:rPr>
                <w:spacing w:val="-52"/>
              </w:rPr>
              <w:t xml:space="preserve"> </w:t>
            </w:r>
            <w:r>
              <w:rPr>
                <w:b/>
                <w:bCs/>
                <w:spacing w:val="-2"/>
              </w:rPr>
              <w:t>4-6</w:t>
            </w:r>
            <w:r>
              <w:rPr>
                <w:spacing w:val="-2"/>
              </w:rPr>
              <w:t xml:space="preserve">    </w:t>
            </w:r>
            <w:r>
              <w:rPr>
                <w:b/>
                <w:bCs/>
                <w:spacing w:val="-2"/>
              </w:rPr>
              <w:t>噪声污染源源强核算结果及相关参</w:t>
            </w:r>
            <w:r>
              <w:rPr>
                <w:b/>
                <w:bCs/>
                <w:spacing w:val="-3"/>
              </w:rPr>
              <w:t>数表</w:t>
            </w:r>
          </w:p>
        </w:tc>
      </w:tr>
      <w:tr w14:paraId="540E831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5" w:hRule="atLeast"/>
        </w:trPr>
        <w:tc>
          <w:tcPr>
            <w:tcW w:w="477" w:type="dxa"/>
            <w:vMerge w:val="continue"/>
            <w:tcBorders>
              <w:top w:val="nil"/>
              <w:left w:val="single" w:color="000000" w:sz="10" w:space="0"/>
              <w:bottom w:val="nil"/>
            </w:tcBorders>
            <w:vAlign w:val="top"/>
          </w:tcPr>
          <w:p w14:paraId="1810CC2F">
            <w:pPr>
              <w:rPr>
                <w:rFonts w:ascii="Arial"/>
                <w:sz w:val="21"/>
              </w:rPr>
            </w:pPr>
          </w:p>
        </w:tc>
        <w:tc>
          <w:tcPr>
            <w:tcW w:w="804" w:type="dxa"/>
            <w:vMerge w:val="restart"/>
            <w:tcBorders>
              <w:top w:val="single" w:color="000000" w:sz="10" w:space="0"/>
              <w:bottom w:val="nil"/>
            </w:tcBorders>
            <w:vAlign w:val="top"/>
          </w:tcPr>
          <w:p w14:paraId="7FF4214F">
            <w:pPr>
              <w:pStyle w:val="6"/>
              <w:spacing w:before="71" w:line="253" w:lineRule="auto"/>
              <w:ind w:left="266" w:right="122" w:firstLine="2"/>
              <w:jc w:val="both"/>
              <w:rPr>
                <w:sz w:val="20"/>
                <w:szCs w:val="20"/>
              </w:rPr>
            </w:pPr>
            <w:r>
              <w:rPr>
                <w:spacing w:val="3"/>
                <w:sz w:val="20"/>
                <w:szCs w:val="20"/>
              </w:rPr>
              <w:t>工序</w:t>
            </w:r>
            <w:r>
              <w:rPr>
                <w:sz w:val="20"/>
                <w:szCs w:val="20"/>
              </w:rPr>
              <w:t xml:space="preserve"> </w:t>
            </w:r>
            <w:r>
              <w:rPr>
                <w:spacing w:val="29"/>
                <w:sz w:val="20"/>
                <w:szCs w:val="20"/>
              </w:rPr>
              <w:t>/生</w:t>
            </w:r>
            <w:r>
              <w:rPr>
                <w:sz w:val="20"/>
                <w:szCs w:val="20"/>
              </w:rPr>
              <w:t xml:space="preserve"> </w:t>
            </w:r>
            <w:r>
              <w:rPr>
                <w:spacing w:val="4"/>
                <w:sz w:val="20"/>
                <w:szCs w:val="20"/>
              </w:rPr>
              <w:t>产线</w:t>
            </w:r>
          </w:p>
        </w:tc>
        <w:tc>
          <w:tcPr>
            <w:tcW w:w="894" w:type="dxa"/>
            <w:vMerge w:val="restart"/>
            <w:tcBorders>
              <w:top w:val="single" w:color="000000" w:sz="10" w:space="0"/>
              <w:bottom w:val="nil"/>
            </w:tcBorders>
            <w:vAlign w:val="top"/>
          </w:tcPr>
          <w:p w14:paraId="33AA6286">
            <w:pPr>
              <w:spacing w:line="304" w:lineRule="auto"/>
              <w:rPr>
                <w:rFonts w:ascii="Arial"/>
                <w:sz w:val="21"/>
              </w:rPr>
            </w:pPr>
          </w:p>
          <w:p w14:paraId="00522B00">
            <w:pPr>
              <w:pStyle w:val="6"/>
              <w:spacing w:before="65" w:line="228" w:lineRule="auto"/>
              <w:ind w:left="139"/>
              <w:rPr>
                <w:sz w:val="20"/>
                <w:szCs w:val="20"/>
              </w:rPr>
            </w:pPr>
            <w:r>
              <w:rPr>
                <w:spacing w:val="3"/>
                <w:sz w:val="20"/>
                <w:szCs w:val="20"/>
              </w:rPr>
              <w:t>噪声源</w:t>
            </w:r>
          </w:p>
        </w:tc>
        <w:tc>
          <w:tcPr>
            <w:tcW w:w="707" w:type="dxa"/>
            <w:vMerge w:val="restart"/>
            <w:tcBorders>
              <w:top w:val="single" w:color="000000" w:sz="10" w:space="0"/>
              <w:bottom w:val="nil"/>
            </w:tcBorders>
            <w:vAlign w:val="top"/>
          </w:tcPr>
          <w:p w14:paraId="15E2F08D">
            <w:pPr>
              <w:pStyle w:val="6"/>
              <w:spacing w:before="220" w:line="262" w:lineRule="auto"/>
              <w:ind w:left="143" w:right="149" w:firstLine="4"/>
              <w:rPr>
                <w:sz w:val="20"/>
                <w:szCs w:val="20"/>
              </w:rPr>
            </w:pPr>
            <w:r>
              <w:rPr>
                <w:spacing w:val="2"/>
                <w:sz w:val="20"/>
                <w:szCs w:val="20"/>
              </w:rPr>
              <w:t>声源</w:t>
            </w:r>
            <w:r>
              <w:rPr>
                <w:sz w:val="20"/>
                <w:szCs w:val="20"/>
              </w:rPr>
              <w:t xml:space="preserve"> </w:t>
            </w:r>
            <w:r>
              <w:rPr>
                <w:spacing w:val="4"/>
                <w:sz w:val="20"/>
                <w:szCs w:val="20"/>
              </w:rPr>
              <w:t>类型</w:t>
            </w:r>
          </w:p>
        </w:tc>
        <w:tc>
          <w:tcPr>
            <w:tcW w:w="1763" w:type="dxa"/>
            <w:gridSpan w:val="2"/>
            <w:tcBorders>
              <w:top w:val="single" w:color="000000" w:sz="10" w:space="0"/>
            </w:tcBorders>
            <w:vAlign w:val="top"/>
          </w:tcPr>
          <w:p w14:paraId="5E2492EF">
            <w:pPr>
              <w:pStyle w:val="6"/>
              <w:spacing w:before="66" w:line="202" w:lineRule="auto"/>
              <w:ind w:left="475"/>
              <w:rPr>
                <w:sz w:val="20"/>
                <w:szCs w:val="20"/>
              </w:rPr>
            </w:pPr>
            <w:r>
              <w:rPr>
                <w:spacing w:val="4"/>
                <w:sz w:val="20"/>
                <w:szCs w:val="20"/>
              </w:rPr>
              <w:t>噪声声源</w:t>
            </w:r>
          </w:p>
        </w:tc>
        <w:tc>
          <w:tcPr>
            <w:tcW w:w="1472" w:type="dxa"/>
            <w:gridSpan w:val="2"/>
            <w:tcBorders>
              <w:top w:val="single" w:color="000000" w:sz="10" w:space="0"/>
            </w:tcBorders>
            <w:vAlign w:val="top"/>
          </w:tcPr>
          <w:p w14:paraId="34D82F4E">
            <w:pPr>
              <w:pStyle w:val="6"/>
              <w:spacing w:before="66" w:line="202" w:lineRule="auto"/>
              <w:ind w:left="341"/>
              <w:rPr>
                <w:sz w:val="20"/>
                <w:szCs w:val="20"/>
              </w:rPr>
            </w:pPr>
            <w:r>
              <w:rPr>
                <w:spacing w:val="3"/>
                <w:sz w:val="20"/>
                <w:szCs w:val="20"/>
              </w:rPr>
              <w:t>降噪措施</w:t>
            </w:r>
          </w:p>
        </w:tc>
        <w:tc>
          <w:tcPr>
            <w:tcW w:w="1827" w:type="dxa"/>
            <w:gridSpan w:val="2"/>
            <w:tcBorders>
              <w:top w:val="single" w:color="000000" w:sz="10" w:space="0"/>
            </w:tcBorders>
            <w:vAlign w:val="top"/>
          </w:tcPr>
          <w:p w14:paraId="5598AD0D">
            <w:pPr>
              <w:pStyle w:val="6"/>
              <w:spacing w:before="66" w:line="202" w:lineRule="auto"/>
              <w:ind w:left="413"/>
              <w:rPr>
                <w:sz w:val="20"/>
                <w:szCs w:val="20"/>
              </w:rPr>
            </w:pPr>
            <w:r>
              <w:rPr>
                <w:spacing w:val="6"/>
                <w:sz w:val="20"/>
                <w:szCs w:val="20"/>
              </w:rPr>
              <w:t>噪声排放值</w:t>
            </w:r>
          </w:p>
        </w:tc>
        <w:tc>
          <w:tcPr>
            <w:tcW w:w="958" w:type="dxa"/>
            <w:vMerge w:val="restart"/>
            <w:tcBorders>
              <w:top w:val="single" w:color="000000" w:sz="10" w:space="0"/>
              <w:bottom w:val="nil"/>
              <w:right w:val="single" w:color="000000" w:sz="10" w:space="0"/>
            </w:tcBorders>
            <w:vAlign w:val="top"/>
          </w:tcPr>
          <w:p w14:paraId="47209B39">
            <w:pPr>
              <w:pStyle w:val="6"/>
              <w:spacing w:before="71" w:line="253" w:lineRule="auto"/>
              <w:ind w:left="156" w:right="299" w:firstLine="45"/>
              <w:jc w:val="both"/>
              <w:rPr>
                <w:sz w:val="20"/>
                <w:szCs w:val="20"/>
              </w:rPr>
            </w:pPr>
            <w:r>
              <w:rPr>
                <w:spacing w:val="3"/>
                <w:sz w:val="20"/>
                <w:szCs w:val="20"/>
              </w:rPr>
              <w:t>持续</w:t>
            </w:r>
            <w:r>
              <w:rPr>
                <w:sz w:val="20"/>
                <w:szCs w:val="20"/>
              </w:rPr>
              <w:t xml:space="preserve"> </w:t>
            </w:r>
            <w:r>
              <w:rPr>
                <w:spacing w:val="26"/>
                <w:sz w:val="20"/>
                <w:szCs w:val="20"/>
              </w:rPr>
              <w:t>时间</w:t>
            </w:r>
            <w:r>
              <w:rPr>
                <w:sz w:val="20"/>
                <w:szCs w:val="20"/>
              </w:rPr>
              <w:t xml:space="preserve"> </w:t>
            </w:r>
            <w:r>
              <w:rPr>
                <w:spacing w:val="-5"/>
                <w:sz w:val="20"/>
                <w:szCs w:val="20"/>
              </w:rPr>
              <w:t>（h）</w:t>
            </w:r>
          </w:p>
        </w:tc>
      </w:tr>
      <w:tr w14:paraId="68D8E5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477" w:type="dxa"/>
            <w:vMerge w:val="continue"/>
            <w:tcBorders>
              <w:top w:val="nil"/>
              <w:left w:val="single" w:color="000000" w:sz="10" w:space="0"/>
              <w:bottom w:val="nil"/>
            </w:tcBorders>
            <w:vAlign w:val="top"/>
          </w:tcPr>
          <w:p w14:paraId="03DA0571">
            <w:pPr>
              <w:rPr>
                <w:rFonts w:ascii="Arial"/>
                <w:sz w:val="21"/>
              </w:rPr>
            </w:pPr>
          </w:p>
        </w:tc>
        <w:tc>
          <w:tcPr>
            <w:tcW w:w="804" w:type="dxa"/>
            <w:vMerge w:val="continue"/>
            <w:tcBorders>
              <w:top w:val="nil"/>
            </w:tcBorders>
            <w:vAlign w:val="top"/>
          </w:tcPr>
          <w:p w14:paraId="4B419B8B">
            <w:pPr>
              <w:rPr>
                <w:rFonts w:ascii="Arial"/>
                <w:sz w:val="21"/>
              </w:rPr>
            </w:pPr>
          </w:p>
        </w:tc>
        <w:tc>
          <w:tcPr>
            <w:tcW w:w="894" w:type="dxa"/>
            <w:vMerge w:val="continue"/>
            <w:tcBorders>
              <w:top w:val="nil"/>
            </w:tcBorders>
            <w:vAlign w:val="top"/>
          </w:tcPr>
          <w:p w14:paraId="2DEBAB8C">
            <w:pPr>
              <w:rPr>
                <w:rFonts w:ascii="Arial"/>
                <w:sz w:val="21"/>
              </w:rPr>
            </w:pPr>
          </w:p>
        </w:tc>
        <w:tc>
          <w:tcPr>
            <w:tcW w:w="707" w:type="dxa"/>
            <w:vMerge w:val="continue"/>
            <w:tcBorders>
              <w:top w:val="nil"/>
            </w:tcBorders>
            <w:vAlign w:val="top"/>
          </w:tcPr>
          <w:p w14:paraId="5DE2CE48">
            <w:pPr>
              <w:rPr>
                <w:rFonts w:ascii="Arial"/>
                <w:sz w:val="21"/>
              </w:rPr>
            </w:pPr>
          </w:p>
        </w:tc>
        <w:tc>
          <w:tcPr>
            <w:tcW w:w="911" w:type="dxa"/>
            <w:vAlign w:val="top"/>
          </w:tcPr>
          <w:p w14:paraId="63D78FAB">
            <w:pPr>
              <w:pStyle w:val="6"/>
              <w:spacing w:before="76" w:line="239" w:lineRule="auto"/>
              <w:ind w:left="248" w:right="249" w:firstLine="1"/>
              <w:rPr>
                <w:sz w:val="20"/>
                <w:szCs w:val="20"/>
              </w:rPr>
            </w:pPr>
            <w:r>
              <w:rPr>
                <w:spacing w:val="3"/>
                <w:sz w:val="20"/>
                <w:szCs w:val="20"/>
              </w:rPr>
              <w:t>核算</w:t>
            </w:r>
            <w:r>
              <w:rPr>
                <w:sz w:val="20"/>
                <w:szCs w:val="20"/>
              </w:rPr>
              <w:t xml:space="preserve"> </w:t>
            </w:r>
            <w:r>
              <w:rPr>
                <w:spacing w:val="4"/>
                <w:sz w:val="20"/>
                <w:szCs w:val="20"/>
              </w:rPr>
              <w:t>方法</w:t>
            </w:r>
          </w:p>
        </w:tc>
        <w:tc>
          <w:tcPr>
            <w:tcW w:w="852" w:type="dxa"/>
            <w:vAlign w:val="top"/>
          </w:tcPr>
          <w:p w14:paraId="0DEE4562">
            <w:pPr>
              <w:pStyle w:val="6"/>
              <w:spacing w:before="76" w:line="239" w:lineRule="auto"/>
              <w:ind w:left="115" w:right="27" w:firstLine="5"/>
              <w:rPr>
                <w:sz w:val="20"/>
                <w:szCs w:val="20"/>
              </w:rPr>
            </w:pPr>
            <w:r>
              <w:rPr>
                <w:spacing w:val="3"/>
                <w:sz w:val="20"/>
                <w:szCs w:val="20"/>
              </w:rPr>
              <w:t>噪声值</w:t>
            </w:r>
            <w:r>
              <w:rPr>
                <w:sz w:val="20"/>
                <w:szCs w:val="20"/>
              </w:rPr>
              <w:t xml:space="preserve">  dB</w:t>
            </w:r>
            <w:r>
              <w:rPr>
                <w:spacing w:val="1"/>
                <w:sz w:val="20"/>
                <w:szCs w:val="20"/>
              </w:rPr>
              <w:t>（A）</w:t>
            </w:r>
          </w:p>
        </w:tc>
        <w:tc>
          <w:tcPr>
            <w:tcW w:w="773" w:type="dxa"/>
            <w:vAlign w:val="top"/>
          </w:tcPr>
          <w:p w14:paraId="2E9541E1">
            <w:pPr>
              <w:pStyle w:val="6"/>
              <w:spacing w:before="224" w:line="238" w:lineRule="auto"/>
              <w:ind w:left="186"/>
              <w:rPr>
                <w:sz w:val="20"/>
                <w:szCs w:val="20"/>
              </w:rPr>
            </w:pPr>
            <w:r>
              <w:rPr>
                <w:spacing w:val="3"/>
                <w:sz w:val="20"/>
                <w:szCs w:val="20"/>
              </w:rPr>
              <w:t>工艺</w:t>
            </w:r>
          </w:p>
        </w:tc>
        <w:tc>
          <w:tcPr>
            <w:tcW w:w="699" w:type="dxa"/>
            <w:vAlign w:val="top"/>
          </w:tcPr>
          <w:p w14:paraId="7307FB0E">
            <w:pPr>
              <w:pStyle w:val="6"/>
              <w:spacing w:before="76" w:line="239" w:lineRule="auto"/>
              <w:ind w:left="154" w:right="134" w:firstLine="11"/>
              <w:rPr>
                <w:sz w:val="20"/>
                <w:szCs w:val="20"/>
              </w:rPr>
            </w:pPr>
            <w:r>
              <w:rPr>
                <w:spacing w:val="-4"/>
                <w:sz w:val="20"/>
                <w:szCs w:val="20"/>
              </w:rPr>
              <w:t>降噪</w:t>
            </w:r>
            <w:r>
              <w:rPr>
                <w:sz w:val="20"/>
                <w:szCs w:val="20"/>
              </w:rPr>
              <w:t xml:space="preserve"> </w:t>
            </w:r>
            <w:r>
              <w:rPr>
                <w:spacing w:val="2"/>
                <w:sz w:val="20"/>
                <w:szCs w:val="20"/>
              </w:rPr>
              <w:t>效果</w:t>
            </w:r>
          </w:p>
        </w:tc>
        <w:tc>
          <w:tcPr>
            <w:tcW w:w="847" w:type="dxa"/>
            <w:vAlign w:val="top"/>
          </w:tcPr>
          <w:p w14:paraId="77A06299">
            <w:pPr>
              <w:pStyle w:val="6"/>
              <w:spacing w:before="76" w:line="239" w:lineRule="auto"/>
              <w:ind w:left="331" w:right="100" w:hanging="209"/>
              <w:rPr>
                <w:sz w:val="20"/>
                <w:szCs w:val="20"/>
              </w:rPr>
            </w:pPr>
            <w:r>
              <w:rPr>
                <w:spacing w:val="6"/>
                <w:sz w:val="20"/>
                <w:szCs w:val="20"/>
              </w:rPr>
              <w:t>核算方</w:t>
            </w:r>
            <w:r>
              <w:rPr>
                <w:sz w:val="20"/>
                <w:szCs w:val="20"/>
              </w:rPr>
              <w:t xml:space="preserve"> 法</w:t>
            </w:r>
          </w:p>
        </w:tc>
        <w:tc>
          <w:tcPr>
            <w:tcW w:w="980" w:type="dxa"/>
            <w:vAlign w:val="top"/>
          </w:tcPr>
          <w:p w14:paraId="693619E9">
            <w:pPr>
              <w:pStyle w:val="6"/>
              <w:spacing w:before="76" w:line="239" w:lineRule="auto"/>
              <w:ind w:left="141" w:right="129" w:firstLine="58"/>
              <w:rPr>
                <w:sz w:val="20"/>
                <w:szCs w:val="20"/>
              </w:rPr>
            </w:pPr>
            <w:r>
              <w:rPr>
                <w:spacing w:val="3"/>
                <w:sz w:val="20"/>
                <w:szCs w:val="20"/>
              </w:rPr>
              <w:t>噪声值</w:t>
            </w:r>
            <w:r>
              <w:rPr>
                <w:spacing w:val="1"/>
                <w:sz w:val="20"/>
                <w:szCs w:val="20"/>
              </w:rPr>
              <w:t xml:space="preserve"> </w:t>
            </w:r>
            <w:r>
              <w:rPr>
                <w:sz w:val="20"/>
                <w:szCs w:val="20"/>
              </w:rPr>
              <w:t>dB</w:t>
            </w:r>
            <w:r>
              <w:rPr>
                <w:spacing w:val="1"/>
                <w:sz w:val="20"/>
                <w:szCs w:val="20"/>
              </w:rPr>
              <w:t>（A）</w:t>
            </w:r>
          </w:p>
        </w:tc>
        <w:tc>
          <w:tcPr>
            <w:tcW w:w="958" w:type="dxa"/>
            <w:vMerge w:val="continue"/>
            <w:tcBorders>
              <w:top w:val="nil"/>
              <w:right w:val="single" w:color="000000" w:sz="10" w:space="0"/>
            </w:tcBorders>
            <w:vAlign w:val="top"/>
          </w:tcPr>
          <w:p w14:paraId="6AF5AB81">
            <w:pPr>
              <w:rPr>
                <w:rFonts w:ascii="Arial"/>
                <w:sz w:val="21"/>
              </w:rPr>
            </w:pPr>
          </w:p>
        </w:tc>
      </w:tr>
      <w:tr w14:paraId="3E54297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7" w:type="dxa"/>
            <w:vMerge w:val="continue"/>
            <w:tcBorders>
              <w:top w:val="nil"/>
              <w:left w:val="single" w:color="000000" w:sz="10" w:space="0"/>
              <w:bottom w:val="nil"/>
            </w:tcBorders>
            <w:vAlign w:val="top"/>
          </w:tcPr>
          <w:p w14:paraId="779624AA">
            <w:pPr>
              <w:rPr>
                <w:rFonts w:ascii="Arial"/>
                <w:sz w:val="21"/>
              </w:rPr>
            </w:pPr>
          </w:p>
        </w:tc>
        <w:tc>
          <w:tcPr>
            <w:tcW w:w="804" w:type="dxa"/>
            <w:vMerge w:val="restart"/>
            <w:tcBorders>
              <w:bottom w:val="nil"/>
            </w:tcBorders>
            <w:vAlign w:val="top"/>
          </w:tcPr>
          <w:p w14:paraId="30C9E625">
            <w:pPr>
              <w:spacing w:line="254" w:lineRule="auto"/>
              <w:rPr>
                <w:rFonts w:ascii="Arial"/>
                <w:sz w:val="21"/>
              </w:rPr>
            </w:pPr>
          </w:p>
          <w:p w14:paraId="7B1FF85F">
            <w:pPr>
              <w:spacing w:line="254" w:lineRule="auto"/>
              <w:rPr>
                <w:rFonts w:ascii="Arial"/>
                <w:sz w:val="21"/>
              </w:rPr>
            </w:pPr>
          </w:p>
          <w:p w14:paraId="6CEACC4A">
            <w:pPr>
              <w:spacing w:line="254" w:lineRule="auto"/>
              <w:rPr>
                <w:rFonts w:ascii="Arial"/>
                <w:sz w:val="21"/>
              </w:rPr>
            </w:pPr>
          </w:p>
          <w:p w14:paraId="54B103F3">
            <w:pPr>
              <w:spacing w:line="254" w:lineRule="auto"/>
              <w:rPr>
                <w:rFonts w:ascii="Arial"/>
                <w:sz w:val="21"/>
              </w:rPr>
            </w:pPr>
          </w:p>
          <w:p w14:paraId="02A6A39F">
            <w:pPr>
              <w:spacing w:line="255" w:lineRule="auto"/>
              <w:rPr>
                <w:rFonts w:ascii="Arial"/>
                <w:sz w:val="21"/>
              </w:rPr>
            </w:pPr>
          </w:p>
          <w:p w14:paraId="57640C93">
            <w:pPr>
              <w:spacing w:line="255" w:lineRule="auto"/>
              <w:rPr>
                <w:rFonts w:ascii="Arial"/>
                <w:sz w:val="21"/>
              </w:rPr>
            </w:pPr>
          </w:p>
          <w:p w14:paraId="03447A50">
            <w:pPr>
              <w:spacing w:line="255" w:lineRule="auto"/>
              <w:rPr>
                <w:rFonts w:ascii="Arial"/>
                <w:sz w:val="21"/>
              </w:rPr>
            </w:pPr>
          </w:p>
          <w:p w14:paraId="6CBD9539">
            <w:pPr>
              <w:spacing w:line="255" w:lineRule="auto"/>
              <w:rPr>
                <w:rFonts w:ascii="Arial"/>
                <w:sz w:val="21"/>
              </w:rPr>
            </w:pPr>
          </w:p>
          <w:p w14:paraId="366F3F4E">
            <w:pPr>
              <w:pStyle w:val="6"/>
              <w:spacing w:before="65" w:line="262" w:lineRule="auto"/>
              <w:ind w:left="267" w:right="122" w:hanging="1"/>
              <w:rPr>
                <w:sz w:val="20"/>
                <w:szCs w:val="20"/>
              </w:rPr>
            </w:pPr>
            <w:r>
              <w:rPr>
                <w:spacing w:val="4"/>
                <w:sz w:val="20"/>
                <w:szCs w:val="20"/>
              </w:rPr>
              <w:t>拆解</w:t>
            </w:r>
            <w:r>
              <w:rPr>
                <w:sz w:val="20"/>
                <w:szCs w:val="20"/>
              </w:rPr>
              <w:t xml:space="preserve"> </w:t>
            </w:r>
            <w:r>
              <w:rPr>
                <w:spacing w:val="3"/>
                <w:sz w:val="20"/>
                <w:szCs w:val="20"/>
              </w:rPr>
              <w:t>车间</w:t>
            </w:r>
          </w:p>
        </w:tc>
        <w:tc>
          <w:tcPr>
            <w:tcW w:w="894" w:type="dxa"/>
            <w:vAlign w:val="top"/>
          </w:tcPr>
          <w:p w14:paraId="129B4A1E">
            <w:pPr>
              <w:pStyle w:val="6"/>
              <w:spacing w:before="93" w:line="204" w:lineRule="auto"/>
              <w:ind w:left="236"/>
              <w:rPr>
                <w:sz w:val="20"/>
                <w:szCs w:val="20"/>
              </w:rPr>
            </w:pPr>
            <w:r>
              <w:rPr>
                <w:spacing w:val="4"/>
                <w:sz w:val="20"/>
                <w:szCs w:val="20"/>
              </w:rPr>
              <w:t>铲车</w:t>
            </w:r>
          </w:p>
        </w:tc>
        <w:tc>
          <w:tcPr>
            <w:tcW w:w="707" w:type="dxa"/>
            <w:vAlign w:val="top"/>
          </w:tcPr>
          <w:p w14:paraId="2A99C18B">
            <w:pPr>
              <w:pStyle w:val="6"/>
              <w:spacing w:before="85" w:line="211" w:lineRule="auto"/>
              <w:ind w:left="143"/>
              <w:rPr>
                <w:sz w:val="20"/>
                <w:szCs w:val="20"/>
              </w:rPr>
            </w:pPr>
            <w:r>
              <w:rPr>
                <w:spacing w:val="4"/>
                <w:sz w:val="20"/>
                <w:szCs w:val="20"/>
              </w:rPr>
              <w:t>频发</w:t>
            </w:r>
          </w:p>
        </w:tc>
        <w:tc>
          <w:tcPr>
            <w:tcW w:w="911" w:type="dxa"/>
            <w:vAlign w:val="top"/>
          </w:tcPr>
          <w:p w14:paraId="3E8BDC50">
            <w:pPr>
              <w:pStyle w:val="6"/>
              <w:spacing w:before="85" w:line="211" w:lineRule="auto"/>
              <w:ind w:left="144"/>
              <w:rPr>
                <w:sz w:val="20"/>
                <w:szCs w:val="20"/>
              </w:rPr>
            </w:pPr>
            <w:r>
              <w:rPr>
                <w:spacing w:val="6"/>
                <w:sz w:val="20"/>
                <w:szCs w:val="20"/>
              </w:rPr>
              <w:t>类比法</w:t>
            </w:r>
          </w:p>
        </w:tc>
        <w:tc>
          <w:tcPr>
            <w:tcW w:w="852" w:type="dxa"/>
            <w:vAlign w:val="top"/>
          </w:tcPr>
          <w:p w14:paraId="5F32ACE3">
            <w:pPr>
              <w:pStyle w:val="6"/>
              <w:spacing w:before="119" w:line="180" w:lineRule="auto"/>
              <w:ind w:left="170"/>
              <w:rPr>
                <w:sz w:val="20"/>
                <w:szCs w:val="20"/>
              </w:rPr>
            </w:pPr>
            <w:r>
              <w:rPr>
                <w:spacing w:val="2"/>
                <w:sz w:val="20"/>
                <w:szCs w:val="20"/>
              </w:rPr>
              <w:t>65-75</w:t>
            </w:r>
          </w:p>
        </w:tc>
        <w:tc>
          <w:tcPr>
            <w:tcW w:w="773" w:type="dxa"/>
            <w:vMerge w:val="restart"/>
            <w:tcBorders>
              <w:bottom w:val="nil"/>
            </w:tcBorders>
            <w:vAlign w:val="top"/>
          </w:tcPr>
          <w:p w14:paraId="20DD0280">
            <w:pPr>
              <w:spacing w:line="247" w:lineRule="auto"/>
              <w:rPr>
                <w:rFonts w:ascii="Arial"/>
                <w:sz w:val="21"/>
              </w:rPr>
            </w:pPr>
          </w:p>
          <w:p w14:paraId="5672E820">
            <w:pPr>
              <w:spacing w:line="248" w:lineRule="auto"/>
              <w:rPr>
                <w:rFonts w:ascii="Arial"/>
                <w:sz w:val="21"/>
              </w:rPr>
            </w:pPr>
          </w:p>
          <w:p w14:paraId="17D7FD83">
            <w:pPr>
              <w:spacing w:line="248" w:lineRule="auto"/>
              <w:rPr>
                <w:rFonts w:ascii="Arial"/>
                <w:sz w:val="21"/>
              </w:rPr>
            </w:pPr>
          </w:p>
          <w:p w14:paraId="11D4B0DB">
            <w:pPr>
              <w:spacing w:line="248" w:lineRule="auto"/>
              <w:rPr>
                <w:rFonts w:ascii="Arial"/>
                <w:sz w:val="21"/>
              </w:rPr>
            </w:pPr>
          </w:p>
          <w:p w14:paraId="773D0D90">
            <w:pPr>
              <w:pStyle w:val="6"/>
              <w:spacing w:before="65" w:line="274" w:lineRule="auto"/>
              <w:ind w:left="115" w:right="81" w:firstLine="68"/>
              <w:jc w:val="both"/>
              <w:rPr>
                <w:sz w:val="20"/>
                <w:szCs w:val="20"/>
              </w:rPr>
            </w:pPr>
            <w:r>
              <w:rPr>
                <w:spacing w:val="4"/>
                <w:sz w:val="20"/>
                <w:szCs w:val="20"/>
              </w:rPr>
              <w:t>产生</w:t>
            </w:r>
            <w:r>
              <w:rPr>
                <w:sz w:val="20"/>
                <w:szCs w:val="20"/>
              </w:rPr>
              <w:t xml:space="preserve">  </w:t>
            </w:r>
            <w:r>
              <w:rPr>
                <w:spacing w:val="38"/>
                <w:sz w:val="20"/>
                <w:szCs w:val="20"/>
              </w:rPr>
              <w:t>噪声</w:t>
            </w:r>
            <w:r>
              <w:rPr>
                <w:sz w:val="20"/>
                <w:szCs w:val="20"/>
              </w:rPr>
              <w:t xml:space="preserve">  </w:t>
            </w:r>
            <w:r>
              <w:rPr>
                <w:spacing w:val="38"/>
                <w:sz w:val="20"/>
                <w:szCs w:val="20"/>
              </w:rPr>
              <w:t>的设</w:t>
            </w:r>
            <w:r>
              <w:rPr>
                <w:sz w:val="20"/>
                <w:szCs w:val="20"/>
              </w:rPr>
              <w:t xml:space="preserve">  </w:t>
            </w:r>
            <w:r>
              <w:rPr>
                <w:spacing w:val="38"/>
                <w:sz w:val="20"/>
                <w:szCs w:val="20"/>
              </w:rPr>
              <w:t>备基</w:t>
            </w:r>
            <w:r>
              <w:rPr>
                <w:sz w:val="20"/>
                <w:szCs w:val="20"/>
              </w:rPr>
              <w:t xml:space="preserve">  </w:t>
            </w:r>
            <w:r>
              <w:rPr>
                <w:spacing w:val="38"/>
                <w:sz w:val="20"/>
                <w:szCs w:val="20"/>
              </w:rPr>
              <w:t>础安</w:t>
            </w:r>
            <w:r>
              <w:rPr>
                <w:sz w:val="20"/>
                <w:szCs w:val="20"/>
              </w:rPr>
              <w:t xml:space="preserve">  </w:t>
            </w:r>
            <w:r>
              <w:rPr>
                <w:spacing w:val="38"/>
                <w:sz w:val="20"/>
                <w:szCs w:val="20"/>
              </w:rPr>
              <w:t>装减</w:t>
            </w:r>
            <w:r>
              <w:rPr>
                <w:sz w:val="20"/>
                <w:szCs w:val="20"/>
              </w:rPr>
              <w:t xml:space="preserve">  </w:t>
            </w:r>
            <w:r>
              <w:rPr>
                <w:spacing w:val="-10"/>
                <w:sz w:val="20"/>
                <w:szCs w:val="20"/>
              </w:rPr>
              <w:t>振垫，</w:t>
            </w:r>
            <w:r>
              <w:rPr>
                <w:sz w:val="20"/>
                <w:szCs w:val="20"/>
              </w:rPr>
              <w:t xml:space="preserve"> </w:t>
            </w:r>
            <w:r>
              <w:rPr>
                <w:spacing w:val="38"/>
                <w:sz w:val="20"/>
                <w:szCs w:val="20"/>
              </w:rPr>
              <w:t>建筑</w:t>
            </w:r>
            <w:r>
              <w:rPr>
                <w:sz w:val="20"/>
                <w:szCs w:val="20"/>
              </w:rPr>
              <w:t xml:space="preserve">  </w:t>
            </w:r>
            <w:r>
              <w:rPr>
                <w:spacing w:val="38"/>
                <w:sz w:val="20"/>
                <w:szCs w:val="20"/>
              </w:rPr>
              <w:t>隔声</w:t>
            </w:r>
          </w:p>
        </w:tc>
        <w:tc>
          <w:tcPr>
            <w:tcW w:w="699" w:type="dxa"/>
            <w:vAlign w:val="top"/>
          </w:tcPr>
          <w:p w14:paraId="2CE52E41">
            <w:pPr>
              <w:pStyle w:val="6"/>
              <w:spacing w:before="119" w:line="180" w:lineRule="auto"/>
              <w:ind w:left="200"/>
              <w:rPr>
                <w:sz w:val="20"/>
                <w:szCs w:val="20"/>
              </w:rPr>
            </w:pPr>
            <w:r>
              <w:rPr>
                <w:spacing w:val="3"/>
                <w:sz w:val="20"/>
                <w:szCs w:val="20"/>
              </w:rPr>
              <w:t>-20</w:t>
            </w:r>
          </w:p>
        </w:tc>
        <w:tc>
          <w:tcPr>
            <w:tcW w:w="847" w:type="dxa"/>
            <w:vAlign w:val="top"/>
          </w:tcPr>
          <w:p w14:paraId="333A1032">
            <w:pPr>
              <w:pStyle w:val="6"/>
              <w:spacing w:before="85" w:line="211" w:lineRule="auto"/>
              <w:ind w:left="120"/>
              <w:rPr>
                <w:sz w:val="20"/>
                <w:szCs w:val="20"/>
              </w:rPr>
            </w:pPr>
            <w:r>
              <w:rPr>
                <w:spacing w:val="6"/>
                <w:sz w:val="20"/>
                <w:szCs w:val="20"/>
              </w:rPr>
              <w:t>类比法</w:t>
            </w:r>
          </w:p>
        </w:tc>
        <w:tc>
          <w:tcPr>
            <w:tcW w:w="980" w:type="dxa"/>
            <w:vAlign w:val="top"/>
          </w:tcPr>
          <w:p w14:paraId="62E212E0">
            <w:pPr>
              <w:pStyle w:val="6"/>
              <w:spacing w:before="119" w:line="180" w:lineRule="auto"/>
              <w:ind w:left="242"/>
              <w:rPr>
                <w:sz w:val="20"/>
                <w:szCs w:val="20"/>
              </w:rPr>
            </w:pPr>
            <w:r>
              <w:rPr>
                <w:spacing w:val="3"/>
                <w:sz w:val="20"/>
                <w:szCs w:val="20"/>
              </w:rPr>
              <w:t>45-55</w:t>
            </w:r>
          </w:p>
        </w:tc>
        <w:tc>
          <w:tcPr>
            <w:tcW w:w="958" w:type="dxa"/>
            <w:tcBorders>
              <w:right w:val="single" w:color="000000" w:sz="10" w:space="0"/>
            </w:tcBorders>
            <w:vAlign w:val="top"/>
          </w:tcPr>
          <w:p w14:paraId="015AB65F">
            <w:pPr>
              <w:pStyle w:val="6"/>
              <w:spacing w:before="119" w:line="180" w:lineRule="auto"/>
              <w:ind w:left="201"/>
              <w:rPr>
                <w:sz w:val="20"/>
                <w:szCs w:val="20"/>
              </w:rPr>
            </w:pPr>
            <w:r>
              <w:rPr>
                <w:spacing w:val="2"/>
                <w:sz w:val="20"/>
                <w:szCs w:val="20"/>
              </w:rPr>
              <w:t>2400</w:t>
            </w:r>
          </w:p>
        </w:tc>
      </w:tr>
      <w:tr w14:paraId="515A7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7" w:type="dxa"/>
            <w:vMerge w:val="continue"/>
            <w:tcBorders>
              <w:top w:val="nil"/>
              <w:left w:val="single" w:color="000000" w:sz="10" w:space="0"/>
              <w:bottom w:val="nil"/>
            </w:tcBorders>
            <w:vAlign w:val="top"/>
          </w:tcPr>
          <w:p w14:paraId="2F4B2F37">
            <w:pPr>
              <w:rPr>
                <w:rFonts w:ascii="Arial"/>
                <w:sz w:val="21"/>
              </w:rPr>
            </w:pPr>
          </w:p>
        </w:tc>
        <w:tc>
          <w:tcPr>
            <w:tcW w:w="804" w:type="dxa"/>
            <w:vMerge w:val="continue"/>
            <w:tcBorders>
              <w:top w:val="nil"/>
              <w:bottom w:val="nil"/>
            </w:tcBorders>
            <w:vAlign w:val="top"/>
          </w:tcPr>
          <w:p w14:paraId="3100BCEE">
            <w:pPr>
              <w:rPr>
                <w:rFonts w:ascii="Arial"/>
                <w:sz w:val="21"/>
              </w:rPr>
            </w:pPr>
          </w:p>
        </w:tc>
        <w:tc>
          <w:tcPr>
            <w:tcW w:w="894" w:type="dxa"/>
            <w:vAlign w:val="top"/>
          </w:tcPr>
          <w:p w14:paraId="1A56C74E">
            <w:pPr>
              <w:pStyle w:val="6"/>
              <w:spacing w:before="93" w:line="204" w:lineRule="auto"/>
              <w:ind w:left="237"/>
              <w:rPr>
                <w:sz w:val="20"/>
                <w:szCs w:val="20"/>
              </w:rPr>
            </w:pPr>
            <w:r>
              <w:rPr>
                <w:spacing w:val="3"/>
                <w:sz w:val="20"/>
                <w:szCs w:val="20"/>
              </w:rPr>
              <w:t>叉车</w:t>
            </w:r>
          </w:p>
        </w:tc>
        <w:tc>
          <w:tcPr>
            <w:tcW w:w="707" w:type="dxa"/>
            <w:vAlign w:val="top"/>
          </w:tcPr>
          <w:p w14:paraId="097855C7">
            <w:pPr>
              <w:pStyle w:val="6"/>
              <w:spacing w:before="87" w:line="209" w:lineRule="auto"/>
              <w:ind w:left="143"/>
              <w:rPr>
                <w:sz w:val="20"/>
                <w:szCs w:val="20"/>
              </w:rPr>
            </w:pPr>
            <w:r>
              <w:rPr>
                <w:spacing w:val="4"/>
                <w:sz w:val="20"/>
                <w:szCs w:val="20"/>
              </w:rPr>
              <w:t>频发</w:t>
            </w:r>
          </w:p>
        </w:tc>
        <w:tc>
          <w:tcPr>
            <w:tcW w:w="911" w:type="dxa"/>
            <w:vAlign w:val="top"/>
          </w:tcPr>
          <w:p w14:paraId="1F4178FB">
            <w:pPr>
              <w:pStyle w:val="6"/>
              <w:spacing w:before="87" w:line="209" w:lineRule="auto"/>
              <w:ind w:left="144"/>
              <w:rPr>
                <w:sz w:val="20"/>
                <w:szCs w:val="20"/>
              </w:rPr>
            </w:pPr>
            <w:r>
              <w:rPr>
                <w:spacing w:val="6"/>
                <w:sz w:val="20"/>
                <w:szCs w:val="20"/>
              </w:rPr>
              <w:t>类比法</w:t>
            </w:r>
          </w:p>
        </w:tc>
        <w:tc>
          <w:tcPr>
            <w:tcW w:w="852" w:type="dxa"/>
            <w:vAlign w:val="top"/>
          </w:tcPr>
          <w:p w14:paraId="14397BBA">
            <w:pPr>
              <w:pStyle w:val="6"/>
              <w:spacing w:before="121" w:line="178" w:lineRule="auto"/>
              <w:ind w:left="170"/>
              <w:rPr>
                <w:sz w:val="20"/>
                <w:szCs w:val="20"/>
              </w:rPr>
            </w:pPr>
            <w:r>
              <w:rPr>
                <w:spacing w:val="2"/>
                <w:sz w:val="20"/>
                <w:szCs w:val="20"/>
              </w:rPr>
              <w:t>65-75</w:t>
            </w:r>
          </w:p>
        </w:tc>
        <w:tc>
          <w:tcPr>
            <w:tcW w:w="773" w:type="dxa"/>
            <w:vMerge w:val="continue"/>
            <w:tcBorders>
              <w:top w:val="nil"/>
              <w:bottom w:val="nil"/>
            </w:tcBorders>
            <w:vAlign w:val="top"/>
          </w:tcPr>
          <w:p w14:paraId="4A28311C">
            <w:pPr>
              <w:rPr>
                <w:rFonts w:ascii="Arial"/>
                <w:sz w:val="21"/>
              </w:rPr>
            </w:pPr>
          </w:p>
        </w:tc>
        <w:tc>
          <w:tcPr>
            <w:tcW w:w="699" w:type="dxa"/>
            <w:vAlign w:val="top"/>
          </w:tcPr>
          <w:p w14:paraId="3A784850">
            <w:pPr>
              <w:pStyle w:val="6"/>
              <w:spacing w:before="121" w:line="178" w:lineRule="auto"/>
              <w:ind w:left="200"/>
              <w:rPr>
                <w:sz w:val="20"/>
                <w:szCs w:val="20"/>
              </w:rPr>
            </w:pPr>
            <w:r>
              <w:rPr>
                <w:spacing w:val="3"/>
                <w:sz w:val="20"/>
                <w:szCs w:val="20"/>
              </w:rPr>
              <w:t>-20</w:t>
            </w:r>
          </w:p>
        </w:tc>
        <w:tc>
          <w:tcPr>
            <w:tcW w:w="847" w:type="dxa"/>
            <w:vAlign w:val="top"/>
          </w:tcPr>
          <w:p w14:paraId="36473483">
            <w:pPr>
              <w:pStyle w:val="6"/>
              <w:spacing w:before="87" w:line="209" w:lineRule="auto"/>
              <w:ind w:left="120"/>
              <w:rPr>
                <w:sz w:val="20"/>
                <w:szCs w:val="20"/>
              </w:rPr>
            </w:pPr>
            <w:r>
              <w:rPr>
                <w:spacing w:val="6"/>
                <w:sz w:val="20"/>
                <w:szCs w:val="20"/>
              </w:rPr>
              <w:t>类比法</w:t>
            </w:r>
          </w:p>
        </w:tc>
        <w:tc>
          <w:tcPr>
            <w:tcW w:w="980" w:type="dxa"/>
            <w:vAlign w:val="top"/>
          </w:tcPr>
          <w:p w14:paraId="1F273618">
            <w:pPr>
              <w:pStyle w:val="6"/>
              <w:spacing w:before="121" w:line="178" w:lineRule="auto"/>
              <w:ind w:left="242"/>
              <w:rPr>
                <w:sz w:val="20"/>
                <w:szCs w:val="20"/>
              </w:rPr>
            </w:pPr>
            <w:r>
              <w:rPr>
                <w:spacing w:val="3"/>
                <w:sz w:val="20"/>
                <w:szCs w:val="20"/>
              </w:rPr>
              <w:t>45-55</w:t>
            </w:r>
          </w:p>
        </w:tc>
        <w:tc>
          <w:tcPr>
            <w:tcW w:w="958" w:type="dxa"/>
            <w:tcBorders>
              <w:right w:val="single" w:color="000000" w:sz="10" w:space="0"/>
            </w:tcBorders>
            <w:vAlign w:val="top"/>
          </w:tcPr>
          <w:p w14:paraId="30C5DDC7">
            <w:pPr>
              <w:pStyle w:val="6"/>
              <w:spacing w:before="121" w:line="178" w:lineRule="auto"/>
              <w:ind w:left="201"/>
              <w:rPr>
                <w:sz w:val="20"/>
                <w:szCs w:val="20"/>
              </w:rPr>
            </w:pPr>
            <w:r>
              <w:rPr>
                <w:spacing w:val="2"/>
                <w:sz w:val="20"/>
                <w:szCs w:val="20"/>
              </w:rPr>
              <w:t>2400</w:t>
            </w:r>
          </w:p>
        </w:tc>
      </w:tr>
      <w:tr w14:paraId="3788A1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4" w:hRule="atLeast"/>
        </w:trPr>
        <w:tc>
          <w:tcPr>
            <w:tcW w:w="477" w:type="dxa"/>
            <w:vMerge w:val="continue"/>
            <w:tcBorders>
              <w:top w:val="nil"/>
              <w:left w:val="single" w:color="000000" w:sz="10" w:space="0"/>
              <w:bottom w:val="nil"/>
            </w:tcBorders>
            <w:vAlign w:val="top"/>
          </w:tcPr>
          <w:p w14:paraId="27CE100B">
            <w:pPr>
              <w:rPr>
                <w:rFonts w:ascii="Arial"/>
                <w:sz w:val="21"/>
              </w:rPr>
            </w:pPr>
          </w:p>
        </w:tc>
        <w:tc>
          <w:tcPr>
            <w:tcW w:w="804" w:type="dxa"/>
            <w:vMerge w:val="continue"/>
            <w:tcBorders>
              <w:top w:val="nil"/>
              <w:bottom w:val="nil"/>
            </w:tcBorders>
            <w:vAlign w:val="top"/>
          </w:tcPr>
          <w:p w14:paraId="4106562D">
            <w:pPr>
              <w:rPr>
                <w:rFonts w:ascii="Arial"/>
                <w:sz w:val="21"/>
              </w:rPr>
            </w:pPr>
          </w:p>
        </w:tc>
        <w:tc>
          <w:tcPr>
            <w:tcW w:w="894" w:type="dxa"/>
            <w:vAlign w:val="top"/>
          </w:tcPr>
          <w:p w14:paraId="682881E2">
            <w:pPr>
              <w:pStyle w:val="6"/>
              <w:spacing w:before="95" w:line="202" w:lineRule="auto"/>
              <w:ind w:left="260"/>
              <w:rPr>
                <w:sz w:val="20"/>
                <w:szCs w:val="20"/>
              </w:rPr>
            </w:pPr>
            <w:r>
              <w:rPr>
                <w:spacing w:val="-8"/>
                <w:sz w:val="20"/>
                <w:szCs w:val="20"/>
              </w:rPr>
              <w:t>电钻</w:t>
            </w:r>
          </w:p>
        </w:tc>
        <w:tc>
          <w:tcPr>
            <w:tcW w:w="707" w:type="dxa"/>
            <w:vAlign w:val="top"/>
          </w:tcPr>
          <w:p w14:paraId="6C797E2E">
            <w:pPr>
              <w:pStyle w:val="6"/>
              <w:spacing w:before="87" w:line="209" w:lineRule="auto"/>
              <w:ind w:left="143"/>
              <w:rPr>
                <w:sz w:val="20"/>
                <w:szCs w:val="20"/>
              </w:rPr>
            </w:pPr>
            <w:r>
              <w:rPr>
                <w:spacing w:val="4"/>
                <w:sz w:val="20"/>
                <w:szCs w:val="20"/>
              </w:rPr>
              <w:t>频发</w:t>
            </w:r>
          </w:p>
        </w:tc>
        <w:tc>
          <w:tcPr>
            <w:tcW w:w="911" w:type="dxa"/>
            <w:vAlign w:val="top"/>
          </w:tcPr>
          <w:p w14:paraId="5F864809">
            <w:pPr>
              <w:pStyle w:val="6"/>
              <w:spacing w:before="87" w:line="209" w:lineRule="auto"/>
              <w:ind w:left="144"/>
              <w:rPr>
                <w:sz w:val="20"/>
                <w:szCs w:val="20"/>
              </w:rPr>
            </w:pPr>
            <w:r>
              <w:rPr>
                <w:spacing w:val="6"/>
                <w:sz w:val="20"/>
                <w:szCs w:val="20"/>
              </w:rPr>
              <w:t>类比法</w:t>
            </w:r>
          </w:p>
        </w:tc>
        <w:tc>
          <w:tcPr>
            <w:tcW w:w="852" w:type="dxa"/>
            <w:vAlign w:val="top"/>
          </w:tcPr>
          <w:p w14:paraId="24C3353E">
            <w:pPr>
              <w:pStyle w:val="6"/>
              <w:spacing w:before="121" w:line="178" w:lineRule="auto"/>
              <w:ind w:left="169"/>
              <w:rPr>
                <w:sz w:val="20"/>
                <w:szCs w:val="20"/>
              </w:rPr>
            </w:pPr>
            <w:r>
              <w:rPr>
                <w:spacing w:val="3"/>
                <w:sz w:val="20"/>
                <w:szCs w:val="20"/>
              </w:rPr>
              <w:t>80-90</w:t>
            </w:r>
          </w:p>
        </w:tc>
        <w:tc>
          <w:tcPr>
            <w:tcW w:w="773" w:type="dxa"/>
            <w:vMerge w:val="continue"/>
            <w:tcBorders>
              <w:top w:val="nil"/>
              <w:bottom w:val="nil"/>
            </w:tcBorders>
            <w:vAlign w:val="top"/>
          </w:tcPr>
          <w:p w14:paraId="5FA26F71">
            <w:pPr>
              <w:rPr>
                <w:rFonts w:ascii="Arial"/>
                <w:sz w:val="21"/>
              </w:rPr>
            </w:pPr>
          </w:p>
        </w:tc>
        <w:tc>
          <w:tcPr>
            <w:tcW w:w="699" w:type="dxa"/>
            <w:vAlign w:val="top"/>
          </w:tcPr>
          <w:p w14:paraId="48A9833B">
            <w:pPr>
              <w:pStyle w:val="6"/>
              <w:spacing w:before="121" w:line="178" w:lineRule="auto"/>
              <w:ind w:left="200"/>
              <w:rPr>
                <w:sz w:val="20"/>
                <w:szCs w:val="20"/>
              </w:rPr>
            </w:pPr>
            <w:r>
              <w:rPr>
                <w:spacing w:val="3"/>
                <w:sz w:val="20"/>
                <w:szCs w:val="20"/>
              </w:rPr>
              <w:t>-20</w:t>
            </w:r>
          </w:p>
        </w:tc>
        <w:tc>
          <w:tcPr>
            <w:tcW w:w="847" w:type="dxa"/>
            <w:vAlign w:val="top"/>
          </w:tcPr>
          <w:p w14:paraId="139CDD52">
            <w:pPr>
              <w:pStyle w:val="6"/>
              <w:spacing w:before="87" w:line="209" w:lineRule="auto"/>
              <w:ind w:left="120"/>
              <w:rPr>
                <w:sz w:val="20"/>
                <w:szCs w:val="20"/>
              </w:rPr>
            </w:pPr>
            <w:r>
              <w:rPr>
                <w:spacing w:val="6"/>
                <w:sz w:val="20"/>
                <w:szCs w:val="20"/>
              </w:rPr>
              <w:t>类比法</w:t>
            </w:r>
          </w:p>
        </w:tc>
        <w:tc>
          <w:tcPr>
            <w:tcW w:w="980" w:type="dxa"/>
            <w:vAlign w:val="top"/>
          </w:tcPr>
          <w:p w14:paraId="46C37C50">
            <w:pPr>
              <w:pStyle w:val="6"/>
              <w:spacing w:before="121" w:line="178" w:lineRule="auto"/>
              <w:ind w:left="244"/>
              <w:rPr>
                <w:sz w:val="20"/>
                <w:szCs w:val="20"/>
              </w:rPr>
            </w:pPr>
            <w:r>
              <w:rPr>
                <w:spacing w:val="2"/>
                <w:sz w:val="20"/>
                <w:szCs w:val="20"/>
              </w:rPr>
              <w:t>60-70</w:t>
            </w:r>
          </w:p>
        </w:tc>
        <w:tc>
          <w:tcPr>
            <w:tcW w:w="958" w:type="dxa"/>
            <w:tcBorders>
              <w:right w:val="single" w:color="000000" w:sz="10" w:space="0"/>
            </w:tcBorders>
            <w:vAlign w:val="top"/>
          </w:tcPr>
          <w:p w14:paraId="7005A54D">
            <w:pPr>
              <w:pStyle w:val="6"/>
              <w:spacing w:before="121" w:line="178" w:lineRule="auto"/>
              <w:ind w:left="201"/>
              <w:rPr>
                <w:sz w:val="20"/>
                <w:szCs w:val="20"/>
              </w:rPr>
            </w:pPr>
            <w:r>
              <w:rPr>
                <w:spacing w:val="2"/>
                <w:sz w:val="20"/>
                <w:szCs w:val="20"/>
              </w:rPr>
              <w:t>2400</w:t>
            </w:r>
          </w:p>
        </w:tc>
      </w:tr>
      <w:tr w14:paraId="73286C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7" w:type="dxa"/>
            <w:vMerge w:val="continue"/>
            <w:tcBorders>
              <w:top w:val="nil"/>
              <w:left w:val="single" w:color="000000" w:sz="10" w:space="0"/>
              <w:bottom w:val="nil"/>
            </w:tcBorders>
            <w:vAlign w:val="top"/>
          </w:tcPr>
          <w:p w14:paraId="36901BFD">
            <w:pPr>
              <w:rPr>
                <w:rFonts w:ascii="Arial"/>
                <w:sz w:val="21"/>
              </w:rPr>
            </w:pPr>
          </w:p>
        </w:tc>
        <w:tc>
          <w:tcPr>
            <w:tcW w:w="804" w:type="dxa"/>
            <w:vMerge w:val="continue"/>
            <w:tcBorders>
              <w:top w:val="nil"/>
              <w:bottom w:val="nil"/>
            </w:tcBorders>
            <w:vAlign w:val="top"/>
          </w:tcPr>
          <w:p w14:paraId="480A6AF8">
            <w:pPr>
              <w:rPr>
                <w:rFonts w:ascii="Arial"/>
                <w:sz w:val="21"/>
              </w:rPr>
            </w:pPr>
          </w:p>
        </w:tc>
        <w:tc>
          <w:tcPr>
            <w:tcW w:w="894" w:type="dxa"/>
            <w:vAlign w:val="top"/>
          </w:tcPr>
          <w:p w14:paraId="4D296F98">
            <w:pPr>
              <w:pStyle w:val="6"/>
              <w:spacing w:before="94" w:line="249" w:lineRule="auto"/>
              <w:ind w:left="129" w:right="138" w:firstLine="2"/>
              <w:rPr>
                <w:sz w:val="20"/>
                <w:szCs w:val="20"/>
              </w:rPr>
            </w:pPr>
            <w:r>
              <w:rPr>
                <w:spacing w:val="6"/>
                <w:sz w:val="20"/>
                <w:szCs w:val="20"/>
              </w:rPr>
              <w:t>等离子</w:t>
            </w:r>
            <w:r>
              <w:rPr>
                <w:sz w:val="20"/>
                <w:szCs w:val="20"/>
              </w:rPr>
              <w:t xml:space="preserve"> </w:t>
            </w:r>
            <w:r>
              <w:rPr>
                <w:spacing w:val="7"/>
                <w:sz w:val="20"/>
                <w:szCs w:val="20"/>
              </w:rPr>
              <w:t>切割机</w:t>
            </w:r>
          </w:p>
        </w:tc>
        <w:tc>
          <w:tcPr>
            <w:tcW w:w="707" w:type="dxa"/>
            <w:vAlign w:val="top"/>
          </w:tcPr>
          <w:p w14:paraId="22FD325A">
            <w:pPr>
              <w:pStyle w:val="6"/>
              <w:spacing w:before="248" w:line="228" w:lineRule="auto"/>
              <w:ind w:left="143"/>
              <w:rPr>
                <w:sz w:val="20"/>
                <w:szCs w:val="20"/>
              </w:rPr>
            </w:pPr>
            <w:r>
              <w:rPr>
                <w:spacing w:val="4"/>
                <w:sz w:val="20"/>
                <w:szCs w:val="20"/>
              </w:rPr>
              <w:t>频发</w:t>
            </w:r>
          </w:p>
        </w:tc>
        <w:tc>
          <w:tcPr>
            <w:tcW w:w="911" w:type="dxa"/>
            <w:vAlign w:val="top"/>
          </w:tcPr>
          <w:p w14:paraId="192CD2FC">
            <w:pPr>
              <w:pStyle w:val="6"/>
              <w:spacing w:before="248" w:line="228" w:lineRule="auto"/>
              <w:ind w:left="144"/>
              <w:rPr>
                <w:sz w:val="20"/>
                <w:szCs w:val="20"/>
              </w:rPr>
            </w:pPr>
            <w:r>
              <w:rPr>
                <w:spacing w:val="6"/>
                <w:sz w:val="20"/>
                <w:szCs w:val="20"/>
              </w:rPr>
              <w:t>类比法</w:t>
            </w:r>
          </w:p>
        </w:tc>
        <w:tc>
          <w:tcPr>
            <w:tcW w:w="852" w:type="dxa"/>
            <w:vAlign w:val="top"/>
          </w:tcPr>
          <w:p w14:paraId="67A2B1B1">
            <w:pPr>
              <w:pStyle w:val="6"/>
              <w:spacing w:before="281" w:line="189" w:lineRule="auto"/>
              <w:ind w:left="169"/>
              <w:rPr>
                <w:sz w:val="20"/>
                <w:szCs w:val="20"/>
              </w:rPr>
            </w:pPr>
            <w:r>
              <w:rPr>
                <w:spacing w:val="3"/>
                <w:sz w:val="20"/>
                <w:szCs w:val="20"/>
              </w:rPr>
              <w:t>80-90</w:t>
            </w:r>
          </w:p>
        </w:tc>
        <w:tc>
          <w:tcPr>
            <w:tcW w:w="773" w:type="dxa"/>
            <w:vMerge w:val="continue"/>
            <w:tcBorders>
              <w:top w:val="nil"/>
              <w:bottom w:val="nil"/>
            </w:tcBorders>
            <w:vAlign w:val="top"/>
          </w:tcPr>
          <w:p w14:paraId="4020AC98">
            <w:pPr>
              <w:rPr>
                <w:rFonts w:ascii="Arial"/>
                <w:sz w:val="21"/>
              </w:rPr>
            </w:pPr>
          </w:p>
        </w:tc>
        <w:tc>
          <w:tcPr>
            <w:tcW w:w="699" w:type="dxa"/>
            <w:vAlign w:val="top"/>
          </w:tcPr>
          <w:p w14:paraId="362762B4">
            <w:pPr>
              <w:pStyle w:val="6"/>
              <w:spacing w:before="281" w:line="189" w:lineRule="auto"/>
              <w:ind w:left="200"/>
              <w:rPr>
                <w:sz w:val="20"/>
                <w:szCs w:val="20"/>
              </w:rPr>
            </w:pPr>
            <w:r>
              <w:rPr>
                <w:spacing w:val="3"/>
                <w:sz w:val="20"/>
                <w:szCs w:val="20"/>
              </w:rPr>
              <w:t>-20</w:t>
            </w:r>
          </w:p>
        </w:tc>
        <w:tc>
          <w:tcPr>
            <w:tcW w:w="847" w:type="dxa"/>
            <w:vAlign w:val="top"/>
          </w:tcPr>
          <w:p w14:paraId="1E217017">
            <w:pPr>
              <w:pStyle w:val="6"/>
              <w:spacing w:before="248" w:line="228" w:lineRule="auto"/>
              <w:ind w:left="120"/>
              <w:rPr>
                <w:sz w:val="20"/>
                <w:szCs w:val="20"/>
              </w:rPr>
            </w:pPr>
            <w:r>
              <w:rPr>
                <w:spacing w:val="6"/>
                <w:sz w:val="20"/>
                <w:szCs w:val="20"/>
              </w:rPr>
              <w:t>类比法</w:t>
            </w:r>
          </w:p>
        </w:tc>
        <w:tc>
          <w:tcPr>
            <w:tcW w:w="980" w:type="dxa"/>
            <w:vAlign w:val="top"/>
          </w:tcPr>
          <w:p w14:paraId="03A09763">
            <w:pPr>
              <w:pStyle w:val="6"/>
              <w:spacing w:before="281" w:line="189" w:lineRule="auto"/>
              <w:ind w:left="244"/>
              <w:rPr>
                <w:sz w:val="20"/>
                <w:szCs w:val="20"/>
              </w:rPr>
            </w:pPr>
            <w:r>
              <w:rPr>
                <w:spacing w:val="2"/>
                <w:sz w:val="20"/>
                <w:szCs w:val="20"/>
              </w:rPr>
              <w:t>60-70</w:t>
            </w:r>
          </w:p>
        </w:tc>
        <w:tc>
          <w:tcPr>
            <w:tcW w:w="958" w:type="dxa"/>
            <w:tcBorders>
              <w:right w:val="single" w:color="000000" w:sz="10" w:space="0"/>
            </w:tcBorders>
            <w:vAlign w:val="top"/>
          </w:tcPr>
          <w:p w14:paraId="173F4DBE">
            <w:pPr>
              <w:pStyle w:val="6"/>
              <w:spacing w:before="281" w:line="189" w:lineRule="auto"/>
              <w:ind w:left="201"/>
              <w:rPr>
                <w:sz w:val="20"/>
                <w:szCs w:val="20"/>
              </w:rPr>
            </w:pPr>
            <w:r>
              <w:rPr>
                <w:spacing w:val="2"/>
                <w:sz w:val="20"/>
                <w:szCs w:val="20"/>
              </w:rPr>
              <w:t>2400</w:t>
            </w:r>
          </w:p>
        </w:tc>
      </w:tr>
      <w:tr w14:paraId="3C557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7" w:type="dxa"/>
            <w:vMerge w:val="continue"/>
            <w:tcBorders>
              <w:top w:val="nil"/>
              <w:left w:val="single" w:color="000000" w:sz="10" w:space="0"/>
              <w:bottom w:val="nil"/>
            </w:tcBorders>
            <w:vAlign w:val="top"/>
          </w:tcPr>
          <w:p w14:paraId="52D8AC92">
            <w:pPr>
              <w:rPr>
                <w:rFonts w:ascii="Arial"/>
                <w:sz w:val="21"/>
              </w:rPr>
            </w:pPr>
          </w:p>
        </w:tc>
        <w:tc>
          <w:tcPr>
            <w:tcW w:w="804" w:type="dxa"/>
            <w:vMerge w:val="continue"/>
            <w:tcBorders>
              <w:top w:val="nil"/>
              <w:bottom w:val="nil"/>
            </w:tcBorders>
            <w:vAlign w:val="top"/>
          </w:tcPr>
          <w:p w14:paraId="35E2D665">
            <w:pPr>
              <w:rPr>
                <w:rFonts w:ascii="Arial"/>
                <w:sz w:val="21"/>
              </w:rPr>
            </w:pPr>
          </w:p>
        </w:tc>
        <w:tc>
          <w:tcPr>
            <w:tcW w:w="894" w:type="dxa"/>
            <w:vAlign w:val="top"/>
          </w:tcPr>
          <w:p w14:paraId="4962AF24">
            <w:pPr>
              <w:pStyle w:val="6"/>
              <w:spacing w:before="96" w:line="248" w:lineRule="auto"/>
              <w:ind w:left="234" w:right="138" w:hanging="105"/>
              <w:rPr>
                <w:sz w:val="20"/>
                <w:szCs w:val="20"/>
              </w:rPr>
            </w:pPr>
            <w:r>
              <w:rPr>
                <w:spacing w:val="6"/>
                <w:sz w:val="20"/>
                <w:szCs w:val="20"/>
              </w:rPr>
              <w:t>轮胎拆</w:t>
            </w:r>
            <w:r>
              <w:rPr>
                <w:spacing w:val="1"/>
                <w:sz w:val="20"/>
                <w:szCs w:val="20"/>
              </w:rPr>
              <w:t xml:space="preserve"> </w:t>
            </w:r>
            <w:r>
              <w:rPr>
                <w:spacing w:val="4"/>
                <w:sz w:val="20"/>
                <w:szCs w:val="20"/>
              </w:rPr>
              <w:t>装机</w:t>
            </w:r>
          </w:p>
        </w:tc>
        <w:tc>
          <w:tcPr>
            <w:tcW w:w="707" w:type="dxa"/>
            <w:vAlign w:val="top"/>
          </w:tcPr>
          <w:p w14:paraId="412EFD03">
            <w:pPr>
              <w:pStyle w:val="6"/>
              <w:spacing w:before="250" w:line="228" w:lineRule="auto"/>
              <w:ind w:left="143"/>
              <w:rPr>
                <w:sz w:val="20"/>
                <w:szCs w:val="20"/>
              </w:rPr>
            </w:pPr>
            <w:r>
              <w:rPr>
                <w:spacing w:val="4"/>
                <w:sz w:val="20"/>
                <w:szCs w:val="20"/>
              </w:rPr>
              <w:t>频发</w:t>
            </w:r>
          </w:p>
        </w:tc>
        <w:tc>
          <w:tcPr>
            <w:tcW w:w="911" w:type="dxa"/>
            <w:vAlign w:val="top"/>
          </w:tcPr>
          <w:p w14:paraId="408D530D">
            <w:pPr>
              <w:pStyle w:val="6"/>
              <w:spacing w:before="249" w:line="228" w:lineRule="auto"/>
              <w:ind w:left="144"/>
              <w:rPr>
                <w:sz w:val="20"/>
                <w:szCs w:val="20"/>
              </w:rPr>
            </w:pPr>
            <w:r>
              <w:rPr>
                <w:spacing w:val="6"/>
                <w:sz w:val="20"/>
                <w:szCs w:val="20"/>
              </w:rPr>
              <w:t>类比法</w:t>
            </w:r>
          </w:p>
        </w:tc>
        <w:tc>
          <w:tcPr>
            <w:tcW w:w="852" w:type="dxa"/>
            <w:vAlign w:val="top"/>
          </w:tcPr>
          <w:p w14:paraId="35815EBC">
            <w:pPr>
              <w:pStyle w:val="6"/>
              <w:spacing w:before="282" w:line="189" w:lineRule="auto"/>
              <w:ind w:left="174"/>
              <w:rPr>
                <w:sz w:val="20"/>
                <w:szCs w:val="20"/>
              </w:rPr>
            </w:pPr>
            <w:r>
              <w:rPr>
                <w:spacing w:val="2"/>
                <w:sz w:val="20"/>
                <w:szCs w:val="20"/>
              </w:rPr>
              <w:t>70-80</w:t>
            </w:r>
          </w:p>
        </w:tc>
        <w:tc>
          <w:tcPr>
            <w:tcW w:w="773" w:type="dxa"/>
            <w:vMerge w:val="continue"/>
            <w:tcBorders>
              <w:top w:val="nil"/>
              <w:bottom w:val="nil"/>
            </w:tcBorders>
            <w:vAlign w:val="top"/>
          </w:tcPr>
          <w:p w14:paraId="4EA709F4">
            <w:pPr>
              <w:rPr>
                <w:rFonts w:ascii="Arial"/>
                <w:sz w:val="21"/>
              </w:rPr>
            </w:pPr>
          </w:p>
        </w:tc>
        <w:tc>
          <w:tcPr>
            <w:tcW w:w="699" w:type="dxa"/>
            <w:vAlign w:val="top"/>
          </w:tcPr>
          <w:p w14:paraId="76C64861">
            <w:pPr>
              <w:pStyle w:val="6"/>
              <w:spacing w:before="282" w:line="189" w:lineRule="auto"/>
              <w:ind w:left="200"/>
              <w:rPr>
                <w:sz w:val="20"/>
                <w:szCs w:val="20"/>
              </w:rPr>
            </w:pPr>
            <w:r>
              <w:rPr>
                <w:spacing w:val="3"/>
                <w:sz w:val="20"/>
                <w:szCs w:val="20"/>
              </w:rPr>
              <w:t>-20</w:t>
            </w:r>
          </w:p>
        </w:tc>
        <w:tc>
          <w:tcPr>
            <w:tcW w:w="847" w:type="dxa"/>
            <w:vAlign w:val="top"/>
          </w:tcPr>
          <w:p w14:paraId="19E8162E">
            <w:pPr>
              <w:pStyle w:val="6"/>
              <w:spacing w:before="249" w:line="228" w:lineRule="auto"/>
              <w:ind w:left="120"/>
              <w:rPr>
                <w:sz w:val="20"/>
                <w:szCs w:val="20"/>
              </w:rPr>
            </w:pPr>
            <w:r>
              <w:rPr>
                <w:spacing w:val="6"/>
                <w:sz w:val="20"/>
                <w:szCs w:val="20"/>
              </w:rPr>
              <w:t>类比法</w:t>
            </w:r>
          </w:p>
        </w:tc>
        <w:tc>
          <w:tcPr>
            <w:tcW w:w="980" w:type="dxa"/>
            <w:vAlign w:val="top"/>
          </w:tcPr>
          <w:p w14:paraId="437674A0">
            <w:pPr>
              <w:pStyle w:val="6"/>
              <w:spacing w:before="282" w:line="189" w:lineRule="auto"/>
              <w:ind w:left="247"/>
              <w:rPr>
                <w:sz w:val="20"/>
                <w:szCs w:val="20"/>
              </w:rPr>
            </w:pPr>
            <w:r>
              <w:rPr>
                <w:spacing w:val="2"/>
                <w:sz w:val="20"/>
                <w:szCs w:val="20"/>
              </w:rPr>
              <w:t>50-60</w:t>
            </w:r>
          </w:p>
        </w:tc>
        <w:tc>
          <w:tcPr>
            <w:tcW w:w="958" w:type="dxa"/>
            <w:tcBorders>
              <w:right w:val="single" w:color="000000" w:sz="10" w:space="0"/>
            </w:tcBorders>
            <w:vAlign w:val="top"/>
          </w:tcPr>
          <w:p w14:paraId="79F8D75B">
            <w:pPr>
              <w:pStyle w:val="6"/>
              <w:spacing w:before="282" w:line="189" w:lineRule="auto"/>
              <w:ind w:left="201"/>
              <w:rPr>
                <w:sz w:val="20"/>
                <w:szCs w:val="20"/>
              </w:rPr>
            </w:pPr>
            <w:r>
              <w:rPr>
                <w:spacing w:val="2"/>
                <w:sz w:val="20"/>
                <w:szCs w:val="20"/>
              </w:rPr>
              <w:t>2400</w:t>
            </w:r>
          </w:p>
        </w:tc>
      </w:tr>
      <w:tr w14:paraId="2DE598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3" w:hRule="atLeast"/>
        </w:trPr>
        <w:tc>
          <w:tcPr>
            <w:tcW w:w="477" w:type="dxa"/>
            <w:vMerge w:val="continue"/>
            <w:tcBorders>
              <w:top w:val="nil"/>
              <w:left w:val="single" w:color="000000" w:sz="10" w:space="0"/>
              <w:bottom w:val="nil"/>
            </w:tcBorders>
            <w:vAlign w:val="top"/>
          </w:tcPr>
          <w:p w14:paraId="74D00907">
            <w:pPr>
              <w:rPr>
                <w:rFonts w:ascii="Arial"/>
                <w:sz w:val="21"/>
              </w:rPr>
            </w:pPr>
          </w:p>
        </w:tc>
        <w:tc>
          <w:tcPr>
            <w:tcW w:w="804" w:type="dxa"/>
            <w:vMerge w:val="continue"/>
            <w:tcBorders>
              <w:top w:val="nil"/>
              <w:bottom w:val="nil"/>
            </w:tcBorders>
            <w:vAlign w:val="top"/>
          </w:tcPr>
          <w:p w14:paraId="1211B87F">
            <w:pPr>
              <w:rPr>
                <w:rFonts w:ascii="Arial"/>
                <w:sz w:val="21"/>
              </w:rPr>
            </w:pPr>
          </w:p>
        </w:tc>
        <w:tc>
          <w:tcPr>
            <w:tcW w:w="894" w:type="dxa"/>
            <w:vAlign w:val="top"/>
          </w:tcPr>
          <w:p w14:paraId="7725D961">
            <w:pPr>
              <w:pStyle w:val="6"/>
              <w:spacing w:before="97" w:line="228" w:lineRule="auto"/>
              <w:ind w:left="128"/>
              <w:rPr>
                <w:sz w:val="20"/>
                <w:szCs w:val="20"/>
              </w:rPr>
            </w:pPr>
            <w:r>
              <w:rPr>
                <w:spacing w:val="7"/>
                <w:sz w:val="20"/>
                <w:szCs w:val="20"/>
              </w:rPr>
              <w:t>报废汽</w:t>
            </w:r>
          </w:p>
          <w:p w14:paraId="75DA8886">
            <w:pPr>
              <w:pStyle w:val="6"/>
              <w:spacing w:before="72" w:line="228" w:lineRule="auto"/>
              <w:ind w:left="131"/>
              <w:rPr>
                <w:sz w:val="20"/>
                <w:szCs w:val="20"/>
              </w:rPr>
            </w:pPr>
            <w:r>
              <w:rPr>
                <w:spacing w:val="6"/>
                <w:sz w:val="20"/>
                <w:szCs w:val="20"/>
              </w:rPr>
              <w:t>车废油</w:t>
            </w:r>
          </w:p>
          <w:p w14:paraId="552EDA66">
            <w:pPr>
              <w:pStyle w:val="6"/>
              <w:spacing w:before="75" w:line="228" w:lineRule="auto"/>
              <w:ind w:left="131"/>
              <w:rPr>
                <w:sz w:val="20"/>
                <w:szCs w:val="20"/>
              </w:rPr>
            </w:pPr>
            <w:r>
              <w:rPr>
                <w:spacing w:val="6"/>
                <w:sz w:val="20"/>
                <w:szCs w:val="20"/>
              </w:rPr>
              <w:t>液抽取</w:t>
            </w:r>
          </w:p>
          <w:p w14:paraId="258BF46A">
            <w:pPr>
              <w:pStyle w:val="6"/>
              <w:spacing w:before="71" w:line="199" w:lineRule="auto"/>
              <w:ind w:left="337"/>
              <w:rPr>
                <w:sz w:val="20"/>
                <w:szCs w:val="20"/>
              </w:rPr>
            </w:pPr>
            <w:r>
              <w:rPr>
                <w:spacing w:val="1"/>
                <w:sz w:val="20"/>
                <w:szCs w:val="20"/>
              </w:rPr>
              <w:t>机</w:t>
            </w:r>
          </w:p>
        </w:tc>
        <w:tc>
          <w:tcPr>
            <w:tcW w:w="707" w:type="dxa"/>
            <w:vAlign w:val="top"/>
          </w:tcPr>
          <w:p w14:paraId="22B1BA11">
            <w:pPr>
              <w:spacing w:line="251" w:lineRule="auto"/>
              <w:rPr>
                <w:rFonts w:ascii="Arial"/>
                <w:sz w:val="21"/>
              </w:rPr>
            </w:pPr>
          </w:p>
          <w:p w14:paraId="51D41946">
            <w:pPr>
              <w:spacing w:line="251" w:lineRule="auto"/>
              <w:rPr>
                <w:rFonts w:ascii="Arial"/>
                <w:sz w:val="21"/>
              </w:rPr>
            </w:pPr>
          </w:p>
          <w:p w14:paraId="27A341AD">
            <w:pPr>
              <w:pStyle w:val="6"/>
              <w:spacing w:before="65" w:line="228" w:lineRule="auto"/>
              <w:ind w:left="143"/>
              <w:rPr>
                <w:sz w:val="20"/>
                <w:szCs w:val="20"/>
              </w:rPr>
            </w:pPr>
            <w:r>
              <w:rPr>
                <w:spacing w:val="4"/>
                <w:sz w:val="20"/>
                <w:szCs w:val="20"/>
              </w:rPr>
              <w:t>频发</w:t>
            </w:r>
          </w:p>
        </w:tc>
        <w:tc>
          <w:tcPr>
            <w:tcW w:w="911" w:type="dxa"/>
            <w:vAlign w:val="top"/>
          </w:tcPr>
          <w:p w14:paraId="02F7B69C">
            <w:pPr>
              <w:spacing w:line="250" w:lineRule="auto"/>
              <w:rPr>
                <w:rFonts w:ascii="Arial"/>
                <w:sz w:val="21"/>
              </w:rPr>
            </w:pPr>
          </w:p>
          <w:p w14:paraId="21E0E4A1">
            <w:pPr>
              <w:spacing w:line="251" w:lineRule="auto"/>
              <w:rPr>
                <w:rFonts w:ascii="Arial"/>
                <w:sz w:val="21"/>
              </w:rPr>
            </w:pPr>
          </w:p>
          <w:p w14:paraId="25A15DFB">
            <w:pPr>
              <w:pStyle w:val="6"/>
              <w:spacing w:before="65" w:line="228" w:lineRule="auto"/>
              <w:ind w:left="144"/>
              <w:rPr>
                <w:sz w:val="20"/>
                <w:szCs w:val="20"/>
              </w:rPr>
            </w:pPr>
            <w:r>
              <w:rPr>
                <w:spacing w:val="6"/>
                <w:sz w:val="20"/>
                <w:szCs w:val="20"/>
              </w:rPr>
              <w:t>类比法</w:t>
            </w:r>
          </w:p>
        </w:tc>
        <w:tc>
          <w:tcPr>
            <w:tcW w:w="852" w:type="dxa"/>
            <w:vAlign w:val="top"/>
          </w:tcPr>
          <w:p w14:paraId="1302548A">
            <w:pPr>
              <w:spacing w:line="267" w:lineRule="auto"/>
              <w:rPr>
                <w:rFonts w:ascii="Arial"/>
                <w:sz w:val="21"/>
              </w:rPr>
            </w:pPr>
          </w:p>
          <w:p w14:paraId="66EFAA4B">
            <w:pPr>
              <w:spacing w:line="267" w:lineRule="auto"/>
              <w:rPr>
                <w:rFonts w:ascii="Arial"/>
                <w:sz w:val="21"/>
              </w:rPr>
            </w:pPr>
          </w:p>
          <w:p w14:paraId="4C20CA9B">
            <w:pPr>
              <w:pStyle w:val="6"/>
              <w:spacing w:before="65" w:line="189" w:lineRule="auto"/>
              <w:ind w:left="174"/>
              <w:rPr>
                <w:sz w:val="20"/>
                <w:szCs w:val="20"/>
              </w:rPr>
            </w:pPr>
            <w:r>
              <w:rPr>
                <w:spacing w:val="2"/>
                <w:sz w:val="20"/>
                <w:szCs w:val="20"/>
              </w:rPr>
              <w:t>75-85</w:t>
            </w:r>
          </w:p>
        </w:tc>
        <w:tc>
          <w:tcPr>
            <w:tcW w:w="773" w:type="dxa"/>
            <w:vMerge w:val="continue"/>
            <w:tcBorders>
              <w:top w:val="nil"/>
              <w:bottom w:val="nil"/>
            </w:tcBorders>
            <w:vAlign w:val="top"/>
          </w:tcPr>
          <w:p w14:paraId="443CBF88">
            <w:pPr>
              <w:rPr>
                <w:rFonts w:ascii="Arial"/>
                <w:sz w:val="21"/>
              </w:rPr>
            </w:pPr>
          </w:p>
        </w:tc>
        <w:tc>
          <w:tcPr>
            <w:tcW w:w="699" w:type="dxa"/>
            <w:vAlign w:val="top"/>
          </w:tcPr>
          <w:p w14:paraId="43265477">
            <w:pPr>
              <w:spacing w:line="267" w:lineRule="auto"/>
              <w:rPr>
                <w:rFonts w:ascii="Arial"/>
                <w:sz w:val="21"/>
              </w:rPr>
            </w:pPr>
          </w:p>
          <w:p w14:paraId="1E154318">
            <w:pPr>
              <w:spacing w:line="267" w:lineRule="auto"/>
              <w:rPr>
                <w:rFonts w:ascii="Arial"/>
                <w:sz w:val="21"/>
              </w:rPr>
            </w:pPr>
          </w:p>
          <w:p w14:paraId="73E95518">
            <w:pPr>
              <w:pStyle w:val="6"/>
              <w:spacing w:before="65" w:line="189" w:lineRule="auto"/>
              <w:ind w:left="200"/>
              <w:rPr>
                <w:sz w:val="20"/>
                <w:szCs w:val="20"/>
              </w:rPr>
            </w:pPr>
            <w:r>
              <w:rPr>
                <w:spacing w:val="3"/>
                <w:sz w:val="20"/>
                <w:szCs w:val="20"/>
              </w:rPr>
              <w:t>-20</w:t>
            </w:r>
          </w:p>
        </w:tc>
        <w:tc>
          <w:tcPr>
            <w:tcW w:w="847" w:type="dxa"/>
            <w:vAlign w:val="top"/>
          </w:tcPr>
          <w:p w14:paraId="2D68519C">
            <w:pPr>
              <w:spacing w:line="250" w:lineRule="auto"/>
              <w:rPr>
                <w:rFonts w:ascii="Arial"/>
                <w:sz w:val="21"/>
              </w:rPr>
            </w:pPr>
          </w:p>
          <w:p w14:paraId="7383A4BA">
            <w:pPr>
              <w:spacing w:line="251" w:lineRule="auto"/>
              <w:rPr>
                <w:rFonts w:ascii="Arial"/>
                <w:sz w:val="21"/>
              </w:rPr>
            </w:pPr>
          </w:p>
          <w:p w14:paraId="35844E5A">
            <w:pPr>
              <w:pStyle w:val="6"/>
              <w:spacing w:before="65" w:line="228" w:lineRule="auto"/>
              <w:ind w:left="120"/>
              <w:rPr>
                <w:sz w:val="20"/>
                <w:szCs w:val="20"/>
              </w:rPr>
            </w:pPr>
            <w:r>
              <w:rPr>
                <w:spacing w:val="6"/>
                <w:sz w:val="20"/>
                <w:szCs w:val="20"/>
              </w:rPr>
              <w:t>类比法</w:t>
            </w:r>
          </w:p>
        </w:tc>
        <w:tc>
          <w:tcPr>
            <w:tcW w:w="980" w:type="dxa"/>
            <w:vAlign w:val="top"/>
          </w:tcPr>
          <w:p w14:paraId="6CFD9E00">
            <w:pPr>
              <w:spacing w:line="267" w:lineRule="auto"/>
              <w:rPr>
                <w:rFonts w:ascii="Arial"/>
                <w:sz w:val="21"/>
              </w:rPr>
            </w:pPr>
          </w:p>
          <w:p w14:paraId="0542195D">
            <w:pPr>
              <w:spacing w:line="267" w:lineRule="auto"/>
              <w:rPr>
                <w:rFonts w:ascii="Arial"/>
                <w:sz w:val="21"/>
              </w:rPr>
            </w:pPr>
          </w:p>
          <w:p w14:paraId="0EDFE576">
            <w:pPr>
              <w:pStyle w:val="6"/>
              <w:spacing w:before="65" w:line="189" w:lineRule="auto"/>
              <w:ind w:left="247"/>
              <w:rPr>
                <w:sz w:val="20"/>
                <w:szCs w:val="20"/>
              </w:rPr>
            </w:pPr>
            <w:r>
              <w:rPr>
                <w:spacing w:val="2"/>
                <w:sz w:val="20"/>
                <w:szCs w:val="20"/>
              </w:rPr>
              <w:t>55-65</w:t>
            </w:r>
          </w:p>
        </w:tc>
        <w:tc>
          <w:tcPr>
            <w:tcW w:w="958" w:type="dxa"/>
            <w:tcBorders>
              <w:right w:val="single" w:color="000000" w:sz="10" w:space="0"/>
            </w:tcBorders>
            <w:vAlign w:val="top"/>
          </w:tcPr>
          <w:p w14:paraId="16CB7EEF">
            <w:pPr>
              <w:spacing w:line="267" w:lineRule="auto"/>
              <w:rPr>
                <w:rFonts w:ascii="Arial"/>
                <w:sz w:val="21"/>
              </w:rPr>
            </w:pPr>
          </w:p>
          <w:p w14:paraId="292078C0">
            <w:pPr>
              <w:spacing w:line="267" w:lineRule="auto"/>
              <w:rPr>
                <w:rFonts w:ascii="Arial"/>
                <w:sz w:val="21"/>
              </w:rPr>
            </w:pPr>
          </w:p>
          <w:p w14:paraId="4DC4E2FA">
            <w:pPr>
              <w:pStyle w:val="6"/>
              <w:spacing w:before="65" w:line="189" w:lineRule="auto"/>
              <w:ind w:left="201"/>
              <w:rPr>
                <w:sz w:val="20"/>
                <w:szCs w:val="20"/>
              </w:rPr>
            </w:pPr>
            <w:r>
              <w:rPr>
                <w:spacing w:val="2"/>
                <w:sz w:val="20"/>
                <w:szCs w:val="20"/>
              </w:rPr>
              <w:t>2400</w:t>
            </w:r>
          </w:p>
        </w:tc>
      </w:tr>
      <w:tr w14:paraId="384C6C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477" w:type="dxa"/>
            <w:vMerge w:val="continue"/>
            <w:tcBorders>
              <w:top w:val="nil"/>
              <w:left w:val="single" w:color="000000" w:sz="10" w:space="0"/>
              <w:bottom w:val="nil"/>
            </w:tcBorders>
            <w:vAlign w:val="top"/>
          </w:tcPr>
          <w:p w14:paraId="66F8503F">
            <w:pPr>
              <w:rPr>
                <w:rFonts w:ascii="Arial"/>
                <w:sz w:val="21"/>
              </w:rPr>
            </w:pPr>
          </w:p>
        </w:tc>
        <w:tc>
          <w:tcPr>
            <w:tcW w:w="804" w:type="dxa"/>
            <w:vMerge w:val="continue"/>
            <w:tcBorders>
              <w:top w:val="nil"/>
              <w:bottom w:val="nil"/>
            </w:tcBorders>
            <w:vAlign w:val="top"/>
          </w:tcPr>
          <w:p w14:paraId="0D6EAD9B">
            <w:pPr>
              <w:rPr>
                <w:rFonts w:ascii="Arial"/>
                <w:sz w:val="21"/>
              </w:rPr>
            </w:pPr>
          </w:p>
        </w:tc>
        <w:tc>
          <w:tcPr>
            <w:tcW w:w="894" w:type="dxa"/>
            <w:vAlign w:val="top"/>
          </w:tcPr>
          <w:p w14:paraId="7A290F99">
            <w:pPr>
              <w:pStyle w:val="6"/>
              <w:spacing w:before="211" w:line="227" w:lineRule="auto"/>
              <w:ind w:left="236"/>
              <w:rPr>
                <w:sz w:val="20"/>
                <w:szCs w:val="20"/>
              </w:rPr>
            </w:pPr>
            <w:r>
              <w:rPr>
                <w:spacing w:val="4"/>
                <w:sz w:val="20"/>
                <w:szCs w:val="20"/>
              </w:rPr>
              <w:t>风机</w:t>
            </w:r>
          </w:p>
        </w:tc>
        <w:tc>
          <w:tcPr>
            <w:tcW w:w="707" w:type="dxa"/>
            <w:vAlign w:val="top"/>
          </w:tcPr>
          <w:p w14:paraId="2CF747E5">
            <w:pPr>
              <w:pStyle w:val="6"/>
              <w:spacing w:before="204" w:line="228" w:lineRule="auto"/>
              <w:ind w:left="143"/>
              <w:rPr>
                <w:sz w:val="20"/>
                <w:szCs w:val="20"/>
              </w:rPr>
            </w:pPr>
            <w:r>
              <w:rPr>
                <w:spacing w:val="4"/>
                <w:sz w:val="20"/>
                <w:szCs w:val="20"/>
              </w:rPr>
              <w:t>频发</w:t>
            </w:r>
          </w:p>
        </w:tc>
        <w:tc>
          <w:tcPr>
            <w:tcW w:w="911" w:type="dxa"/>
            <w:vAlign w:val="top"/>
          </w:tcPr>
          <w:p w14:paraId="3CE7545D">
            <w:pPr>
              <w:pStyle w:val="6"/>
              <w:spacing w:before="203" w:line="228" w:lineRule="auto"/>
              <w:ind w:left="144"/>
              <w:rPr>
                <w:sz w:val="20"/>
                <w:szCs w:val="20"/>
              </w:rPr>
            </w:pPr>
            <w:r>
              <w:rPr>
                <w:spacing w:val="6"/>
                <w:sz w:val="20"/>
                <w:szCs w:val="20"/>
              </w:rPr>
              <w:t>类比法</w:t>
            </w:r>
          </w:p>
        </w:tc>
        <w:tc>
          <w:tcPr>
            <w:tcW w:w="852" w:type="dxa"/>
            <w:vAlign w:val="top"/>
          </w:tcPr>
          <w:p w14:paraId="394DFF32">
            <w:pPr>
              <w:pStyle w:val="6"/>
              <w:spacing w:before="236" w:line="189" w:lineRule="auto"/>
              <w:ind w:left="174"/>
              <w:rPr>
                <w:sz w:val="20"/>
                <w:szCs w:val="20"/>
              </w:rPr>
            </w:pPr>
            <w:r>
              <w:rPr>
                <w:spacing w:val="2"/>
                <w:sz w:val="20"/>
                <w:szCs w:val="20"/>
              </w:rPr>
              <w:t>75-85</w:t>
            </w:r>
          </w:p>
        </w:tc>
        <w:tc>
          <w:tcPr>
            <w:tcW w:w="773" w:type="dxa"/>
            <w:vMerge w:val="continue"/>
            <w:tcBorders>
              <w:top w:val="nil"/>
              <w:bottom w:val="nil"/>
            </w:tcBorders>
            <w:vAlign w:val="top"/>
          </w:tcPr>
          <w:p w14:paraId="643D6086">
            <w:pPr>
              <w:rPr>
                <w:rFonts w:ascii="Arial"/>
                <w:sz w:val="21"/>
              </w:rPr>
            </w:pPr>
          </w:p>
        </w:tc>
        <w:tc>
          <w:tcPr>
            <w:tcW w:w="699" w:type="dxa"/>
            <w:vAlign w:val="top"/>
          </w:tcPr>
          <w:p w14:paraId="60A50A74">
            <w:pPr>
              <w:pStyle w:val="6"/>
              <w:spacing w:before="236" w:line="189" w:lineRule="auto"/>
              <w:ind w:left="200"/>
              <w:rPr>
                <w:sz w:val="20"/>
                <w:szCs w:val="20"/>
              </w:rPr>
            </w:pPr>
            <w:r>
              <w:rPr>
                <w:spacing w:val="3"/>
                <w:sz w:val="20"/>
                <w:szCs w:val="20"/>
              </w:rPr>
              <w:t>-20</w:t>
            </w:r>
          </w:p>
        </w:tc>
        <w:tc>
          <w:tcPr>
            <w:tcW w:w="847" w:type="dxa"/>
            <w:vAlign w:val="top"/>
          </w:tcPr>
          <w:p w14:paraId="6FCF209F">
            <w:pPr>
              <w:pStyle w:val="6"/>
              <w:spacing w:before="203" w:line="228" w:lineRule="auto"/>
              <w:ind w:left="120"/>
              <w:rPr>
                <w:sz w:val="20"/>
                <w:szCs w:val="20"/>
              </w:rPr>
            </w:pPr>
            <w:r>
              <w:rPr>
                <w:spacing w:val="6"/>
                <w:sz w:val="20"/>
                <w:szCs w:val="20"/>
              </w:rPr>
              <w:t>类比法</w:t>
            </w:r>
          </w:p>
        </w:tc>
        <w:tc>
          <w:tcPr>
            <w:tcW w:w="980" w:type="dxa"/>
            <w:vAlign w:val="top"/>
          </w:tcPr>
          <w:p w14:paraId="644DADC6">
            <w:pPr>
              <w:pStyle w:val="6"/>
              <w:spacing w:before="236" w:line="189" w:lineRule="auto"/>
              <w:ind w:left="244"/>
              <w:rPr>
                <w:sz w:val="20"/>
                <w:szCs w:val="20"/>
              </w:rPr>
            </w:pPr>
            <w:r>
              <w:rPr>
                <w:spacing w:val="2"/>
                <w:sz w:val="20"/>
                <w:szCs w:val="20"/>
              </w:rPr>
              <w:t>65-75</w:t>
            </w:r>
          </w:p>
        </w:tc>
        <w:tc>
          <w:tcPr>
            <w:tcW w:w="958" w:type="dxa"/>
            <w:tcBorders>
              <w:right w:val="single" w:color="000000" w:sz="10" w:space="0"/>
            </w:tcBorders>
            <w:vAlign w:val="top"/>
          </w:tcPr>
          <w:p w14:paraId="5C83DCBE">
            <w:pPr>
              <w:pStyle w:val="6"/>
              <w:spacing w:before="236" w:line="189" w:lineRule="auto"/>
              <w:ind w:left="201"/>
              <w:rPr>
                <w:sz w:val="20"/>
                <w:szCs w:val="20"/>
              </w:rPr>
            </w:pPr>
            <w:r>
              <w:rPr>
                <w:spacing w:val="2"/>
                <w:sz w:val="20"/>
                <w:szCs w:val="20"/>
              </w:rPr>
              <w:t>2400</w:t>
            </w:r>
          </w:p>
        </w:tc>
      </w:tr>
      <w:tr w14:paraId="1088B4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9" w:hRule="atLeast"/>
        </w:trPr>
        <w:tc>
          <w:tcPr>
            <w:tcW w:w="477" w:type="dxa"/>
            <w:vMerge w:val="continue"/>
            <w:tcBorders>
              <w:top w:val="nil"/>
              <w:left w:val="single" w:color="000000" w:sz="10" w:space="0"/>
              <w:bottom w:val="single" w:color="000000" w:sz="10" w:space="0"/>
            </w:tcBorders>
            <w:vAlign w:val="top"/>
          </w:tcPr>
          <w:p w14:paraId="452008DF">
            <w:pPr>
              <w:rPr>
                <w:rFonts w:ascii="Arial"/>
                <w:sz w:val="21"/>
              </w:rPr>
            </w:pPr>
          </w:p>
        </w:tc>
        <w:tc>
          <w:tcPr>
            <w:tcW w:w="804" w:type="dxa"/>
            <w:vMerge w:val="continue"/>
            <w:tcBorders>
              <w:top w:val="nil"/>
              <w:bottom w:val="single" w:color="000000" w:sz="10" w:space="0"/>
            </w:tcBorders>
            <w:vAlign w:val="top"/>
          </w:tcPr>
          <w:p w14:paraId="31A9D5BD">
            <w:pPr>
              <w:rPr>
                <w:rFonts w:ascii="Arial"/>
                <w:sz w:val="21"/>
              </w:rPr>
            </w:pPr>
          </w:p>
        </w:tc>
        <w:tc>
          <w:tcPr>
            <w:tcW w:w="894" w:type="dxa"/>
            <w:tcBorders>
              <w:bottom w:val="single" w:color="000000" w:sz="10" w:space="0"/>
            </w:tcBorders>
            <w:vAlign w:val="top"/>
          </w:tcPr>
          <w:p w14:paraId="711DB539">
            <w:pPr>
              <w:pStyle w:val="6"/>
              <w:spacing w:before="211" w:line="227" w:lineRule="auto"/>
              <w:ind w:left="236"/>
              <w:rPr>
                <w:sz w:val="20"/>
                <w:szCs w:val="20"/>
              </w:rPr>
            </w:pPr>
            <w:r>
              <w:rPr>
                <w:spacing w:val="4"/>
                <w:sz w:val="20"/>
                <w:szCs w:val="20"/>
              </w:rPr>
              <w:t>风机</w:t>
            </w:r>
          </w:p>
        </w:tc>
        <w:tc>
          <w:tcPr>
            <w:tcW w:w="707" w:type="dxa"/>
            <w:tcBorders>
              <w:bottom w:val="single" w:color="000000" w:sz="10" w:space="0"/>
            </w:tcBorders>
            <w:vAlign w:val="top"/>
          </w:tcPr>
          <w:p w14:paraId="7728A489">
            <w:pPr>
              <w:pStyle w:val="6"/>
              <w:spacing w:before="206" w:line="228" w:lineRule="auto"/>
              <w:ind w:left="143"/>
              <w:rPr>
                <w:sz w:val="20"/>
                <w:szCs w:val="20"/>
              </w:rPr>
            </w:pPr>
            <w:r>
              <w:rPr>
                <w:spacing w:val="4"/>
                <w:sz w:val="20"/>
                <w:szCs w:val="20"/>
              </w:rPr>
              <w:t>频发</w:t>
            </w:r>
          </w:p>
        </w:tc>
        <w:tc>
          <w:tcPr>
            <w:tcW w:w="911" w:type="dxa"/>
            <w:tcBorders>
              <w:bottom w:val="single" w:color="000000" w:sz="10" w:space="0"/>
            </w:tcBorders>
            <w:vAlign w:val="top"/>
          </w:tcPr>
          <w:p w14:paraId="1D157E39">
            <w:pPr>
              <w:pStyle w:val="6"/>
              <w:spacing w:before="206" w:line="228" w:lineRule="auto"/>
              <w:ind w:left="144"/>
              <w:rPr>
                <w:sz w:val="20"/>
                <w:szCs w:val="20"/>
              </w:rPr>
            </w:pPr>
            <w:r>
              <w:rPr>
                <w:spacing w:val="6"/>
                <w:sz w:val="20"/>
                <w:szCs w:val="20"/>
              </w:rPr>
              <w:t>类比法</w:t>
            </w:r>
          </w:p>
        </w:tc>
        <w:tc>
          <w:tcPr>
            <w:tcW w:w="852" w:type="dxa"/>
            <w:tcBorders>
              <w:bottom w:val="single" w:color="000000" w:sz="10" w:space="0"/>
            </w:tcBorders>
            <w:vAlign w:val="top"/>
          </w:tcPr>
          <w:p w14:paraId="5FC0FB07">
            <w:pPr>
              <w:pStyle w:val="6"/>
              <w:spacing w:before="239" w:line="189" w:lineRule="auto"/>
              <w:ind w:left="174"/>
              <w:rPr>
                <w:sz w:val="20"/>
                <w:szCs w:val="20"/>
              </w:rPr>
            </w:pPr>
            <w:r>
              <w:rPr>
                <w:spacing w:val="2"/>
                <w:sz w:val="20"/>
                <w:szCs w:val="20"/>
              </w:rPr>
              <w:t>75-85</w:t>
            </w:r>
          </w:p>
        </w:tc>
        <w:tc>
          <w:tcPr>
            <w:tcW w:w="773" w:type="dxa"/>
            <w:vMerge w:val="continue"/>
            <w:tcBorders>
              <w:top w:val="nil"/>
              <w:bottom w:val="single" w:color="000000" w:sz="10" w:space="0"/>
            </w:tcBorders>
            <w:vAlign w:val="top"/>
          </w:tcPr>
          <w:p w14:paraId="67B9CE4E">
            <w:pPr>
              <w:rPr>
                <w:rFonts w:ascii="Arial"/>
                <w:sz w:val="21"/>
              </w:rPr>
            </w:pPr>
          </w:p>
        </w:tc>
        <w:tc>
          <w:tcPr>
            <w:tcW w:w="699" w:type="dxa"/>
            <w:tcBorders>
              <w:bottom w:val="single" w:color="000000" w:sz="10" w:space="0"/>
            </w:tcBorders>
            <w:vAlign w:val="top"/>
          </w:tcPr>
          <w:p w14:paraId="424160ED">
            <w:pPr>
              <w:pStyle w:val="6"/>
              <w:spacing w:before="239" w:line="189" w:lineRule="auto"/>
              <w:ind w:left="200"/>
              <w:rPr>
                <w:sz w:val="20"/>
                <w:szCs w:val="20"/>
              </w:rPr>
            </w:pPr>
            <w:r>
              <w:rPr>
                <w:spacing w:val="3"/>
                <w:sz w:val="20"/>
                <w:szCs w:val="20"/>
              </w:rPr>
              <w:t>-20</w:t>
            </w:r>
          </w:p>
        </w:tc>
        <w:tc>
          <w:tcPr>
            <w:tcW w:w="847" w:type="dxa"/>
            <w:tcBorders>
              <w:bottom w:val="single" w:color="000000" w:sz="10" w:space="0"/>
            </w:tcBorders>
            <w:vAlign w:val="top"/>
          </w:tcPr>
          <w:p w14:paraId="3BFC78B2">
            <w:pPr>
              <w:pStyle w:val="6"/>
              <w:spacing w:before="206" w:line="228" w:lineRule="auto"/>
              <w:ind w:left="120"/>
              <w:rPr>
                <w:sz w:val="20"/>
                <w:szCs w:val="20"/>
              </w:rPr>
            </w:pPr>
            <w:r>
              <w:rPr>
                <w:spacing w:val="6"/>
                <w:sz w:val="20"/>
                <w:szCs w:val="20"/>
              </w:rPr>
              <w:t>类比法</w:t>
            </w:r>
          </w:p>
        </w:tc>
        <w:tc>
          <w:tcPr>
            <w:tcW w:w="980" w:type="dxa"/>
            <w:tcBorders>
              <w:bottom w:val="single" w:color="000000" w:sz="10" w:space="0"/>
            </w:tcBorders>
            <w:vAlign w:val="top"/>
          </w:tcPr>
          <w:p w14:paraId="623BA672">
            <w:pPr>
              <w:pStyle w:val="6"/>
              <w:spacing w:before="239" w:line="189" w:lineRule="auto"/>
              <w:ind w:left="244"/>
              <w:rPr>
                <w:sz w:val="20"/>
                <w:szCs w:val="20"/>
              </w:rPr>
            </w:pPr>
            <w:r>
              <w:rPr>
                <w:spacing w:val="2"/>
                <w:sz w:val="20"/>
                <w:szCs w:val="20"/>
              </w:rPr>
              <w:t>65-75</w:t>
            </w:r>
          </w:p>
        </w:tc>
        <w:tc>
          <w:tcPr>
            <w:tcW w:w="958" w:type="dxa"/>
            <w:tcBorders>
              <w:bottom w:val="single" w:color="000000" w:sz="10" w:space="0"/>
              <w:right w:val="single" w:color="000000" w:sz="10" w:space="0"/>
            </w:tcBorders>
            <w:vAlign w:val="top"/>
          </w:tcPr>
          <w:p w14:paraId="4B9F5BC5">
            <w:pPr>
              <w:pStyle w:val="6"/>
              <w:spacing w:before="239" w:line="189" w:lineRule="auto"/>
              <w:ind w:left="201"/>
              <w:rPr>
                <w:sz w:val="20"/>
                <w:szCs w:val="20"/>
              </w:rPr>
            </w:pPr>
            <w:r>
              <w:rPr>
                <w:spacing w:val="2"/>
                <w:sz w:val="20"/>
                <w:szCs w:val="20"/>
              </w:rPr>
              <w:t>2400</w:t>
            </w:r>
          </w:p>
        </w:tc>
      </w:tr>
    </w:tbl>
    <w:p w14:paraId="7EC5EF98">
      <w:pPr>
        <w:pStyle w:val="2"/>
        <w:spacing w:line="235" w:lineRule="exact"/>
        <w:rPr>
          <w:sz w:val="20"/>
        </w:rPr>
      </w:pPr>
    </w:p>
    <w:p w14:paraId="52B78CA9">
      <w:pPr>
        <w:spacing w:line="235" w:lineRule="exact"/>
        <w:rPr>
          <w:sz w:val="20"/>
          <w:szCs w:val="20"/>
        </w:rPr>
        <w:sectPr>
          <w:footerReference r:id="rId74" w:type="default"/>
          <w:pgSz w:w="11906" w:h="16839"/>
          <w:pgMar w:top="1270" w:right="1489" w:bottom="1263" w:left="1488" w:header="0" w:footer="1097" w:gutter="0"/>
          <w:cols w:space="720" w:num="1"/>
        </w:sectPr>
      </w:pPr>
    </w:p>
    <w:tbl>
      <w:tblPr>
        <w:tblStyle w:val="5"/>
        <w:tblW w:w="890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1710"/>
        <w:gridCol w:w="774"/>
        <w:gridCol w:w="905"/>
        <w:gridCol w:w="832"/>
        <w:gridCol w:w="957"/>
        <w:gridCol w:w="797"/>
        <w:gridCol w:w="820"/>
        <w:gridCol w:w="802"/>
        <w:gridCol w:w="828"/>
      </w:tblGrid>
      <w:tr w14:paraId="310488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16" w:hRule="atLeast"/>
        </w:trPr>
        <w:tc>
          <w:tcPr>
            <w:tcW w:w="477" w:type="dxa"/>
            <w:vMerge w:val="restart"/>
            <w:tcBorders>
              <w:top w:val="single" w:color="000000" w:sz="10" w:space="0"/>
              <w:left w:val="single" w:color="000000" w:sz="10" w:space="0"/>
              <w:bottom w:val="nil"/>
            </w:tcBorders>
            <w:vAlign w:val="top"/>
          </w:tcPr>
          <w:p w14:paraId="7520C464">
            <w:pPr>
              <w:rPr>
                <w:rFonts w:ascii="Arial"/>
                <w:sz w:val="21"/>
              </w:rPr>
            </w:pPr>
          </w:p>
        </w:tc>
        <w:tc>
          <w:tcPr>
            <w:tcW w:w="8425" w:type="dxa"/>
            <w:gridSpan w:val="9"/>
            <w:tcBorders>
              <w:top w:val="single" w:color="000000" w:sz="10" w:space="0"/>
              <w:bottom w:val="single" w:color="000000" w:sz="10" w:space="0"/>
              <w:right w:val="single" w:color="000000" w:sz="10" w:space="0"/>
            </w:tcBorders>
            <w:vAlign w:val="top"/>
          </w:tcPr>
          <w:p w14:paraId="3314B9DE">
            <w:pPr>
              <w:pStyle w:val="6"/>
              <w:spacing w:before="21" w:line="218" w:lineRule="auto"/>
              <w:ind w:left="584"/>
            </w:pPr>
            <w:r>
              <w:rPr>
                <w:spacing w:val="1"/>
              </w:rPr>
              <w:t>根据《环境影响评价技术导则 声环境》（</w:t>
            </w:r>
            <w:r>
              <w:rPr>
                <w:rFonts w:ascii="Calibri" w:hAnsi="Calibri" w:eastAsia="Calibri" w:cs="Calibri"/>
              </w:rPr>
              <w:t>HJ</w:t>
            </w:r>
            <w:r>
              <w:rPr>
                <w:rFonts w:ascii="Calibri" w:hAnsi="Calibri" w:eastAsia="Calibri" w:cs="Calibri"/>
                <w:spacing w:val="21"/>
              </w:rPr>
              <w:t xml:space="preserve"> </w:t>
            </w:r>
            <w:r>
              <w:rPr>
                <w:rFonts w:ascii="Calibri" w:hAnsi="Calibri" w:eastAsia="Calibri" w:cs="Calibri"/>
                <w:spacing w:val="1"/>
              </w:rPr>
              <w:t>2.4</w:t>
            </w:r>
            <w:r>
              <w:rPr>
                <w:spacing w:val="1"/>
              </w:rPr>
              <w:t>—</w:t>
            </w:r>
            <w:r>
              <w:rPr>
                <w:rFonts w:ascii="Calibri" w:hAnsi="Calibri" w:eastAsia="Calibri" w:cs="Calibri"/>
                <w:spacing w:val="1"/>
              </w:rPr>
              <w:t>2021</w:t>
            </w:r>
            <w:r>
              <w:rPr>
                <w:spacing w:val="1"/>
              </w:rPr>
              <w:t>）中点声源衰减公</w:t>
            </w:r>
          </w:p>
          <w:p w14:paraId="720B66BF">
            <w:pPr>
              <w:pStyle w:val="6"/>
              <w:spacing w:before="181" w:line="219" w:lineRule="auto"/>
              <w:ind w:left="109"/>
            </w:pPr>
            <w:r>
              <w:rPr>
                <w:spacing w:val="-1"/>
              </w:rPr>
              <w:t>式（只考虑距离衰减，不考虑其他因素</w:t>
            </w:r>
            <w:r>
              <w:t>）：</w:t>
            </w:r>
          </w:p>
          <w:p w14:paraId="0AAAA753">
            <w:pPr>
              <w:pStyle w:val="6"/>
              <w:spacing w:before="176" w:line="360" w:lineRule="auto"/>
              <w:ind w:left="589" w:right="2603" w:firstLine="2590"/>
            </w:pPr>
            <w:r>
              <w:rPr>
                <w:rFonts w:ascii="Times New Roman" w:hAnsi="Times New Roman" w:eastAsia="Times New Roman" w:cs="Times New Roman"/>
                <w:i/>
                <w:iCs/>
                <w:spacing w:val="-1"/>
                <w:sz w:val="22"/>
                <w:szCs w:val="22"/>
              </w:rPr>
              <w:t>L</w:t>
            </w:r>
            <w:r>
              <w:rPr>
                <w:rFonts w:ascii="Times New Roman" w:hAnsi="Times New Roman" w:eastAsia="Times New Roman" w:cs="Times New Roman"/>
                <w:i/>
                <w:iCs/>
                <w:spacing w:val="-1"/>
                <w:position w:val="-5"/>
                <w:sz w:val="12"/>
                <w:szCs w:val="12"/>
              </w:rPr>
              <w:t>P</w:t>
            </w:r>
            <w:r>
              <w:rPr>
                <w:rFonts w:ascii="Times New Roman" w:hAnsi="Times New Roman" w:eastAsia="Times New Roman" w:cs="Times New Roman"/>
                <w:i/>
                <w:iCs/>
                <w:spacing w:val="19"/>
                <w:position w:val="-5"/>
                <w:sz w:val="12"/>
                <w:szCs w:val="12"/>
              </w:rPr>
              <w:t xml:space="preserve"> </w:t>
            </w:r>
            <w:r>
              <w:rPr>
                <w:rFonts w:ascii="Times New Roman" w:hAnsi="Times New Roman" w:eastAsia="Times New Roman" w:cs="Times New Roman"/>
                <w:spacing w:val="-1"/>
                <w:sz w:val="22"/>
                <w:szCs w:val="22"/>
              </w:rPr>
              <w:t>(</w:t>
            </w:r>
            <w:r>
              <w:rPr>
                <w:rFonts w:ascii="Times New Roman" w:hAnsi="Times New Roman" w:eastAsia="Times New Roman" w:cs="Times New Roman"/>
                <w:i/>
                <w:iCs/>
                <w:spacing w:val="-1"/>
                <w:sz w:val="22"/>
                <w:szCs w:val="22"/>
              </w:rPr>
              <w:t>r</w:t>
            </w:r>
            <w:r>
              <w:rPr>
                <w:rFonts w:ascii="Times New Roman" w:hAnsi="Times New Roman" w:eastAsia="Times New Roman" w:cs="Times New Roman"/>
                <w:spacing w:val="-1"/>
                <w:sz w:val="22"/>
                <w:szCs w:val="22"/>
              </w:rPr>
              <w:t xml:space="preserve">) </w:t>
            </w:r>
            <w:r>
              <w:rPr>
                <w:rFonts w:ascii="Arial" w:hAnsi="Arial" w:eastAsia="Arial" w:cs="Arial"/>
                <w:spacing w:val="-1"/>
                <w:sz w:val="22"/>
                <w:szCs w:val="22"/>
              </w:rPr>
              <w:t xml:space="preserve">= </w:t>
            </w:r>
            <w:r>
              <w:rPr>
                <w:rFonts w:ascii="Times New Roman" w:hAnsi="Times New Roman" w:eastAsia="Times New Roman" w:cs="Times New Roman"/>
                <w:i/>
                <w:iCs/>
                <w:spacing w:val="-1"/>
                <w:sz w:val="22"/>
                <w:szCs w:val="22"/>
              </w:rPr>
              <w:t>L</w:t>
            </w:r>
            <w:r>
              <w:rPr>
                <w:rFonts w:ascii="Times New Roman" w:hAnsi="Times New Roman" w:eastAsia="Times New Roman" w:cs="Times New Roman"/>
                <w:i/>
                <w:iCs/>
                <w:spacing w:val="-1"/>
                <w:position w:val="-5"/>
                <w:sz w:val="12"/>
                <w:szCs w:val="12"/>
              </w:rPr>
              <w:t>P</w:t>
            </w:r>
            <w:r>
              <w:rPr>
                <w:rFonts w:ascii="Times New Roman" w:hAnsi="Times New Roman" w:eastAsia="Times New Roman" w:cs="Times New Roman"/>
                <w:i/>
                <w:iCs/>
                <w:spacing w:val="9"/>
                <w:w w:val="101"/>
                <w:position w:val="-5"/>
                <w:sz w:val="12"/>
                <w:szCs w:val="12"/>
              </w:rPr>
              <w:t xml:space="preserve"> </w:t>
            </w:r>
            <w:r>
              <w:rPr>
                <w:rFonts w:ascii="Times New Roman" w:hAnsi="Times New Roman" w:eastAsia="Times New Roman" w:cs="Times New Roman"/>
                <w:spacing w:val="-1"/>
                <w:sz w:val="22"/>
                <w:szCs w:val="22"/>
              </w:rPr>
              <w:t>(</w:t>
            </w:r>
            <w:r>
              <w:rPr>
                <w:rFonts w:ascii="Times New Roman" w:hAnsi="Times New Roman" w:eastAsia="Times New Roman" w:cs="Times New Roman"/>
                <w:i/>
                <w:iCs/>
                <w:spacing w:val="-1"/>
                <w:sz w:val="22"/>
                <w:szCs w:val="22"/>
              </w:rPr>
              <w:t>r</w:t>
            </w:r>
            <w:r>
              <w:rPr>
                <w:rFonts w:ascii="Times New Roman" w:hAnsi="Times New Roman" w:eastAsia="Times New Roman" w:cs="Times New Roman"/>
                <w:spacing w:val="-1"/>
                <w:position w:val="-5"/>
                <w:sz w:val="12"/>
                <w:szCs w:val="12"/>
              </w:rPr>
              <w:t xml:space="preserve">0 </w:t>
            </w:r>
            <w:r>
              <w:rPr>
                <w:rFonts w:ascii="Times New Roman" w:hAnsi="Times New Roman" w:eastAsia="Times New Roman" w:cs="Times New Roman"/>
                <w:spacing w:val="-1"/>
                <w:sz w:val="22"/>
                <w:szCs w:val="22"/>
              </w:rPr>
              <w:t>)</w:t>
            </w:r>
            <w:r>
              <w:rPr>
                <w:rFonts w:ascii="Times New Roman" w:hAnsi="Times New Roman" w:eastAsia="Times New Roman" w:cs="Times New Roman"/>
                <w:spacing w:val="-10"/>
                <w:sz w:val="22"/>
                <w:szCs w:val="22"/>
              </w:rPr>
              <w:t xml:space="preserve"> </w:t>
            </w:r>
            <w:r>
              <w:rPr>
                <w:rFonts w:ascii="Times New Roman" w:hAnsi="Times New Roman" w:eastAsia="Times New Roman" w:cs="Times New Roman"/>
                <w:spacing w:val="-1"/>
                <w:sz w:val="22"/>
                <w:szCs w:val="22"/>
              </w:rPr>
              <w:t>-</w:t>
            </w:r>
            <w:r>
              <w:rPr>
                <w:rFonts w:ascii="Times New Roman" w:hAnsi="Times New Roman" w:eastAsia="Times New Roman" w:cs="Times New Roman"/>
                <w:spacing w:val="-15"/>
                <w:sz w:val="22"/>
                <w:szCs w:val="22"/>
              </w:rPr>
              <w:t xml:space="preserve"> </w:t>
            </w:r>
            <w:r>
              <w:rPr>
                <w:rFonts w:ascii="Times New Roman" w:hAnsi="Times New Roman" w:eastAsia="Times New Roman" w:cs="Times New Roman"/>
                <w:spacing w:val="-1"/>
                <w:sz w:val="22"/>
                <w:szCs w:val="22"/>
              </w:rPr>
              <w:t>20lg</w:t>
            </w:r>
            <w:r>
              <w:rPr>
                <w:spacing w:val="-1"/>
                <w:sz w:val="22"/>
                <w:szCs w:val="22"/>
              </w:rPr>
              <w:t>（</w:t>
            </w:r>
            <w:r>
              <w:rPr>
                <w:rFonts w:ascii="Times New Roman" w:hAnsi="Times New Roman" w:eastAsia="Times New Roman" w:cs="Times New Roman"/>
                <w:i/>
                <w:iCs/>
                <w:spacing w:val="-1"/>
                <w:sz w:val="22"/>
                <w:szCs w:val="22"/>
              </w:rPr>
              <w:t>r</w:t>
            </w:r>
            <w:r>
              <w:rPr>
                <w:rFonts w:ascii="Times New Roman" w:hAnsi="Times New Roman" w:eastAsia="Times New Roman" w:cs="Times New Roman"/>
                <w:i/>
                <w:iCs/>
                <w:spacing w:val="-10"/>
                <w:sz w:val="22"/>
                <w:szCs w:val="22"/>
              </w:rPr>
              <w:t xml:space="preserve"> </w:t>
            </w:r>
            <w:r>
              <w:rPr>
                <w:rFonts w:ascii="Times New Roman" w:hAnsi="Times New Roman" w:eastAsia="Times New Roman" w:cs="Times New Roman"/>
                <w:spacing w:val="-1"/>
                <w:sz w:val="22"/>
                <w:szCs w:val="22"/>
              </w:rPr>
              <w:t>/</w:t>
            </w:r>
            <w:r>
              <w:rPr>
                <w:rFonts w:ascii="Times New Roman" w:hAnsi="Times New Roman" w:eastAsia="Times New Roman" w:cs="Times New Roman"/>
                <w:spacing w:val="-9"/>
                <w:sz w:val="22"/>
                <w:szCs w:val="22"/>
              </w:rPr>
              <w:t xml:space="preserve"> </w:t>
            </w:r>
            <w:r>
              <w:rPr>
                <w:rFonts w:ascii="Times New Roman" w:hAnsi="Times New Roman" w:eastAsia="Times New Roman" w:cs="Times New Roman"/>
                <w:i/>
                <w:iCs/>
                <w:spacing w:val="-1"/>
                <w:sz w:val="22"/>
                <w:szCs w:val="22"/>
              </w:rPr>
              <w:t>r</w:t>
            </w:r>
            <w:r>
              <w:rPr>
                <w:rFonts w:ascii="Times New Roman" w:hAnsi="Times New Roman" w:eastAsia="Times New Roman" w:cs="Times New Roman"/>
                <w:spacing w:val="-1"/>
                <w:position w:val="-5"/>
                <w:sz w:val="12"/>
                <w:szCs w:val="12"/>
              </w:rPr>
              <w:t>0</w:t>
            </w:r>
            <w:r>
              <w:rPr>
                <w:spacing w:val="-1"/>
                <w:sz w:val="22"/>
                <w:szCs w:val="22"/>
              </w:rPr>
              <w:t>）</w:t>
            </w:r>
            <w:r>
              <w:rPr>
                <w:sz w:val="22"/>
                <w:szCs w:val="22"/>
              </w:rPr>
              <w:t xml:space="preserve"> </w:t>
            </w:r>
            <w:r>
              <w:rPr>
                <w:spacing w:val="-3"/>
              </w:rPr>
              <w:t>式中：</w:t>
            </w:r>
            <w:r>
              <w:rPr>
                <w:rFonts w:ascii="Calibri" w:hAnsi="Calibri" w:eastAsia="Calibri" w:cs="Calibri"/>
                <w:spacing w:val="-3"/>
              </w:rPr>
              <w:t>L(r0)</w:t>
            </w:r>
            <w:r>
              <w:rPr>
                <w:spacing w:val="-3"/>
              </w:rPr>
              <w:t>——参考位置</w:t>
            </w:r>
            <w:r>
              <w:rPr>
                <w:spacing w:val="-33"/>
              </w:rPr>
              <w:t xml:space="preserve"> </w:t>
            </w:r>
            <w:r>
              <w:rPr>
                <w:rFonts w:ascii="Calibri" w:hAnsi="Calibri" w:eastAsia="Calibri" w:cs="Calibri"/>
                <w:spacing w:val="-3"/>
              </w:rPr>
              <w:t>r0</w:t>
            </w:r>
            <w:r>
              <w:rPr>
                <w:rFonts w:ascii="Calibri" w:hAnsi="Calibri" w:eastAsia="Calibri" w:cs="Calibri"/>
                <w:spacing w:val="21"/>
                <w:w w:val="101"/>
              </w:rPr>
              <w:t xml:space="preserve"> </w:t>
            </w:r>
            <w:r>
              <w:rPr>
                <w:spacing w:val="-3"/>
              </w:rPr>
              <w:t>处声级；</w:t>
            </w:r>
          </w:p>
          <w:p w14:paraId="0C93EC5E">
            <w:pPr>
              <w:pStyle w:val="6"/>
              <w:spacing w:before="41" w:line="220" w:lineRule="auto"/>
              <w:ind w:left="1673"/>
            </w:pPr>
            <w:r>
              <w:rPr>
                <w:rFonts w:ascii="Calibri" w:hAnsi="Calibri" w:eastAsia="Calibri" w:cs="Calibri"/>
                <w:spacing w:val="-2"/>
              </w:rPr>
              <w:t>r</w:t>
            </w:r>
            <w:r>
              <w:rPr>
                <w:spacing w:val="-2"/>
              </w:rPr>
              <w:t>——预测点距声源的距离；</w:t>
            </w:r>
          </w:p>
          <w:p w14:paraId="5DE0F834">
            <w:pPr>
              <w:pStyle w:val="6"/>
              <w:spacing w:before="180" w:line="219" w:lineRule="auto"/>
              <w:ind w:left="1673"/>
            </w:pPr>
            <w:r>
              <w:rPr>
                <w:rFonts w:ascii="Calibri" w:hAnsi="Calibri" w:eastAsia="Calibri" w:cs="Calibri"/>
                <w:spacing w:val="-2"/>
              </w:rPr>
              <w:t>r0</w:t>
            </w:r>
            <w:r>
              <w:rPr>
                <w:spacing w:val="-2"/>
              </w:rPr>
              <w:t>——参考位置距声源的距离。</w:t>
            </w:r>
          </w:p>
          <w:p w14:paraId="6F383CEE">
            <w:pPr>
              <w:pStyle w:val="6"/>
              <w:spacing w:before="182" w:line="218" w:lineRule="auto"/>
              <w:ind w:left="583"/>
            </w:pPr>
            <w:r>
              <w:rPr>
                <w:spacing w:val="1"/>
              </w:rPr>
              <w:t>及根据《环境影响评价技术导则 声环境》（</w:t>
            </w:r>
            <w:r>
              <w:rPr>
                <w:rFonts w:ascii="Calibri" w:hAnsi="Calibri" w:eastAsia="Calibri" w:cs="Calibri"/>
              </w:rPr>
              <w:t>HJ</w:t>
            </w:r>
            <w:r>
              <w:rPr>
                <w:rFonts w:ascii="Calibri" w:hAnsi="Calibri" w:eastAsia="Calibri" w:cs="Calibri"/>
                <w:spacing w:val="22"/>
              </w:rPr>
              <w:t xml:space="preserve"> </w:t>
            </w:r>
            <w:r>
              <w:rPr>
                <w:rFonts w:ascii="Calibri" w:hAnsi="Calibri" w:eastAsia="Calibri" w:cs="Calibri"/>
                <w:spacing w:val="1"/>
              </w:rPr>
              <w:t>2.4</w:t>
            </w:r>
            <w:r>
              <w:rPr>
                <w:spacing w:val="1"/>
              </w:rPr>
              <w:t>—</w:t>
            </w:r>
            <w:r>
              <w:rPr>
                <w:rFonts w:ascii="Calibri" w:hAnsi="Calibri" w:eastAsia="Calibri" w:cs="Calibri"/>
                <w:spacing w:val="1"/>
              </w:rPr>
              <w:t>2021</w:t>
            </w:r>
            <w:r>
              <w:rPr>
                <w:spacing w:val="1"/>
              </w:rPr>
              <w:t>）中点声源噪声</w:t>
            </w:r>
          </w:p>
          <w:p w14:paraId="0A254309">
            <w:pPr>
              <w:pStyle w:val="6"/>
              <w:spacing w:before="183" w:line="219" w:lineRule="auto"/>
              <w:ind w:left="104"/>
            </w:pPr>
            <w:r>
              <w:rPr>
                <w:spacing w:val="-2"/>
              </w:rPr>
              <w:t>值的叠加公式：</w:t>
            </w:r>
          </w:p>
          <w:p w14:paraId="6A9353DF">
            <w:pPr>
              <w:spacing w:before="165" w:line="681" w:lineRule="exact"/>
              <w:ind w:left="3247"/>
            </w:pPr>
            <w:r>
              <w:rPr>
                <w:position w:val="-14"/>
              </w:rPr>
              <w:drawing>
                <wp:inline distT="0" distB="0" distL="0" distR="0">
                  <wp:extent cx="1511300" cy="43243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22"/>
                          <a:stretch>
                            <a:fillRect/>
                          </a:stretch>
                        </pic:blipFill>
                        <pic:spPr>
                          <a:xfrm>
                            <a:off x="0" y="0"/>
                            <a:ext cx="1511468" cy="432656"/>
                          </a:xfrm>
                          <a:prstGeom prst="rect">
                            <a:avLst/>
                          </a:prstGeom>
                        </pic:spPr>
                      </pic:pic>
                    </a:graphicData>
                  </a:graphic>
                </wp:inline>
              </w:drawing>
            </w:r>
          </w:p>
          <w:p w14:paraId="16EDBACB">
            <w:pPr>
              <w:pStyle w:val="6"/>
              <w:spacing w:before="189" w:line="212" w:lineRule="auto"/>
              <w:ind w:left="589"/>
            </w:pPr>
            <w:r>
              <w:rPr>
                <w:spacing w:val="-2"/>
              </w:rPr>
              <w:t>式中：</w:t>
            </w:r>
            <w:r>
              <w:rPr>
                <w:rFonts w:ascii="Calibri" w:hAnsi="Calibri" w:eastAsia="Calibri" w:cs="Calibri"/>
                <w:spacing w:val="-2"/>
              </w:rPr>
              <w:t>LPli(T)</w:t>
            </w:r>
            <w:r>
              <w:rPr>
                <w:spacing w:val="-2"/>
              </w:rPr>
              <w:t>——厂界</w:t>
            </w:r>
            <w:r>
              <w:rPr>
                <w:spacing w:val="-39"/>
              </w:rPr>
              <w:t xml:space="preserve"> </w:t>
            </w:r>
            <w:r>
              <w:rPr>
                <w:rFonts w:ascii="Calibri" w:hAnsi="Calibri" w:eastAsia="Calibri" w:cs="Calibri"/>
                <w:spacing w:val="-2"/>
              </w:rPr>
              <w:t>N</w:t>
            </w:r>
            <w:r>
              <w:rPr>
                <w:rFonts w:ascii="Calibri" w:hAnsi="Calibri" w:eastAsia="Calibri" w:cs="Calibri"/>
                <w:spacing w:val="16"/>
              </w:rPr>
              <w:t xml:space="preserve"> </w:t>
            </w:r>
            <w:r>
              <w:rPr>
                <w:spacing w:val="-2"/>
              </w:rPr>
              <w:t>个声源的叠加声压级，</w:t>
            </w:r>
            <w:r>
              <w:rPr>
                <w:rFonts w:ascii="Calibri" w:hAnsi="Calibri" w:eastAsia="Calibri" w:cs="Calibri"/>
                <w:spacing w:val="-2"/>
              </w:rPr>
              <w:t>dB</w:t>
            </w:r>
            <w:r>
              <w:rPr>
                <w:spacing w:val="-2"/>
              </w:rPr>
              <w:t>（</w:t>
            </w:r>
            <w:r>
              <w:rPr>
                <w:rFonts w:ascii="Calibri" w:hAnsi="Calibri" w:eastAsia="Calibri" w:cs="Calibri"/>
                <w:spacing w:val="-2"/>
              </w:rPr>
              <w:t>A</w:t>
            </w:r>
            <w:r>
              <w:rPr>
                <w:spacing w:val="4"/>
              </w:rPr>
              <w:t>）；</w:t>
            </w:r>
          </w:p>
          <w:p w14:paraId="76FA023D">
            <w:pPr>
              <w:pStyle w:val="6"/>
              <w:spacing w:before="190" w:line="339" w:lineRule="auto"/>
              <w:ind w:left="1795" w:right="2310" w:hanging="240"/>
            </w:pPr>
            <w:r>
              <w:rPr>
                <w:rFonts w:ascii="Calibri" w:hAnsi="Calibri" w:eastAsia="Calibri" w:cs="Calibri"/>
                <w:spacing w:val="-1"/>
              </w:rPr>
              <w:t>LPlij</w:t>
            </w:r>
            <w:r>
              <w:rPr>
                <w:spacing w:val="-1"/>
              </w:rPr>
              <w:t>——厂区内各声源的声压级，</w:t>
            </w:r>
            <w:r>
              <w:rPr>
                <w:rFonts w:ascii="Calibri" w:hAnsi="Calibri" w:eastAsia="Calibri" w:cs="Calibri"/>
                <w:spacing w:val="-1"/>
              </w:rPr>
              <w:t>dB</w:t>
            </w:r>
            <w:r>
              <w:rPr>
                <w:spacing w:val="-1"/>
              </w:rPr>
              <w:t>（</w:t>
            </w:r>
            <w:r>
              <w:rPr>
                <w:rFonts w:ascii="Calibri" w:hAnsi="Calibri" w:eastAsia="Calibri" w:cs="Calibri"/>
                <w:spacing w:val="-1"/>
              </w:rPr>
              <w:t>A</w:t>
            </w:r>
            <w:r>
              <w:rPr>
                <w:spacing w:val="-32"/>
              </w:rPr>
              <w:t>）；</w:t>
            </w:r>
            <w:r>
              <w:t xml:space="preserve"> </w:t>
            </w:r>
            <w:r>
              <w:rPr>
                <w:rFonts w:ascii="Calibri" w:hAnsi="Calibri" w:eastAsia="Calibri" w:cs="Calibri"/>
                <w:spacing w:val="-2"/>
              </w:rPr>
              <w:t>N</w:t>
            </w:r>
            <w:r>
              <w:rPr>
                <w:spacing w:val="-2"/>
              </w:rPr>
              <w:t>——厂区内声源总数。</w:t>
            </w:r>
          </w:p>
          <w:p w14:paraId="5A528A08">
            <w:pPr>
              <w:pStyle w:val="6"/>
              <w:spacing w:before="53" w:line="346" w:lineRule="auto"/>
              <w:ind w:left="586" w:right="597" w:hanging="1"/>
            </w:pPr>
            <w:r>
              <w:rPr>
                <w:spacing w:val="-2"/>
              </w:rPr>
              <w:t>本项目设备减震可降噪约</w:t>
            </w:r>
            <w:r>
              <w:rPr>
                <w:rFonts w:ascii="Calibri" w:hAnsi="Calibri" w:eastAsia="Calibri" w:cs="Calibri"/>
                <w:spacing w:val="-2"/>
              </w:rPr>
              <w:t>10dB</w:t>
            </w:r>
            <w:r>
              <w:rPr>
                <w:spacing w:val="-2"/>
              </w:rPr>
              <w:t>（</w:t>
            </w:r>
            <w:r>
              <w:rPr>
                <w:rFonts w:ascii="Calibri" w:hAnsi="Calibri" w:eastAsia="Calibri" w:cs="Calibri"/>
                <w:spacing w:val="-2"/>
              </w:rPr>
              <w:t>A</w:t>
            </w:r>
            <w:r>
              <w:rPr>
                <w:spacing w:val="7"/>
              </w:rPr>
              <w:t>），</w:t>
            </w:r>
            <w:r>
              <w:rPr>
                <w:spacing w:val="-2"/>
              </w:rPr>
              <w:t>厂界隔声可降噪约</w:t>
            </w:r>
            <w:r>
              <w:rPr>
                <w:rFonts w:ascii="Calibri" w:hAnsi="Calibri" w:eastAsia="Calibri" w:cs="Calibri"/>
                <w:spacing w:val="-2"/>
              </w:rPr>
              <w:t>10dB</w:t>
            </w:r>
            <w:r>
              <w:rPr>
                <w:spacing w:val="-2"/>
              </w:rPr>
              <w:t>（</w:t>
            </w:r>
            <w:r>
              <w:rPr>
                <w:rFonts w:ascii="Calibri" w:hAnsi="Calibri" w:eastAsia="Calibri" w:cs="Calibri"/>
                <w:spacing w:val="-2"/>
              </w:rPr>
              <w:t>A</w:t>
            </w:r>
            <w:r>
              <w:rPr>
                <w:spacing w:val="-2"/>
              </w:rPr>
              <w:t>）。</w:t>
            </w:r>
            <w:r>
              <w:t xml:space="preserve"> </w:t>
            </w:r>
            <w:r>
              <w:rPr>
                <w:spacing w:val="-1"/>
              </w:rPr>
              <w:t>各噪声源至本项目厂界的贡献值预测结果分析见表</w:t>
            </w:r>
            <w:r>
              <w:rPr>
                <w:spacing w:val="-49"/>
              </w:rPr>
              <w:t xml:space="preserve"> </w:t>
            </w:r>
            <w:r>
              <w:rPr>
                <w:rFonts w:ascii="Calibri" w:hAnsi="Calibri" w:eastAsia="Calibri" w:cs="Calibri"/>
                <w:spacing w:val="-1"/>
              </w:rPr>
              <w:t>4-7</w:t>
            </w:r>
            <w:r>
              <w:rPr>
                <w:spacing w:val="-1"/>
              </w:rPr>
              <w:t>。</w:t>
            </w:r>
          </w:p>
          <w:p w14:paraId="566EE71A">
            <w:pPr>
              <w:pStyle w:val="6"/>
              <w:spacing w:before="112" w:line="213" w:lineRule="auto"/>
              <w:ind w:left="1951"/>
            </w:pPr>
            <w:r>
              <w:rPr>
                <w:b/>
                <w:bCs/>
                <w:spacing w:val="-2"/>
              </w:rPr>
              <w:t>表</w:t>
            </w:r>
            <w:r>
              <w:rPr>
                <w:spacing w:val="-52"/>
              </w:rPr>
              <w:t xml:space="preserve"> </w:t>
            </w:r>
            <w:r>
              <w:rPr>
                <w:b/>
                <w:bCs/>
                <w:spacing w:val="-2"/>
              </w:rPr>
              <w:t>4-7</w:t>
            </w:r>
            <w:r>
              <w:rPr>
                <w:spacing w:val="-2"/>
              </w:rPr>
              <w:t xml:space="preserve">    </w:t>
            </w:r>
            <w:r>
              <w:rPr>
                <w:b/>
                <w:bCs/>
                <w:spacing w:val="-2"/>
              </w:rPr>
              <w:t>项目各厂界声环境影响预</w:t>
            </w:r>
            <w:r>
              <w:rPr>
                <w:b/>
                <w:bCs/>
                <w:spacing w:val="-3"/>
              </w:rPr>
              <w:t>测结果</w:t>
            </w:r>
          </w:p>
        </w:tc>
      </w:tr>
      <w:tr w14:paraId="42500B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92" w:hRule="atLeast"/>
        </w:trPr>
        <w:tc>
          <w:tcPr>
            <w:tcW w:w="477" w:type="dxa"/>
            <w:vMerge w:val="continue"/>
            <w:tcBorders>
              <w:top w:val="nil"/>
              <w:left w:val="single" w:color="000000" w:sz="10" w:space="0"/>
              <w:bottom w:val="nil"/>
            </w:tcBorders>
            <w:vAlign w:val="top"/>
          </w:tcPr>
          <w:p w14:paraId="6D565871">
            <w:pPr>
              <w:rPr>
                <w:rFonts w:ascii="Arial"/>
                <w:sz w:val="21"/>
              </w:rPr>
            </w:pPr>
          </w:p>
        </w:tc>
        <w:tc>
          <w:tcPr>
            <w:tcW w:w="1710" w:type="dxa"/>
            <w:tcBorders>
              <w:top w:val="single" w:color="000000" w:sz="10" w:space="0"/>
            </w:tcBorders>
            <w:vAlign w:val="top"/>
          </w:tcPr>
          <w:p w14:paraId="1D763E8A">
            <w:pPr>
              <w:spacing w:line="326" w:lineRule="auto"/>
              <w:rPr>
                <w:rFonts w:ascii="Arial"/>
                <w:sz w:val="21"/>
              </w:rPr>
            </w:pPr>
          </w:p>
          <w:p w14:paraId="0178809E">
            <w:pPr>
              <w:spacing w:line="326" w:lineRule="auto"/>
              <w:rPr>
                <w:rFonts w:ascii="Arial"/>
                <w:sz w:val="21"/>
              </w:rPr>
            </w:pPr>
          </w:p>
          <w:p w14:paraId="372B100B">
            <w:pPr>
              <w:pStyle w:val="6"/>
              <w:spacing w:before="65" w:line="228" w:lineRule="auto"/>
              <w:ind w:left="571"/>
              <w:rPr>
                <w:sz w:val="20"/>
                <w:szCs w:val="20"/>
              </w:rPr>
            </w:pPr>
            <w:r>
              <w:rPr>
                <w:spacing w:val="3"/>
                <w:sz w:val="20"/>
                <w:szCs w:val="20"/>
              </w:rPr>
              <w:t>噪声源</w:t>
            </w:r>
          </w:p>
        </w:tc>
        <w:tc>
          <w:tcPr>
            <w:tcW w:w="774" w:type="dxa"/>
            <w:tcBorders>
              <w:top w:val="single" w:color="000000" w:sz="10" w:space="0"/>
            </w:tcBorders>
            <w:vAlign w:val="top"/>
          </w:tcPr>
          <w:p w14:paraId="70610C69">
            <w:pPr>
              <w:pStyle w:val="6"/>
              <w:spacing w:before="241" w:line="291" w:lineRule="auto"/>
              <w:ind w:left="134" w:right="148" w:firstLine="41"/>
              <w:jc w:val="both"/>
              <w:rPr>
                <w:sz w:val="20"/>
                <w:szCs w:val="20"/>
              </w:rPr>
            </w:pPr>
            <w:r>
              <w:rPr>
                <w:spacing w:val="5"/>
                <w:sz w:val="20"/>
                <w:szCs w:val="20"/>
              </w:rPr>
              <w:t>距东</w:t>
            </w:r>
            <w:r>
              <w:rPr>
                <w:sz w:val="20"/>
                <w:szCs w:val="20"/>
              </w:rPr>
              <w:t xml:space="preserve"> </w:t>
            </w:r>
            <w:r>
              <w:rPr>
                <w:spacing w:val="26"/>
                <w:sz w:val="20"/>
                <w:szCs w:val="20"/>
              </w:rPr>
              <w:t>厂界</w:t>
            </w:r>
            <w:r>
              <w:rPr>
                <w:sz w:val="20"/>
                <w:szCs w:val="20"/>
              </w:rPr>
              <w:t xml:space="preserve"> </w:t>
            </w:r>
            <w:r>
              <w:rPr>
                <w:spacing w:val="26"/>
                <w:sz w:val="20"/>
                <w:szCs w:val="20"/>
              </w:rPr>
              <w:t>距离</w:t>
            </w:r>
            <w:r>
              <w:rPr>
                <w:sz w:val="20"/>
                <w:szCs w:val="20"/>
              </w:rPr>
              <w:t xml:space="preserve"> </w:t>
            </w:r>
            <w:r>
              <w:rPr>
                <w:spacing w:val="-5"/>
                <w:sz w:val="20"/>
                <w:szCs w:val="20"/>
              </w:rPr>
              <w:t>（m）</w:t>
            </w:r>
          </w:p>
        </w:tc>
        <w:tc>
          <w:tcPr>
            <w:tcW w:w="905" w:type="dxa"/>
            <w:tcBorders>
              <w:top w:val="single" w:color="000000" w:sz="10" w:space="0"/>
            </w:tcBorders>
            <w:vAlign w:val="top"/>
          </w:tcPr>
          <w:p w14:paraId="3E18A960">
            <w:pPr>
              <w:pStyle w:val="6"/>
              <w:spacing w:before="241" w:line="291" w:lineRule="auto"/>
              <w:ind w:left="113" w:right="112" w:firstLine="32"/>
              <w:jc w:val="both"/>
              <w:rPr>
                <w:sz w:val="20"/>
                <w:szCs w:val="20"/>
              </w:rPr>
            </w:pPr>
            <w:r>
              <w:rPr>
                <w:spacing w:val="4"/>
                <w:sz w:val="20"/>
                <w:szCs w:val="20"/>
              </w:rPr>
              <w:t>东厂界</w:t>
            </w:r>
            <w:r>
              <w:rPr>
                <w:sz w:val="20"/>
                <w:szCs w:val="20"/>
              </w:rPr>
              <w:t xml:space="preserve"> </w:t>
            </w:r>
            <w:r>
              <w:rPr>
                <w:spacing w:val="15"/>
                <w:sz w:val="20"/>
                <w:szCs w:val="20"/>
              </w:rPr>
              <w:t>贡献声</w:t>
            </w:r>
            <w:r>
              <w:rPr>
                <w:sz w:val="20"/>
                <w:szCs w:val="20"/>
              </w:rPr>
              <w:t xml:space="preserve"> </w:t>
            </w:r>
            <w:r>
              <w:rPr>
                <w:spacing w:val="3"/>
                <w:sz w:val="20"/>
                <w:szCs w:val="20"/>
              </w:rPr>
              <w:t>压级</w:t>
            </w:r>
            <w:r>
              <w:rPr>
                <w:spacing w:val="-33"/>
                <w:sz w:val="20"/>
                <w:szCs w:val="20"/>
              </w:rPr>
              <w:t xml:space="preserve"> </w:t>
            </w:r>
            <w:r>
              <w:rPr>
                <w:sz w:val="20"/>
                <w:szCs w:val="20"/>
              </w:rPr>
              <w:t xml:space="preserve">dB </w:t>
            </w:r>
            <w:r>
              <w:rPr>
                <w:spacing w:val="28"/>
                <w:sz w:val="20"/>
                <w:szCs w:val="20"/>
              </w:rPr>
              <w:t>（A）</w:t>
            </w:r>
          </w:p>
        </w:tc>
        <w:tc>
          <w:tcPr>
            <w:tcW w:w="832" w:type="dxa"/>
            <w:tcBorders>
              <w:top w:val="single" w:color="000000" w:sz="10" w:space="0"/>
            </w:tcBorders>
            <w:vAlign w:val="top"/>
          </w:tcPr>
          <w:p w14:paraId="20AD028B">
            <w:pPr>
              <w:pStyle w:val="6"/>
              <w:spacing w:before="241" w:line="291" w:lineRule="auto"/>
              <w:ind w:left="112" w:right="105"/>
              <w:jc w:val="both"/>
              <w:rPr>
                <w:sz w:val="20"/>
                <w:szCs w:val="20"/>
              </w:rPr>
            </w:pPr>
            <w:r>
              <w:rPr>
                <w:sz w:val="20"/>
                <w:szCs w:val="20"/>
              </w:rPr>
              <w:t>距</w:t>
            </w:r>
            <w:r>
              <w:rPr>
                <w:spacing w:val="4"/>
                <w:sz w:val="20"/>
                <w:szCs w:val="20"/>
              </w:rPr>
              <w:t xml:space="preserve">  </w:t>
            </w:r>
            <w:r>
              <w:rPr>
                <w:sz w:val="20"/>
                <w:szCs w:val="20"/>
              </w:rPr>
              <w:t xml:space="preserve">南 </w:t>
            </w:r>
            <w:r>
              <w:rPr>
                <w:spacing w:val="-2"/>
                <w:sz w:val="20"/>
                <w:szCs w:val="20"/>
              </w:rPr>
              <w:t>厂</w:t>
            </w:r>
            <w:r>
              <w:rPr>
                <w:spacing w:val="6"/>
                <w:sz w:val="20"/>
                <w:szCs w:val="20"/>
              </w:rPr>
              <w:t xml:space="preserve">  </w:t>
            </w:r>
            <w:r>
              <w:rPr>
                <w:spacing w:val="-2"/>
                <w:sz w:val="20"/>
                <w:szCs w:val="20"/>
              </w:rPr>
              <w:t>界</w:t>
            </w:r>
            <w:r>
              <w:rPr>
                <w:sz w:val="20"/>
                <w:szCs w:val="20"/>
              </w:rPr>
              <w:t xml:space="preserve"> </w:t>
            </w:r>
            <w:r>
              <w:rPr>
                <w:spacing w:val="-1"/>
                <w:sz w:val="20"/>
                <w:szCs w:val="20"/>
              </w:rPr>
              <w:t>距</w:t>
            </w:r>
            <w:r>
              <w:rPr>
                <w:spacing w:val="5"/>
                <w:sz w:val="20"/>
                <w:szCs w:val="20"/>
              </w:rPr>
              <w:t xml:space="preserve">  </w:t>
            </w:r>
            <w:r>
              <w:rPr>
                <w:spacing w:val="-1"/>
                <w:sz w:val="20"/>
                <w:szCs w:val="20"/>
              </w:rPr>
              <w:t>离</w:t>
            </w:r>
            <w:r>
              <w:rPr>
                <w:sz w:val="20"/>
                <w:szCs w:val="20"/>
              </w:rPr>
              <w:t xml:space="preserve"> </w:t>
            </w:r>
            <w:r>
              <w:rPr>
                <w:spacing w:val="1"/>
                <w:sz w:val="20"/>
                <w:szCs w:val="20"/>
              </w:rPr>
              <w:t>（m）</w:t>
            </w:r>
          </w:p>
        </w:tc>
        <w:tc>
          <w:tcPr>
            <w:tcW w:w="957" w:type="dxa"/>
            <w:tcBorders>
              <w:top w:val="single" w:color="000000" w:sz="10" w:space="0"/>
            </w:tcBorders>
            <w:vAlign w:val="top"/>
          </w:tcPr>
          <w:p w14:paraId="26293590">
            <w:pPr>
              <w:pStyle w:val="6"/>
              <w:spacing w:before="241" w:line="291" w:lineRule="auto"/>
              <w:ind w:left="116" w:right="101" w:firstLine="1"/>
              <w:jc w:val="both"/>
              <w:rPr>
                <w:sz w:val="20"/>
                <w:szCs w:val="20"/>
              </w:rPr>
            </w:pPr>
            <w:r>
              <w:rPr>
                <w:spacing w:val="-3"/>
                <w:sz w:val="20"/>
                <w:szCs w:val="20"/>
              </w:rPr>
              <w:t>南</w:t>
            </w:r>
            <w:r>
              <w:rPr>
                <w:spacing w:val="-32"/>
                <w:sz w:val="20"/>
                <w:szCs w:val="20"/>
              </w:rPr>
              <w:t xml:space="preserve"> </w:t>
            </w:r>
            <w:r>
              <w:rPr>
                <w:spacing w:val="-3"/>
                <w:sz w:val="20"/>
                <w:szCs w:val="20"/>
              </w:rPr>
              <w:t>厂</w:t>
            </w:r>
            <w:r>
              <w:rPr>
                <w:spacing w:val="-29"/>
                <w:sz w:val="20"/>
                <w:szCs w:val="20"/>
              </w:rPr>
              <w:t xml:space="preserve"> </w:t>
            </w:r>
            <w:r>
              <w:rPr>
                <w:spacing w:val="-3"/>
                <w:sz w:val="20"/>
                <w:szCs w:val="20"/>
              </w:rPr>
              <w:t>界</w:t>
            </w:r>
            <w:r>
              <w:rPr>
                <w:sz w:val="20"/>
                <w:szCs w:val="20"/>
              </w:rPr>
              <w:t xml:space="preserve"> </w:t>
            </w:r>
            <w:r>
              <w:rPr>
                <w:spacing w:val="-2"/>
                <w:sz w:val="20"/>
                <w:szCs w:val="20"/>
              </w:rPr>
              <w:t>贡</w:t>
            </w:r>
            <w:r>
              <w:rPr>
                <w:spacing w:val="-32"/>
                <w:sz w:val="20"/>
                <w:szCs w:val="20"/>
              </w:rPr>
              <w:t xml:space="preserve"> </w:t>
            </w:r>
            <w:r>
              <w:rPr>
                <w:spacing w:val="-2"/>
                <w:sz w:val="20"/>
                <w:szCs w:val="20"/>
              </w:rPr>
              <w:t>献</w:t>
            </w:r>
            <w:r>
              <w:rPr>
                <w:spacing w:val="-31"/>
                <w:sz w:val="20"/>
                <w:szCs w:val="20"/>
              </w:rPr>
              <w:t xml:space="preserve"> </w:t>
            </w:r>
            <w:r>
              <w:rPr>
                <w:spacing w:val="-2"/>
                <w:sz w:val="20"/>
                <w:szCs w:val="20"/>
              </w:rPr>
              <w:t>声</w:t>
            </w:r>
            <w:r>
              <w:rPr>
                <w:sz w:val="20"/>
                <w:szCs w:val="20"/>
              </w:rPr>
              <w:t xml:space="preserve"> </w:t>
            </w:r>
            <w:r>
              <w:rPr>
                <w:spacing w:val="-2"/>
                <w:sz w:val="20"/>
                <w:szCs w:val="20"/>
              </w:rPr>
              <w:t>压</w:t>
            </w:r>
            <w:r>
              <w:rPr>
                <w:spacing w:val="-58"/>
                <w:sz w:val="20"/>
                <w:szCs w:val="20"/>
              </w:rPr>
              <w:t xml:space="preserve"> </w:t>
            </w:r>
            <w:r>
              <w:rPr>
                <w:spacing w:val="-2"/>
                <w:sz w:val="20"/>
                <w:szCs w:val="20"/>
              </w:rPr>
              <w:t>级 dB</w:t>
            </w:r>
            <w:r>
              <w:rPr>
                <w:sz w:val="20"/>
                <w:szCs w:val="20"/>
              </w:rPr>
              <w:t xml:space="preserve"> </w:t>
            </w:r>
            <w:r>
              <w:rPr>
                <w:spacing w:val="1"/>
                <w:sz w:val="20"/>
                <w:szCs w:val="20"/>
              </w:rPr>
              <w:t>（A）</w:t>
            </w:r>
          </w:p>
        </w:tc>
        <w:tc>
          <w:tcPr>
            <w:tcW w:w="797" w:type="dxa"/>
            <w:tcBorders>
              <w:top w:val="single" w:color="000000" w:sz="10" w:space="0"/>
            </w:tcBorders>
            <w:vAlign w:val="top"/>
          </w:tcPr>
          <w:p w14:paraId="176F15FA">
            <w:pPr>
              <w:pStyle w:val="6"/>
              <w:spacing w:before="241" w:line="291" w:lineRule="auto"/>
              <w:ind w:left="118" w:right="100"/>
              <w:jc w:val="both"/>
              <w:rPr>
                <w:sz w:val="20"/>
                <w:szCs w:val="20"/>
              </w:rPr>
            </w:pPr>
            <w:r>
              <w:rPr>
                <w:spacing w:val="-2"/>
                <w:sz w:val="20"/>
                <w:szCs w:val="20"/>
              </w:rPr>
              <w:t>距</w:t>
            </w:r>
            <w:r>
              <w:rPr>
                <w:spacing w:val="76"/>
                <w:sz w:val="20"/>
                <w:szCs w:val="20"/>
              </w:rPr>
              <w:t xml:space="preserve"> </w:t>
            </w:r>
            <w:r>
              <w:rPr>
                <w:spacing w:val="-2"/>
                <w:sz w:val="20"/>
                <w:szCs w:val="20"/>
              </w:rPr>
              <w:t>西</w:t>
            </w:r>
            <w:r>
              <w:rPr>
                <w:sz w:val="20"/>
                <w:szCs w:val="20"/>
              </w:rPr>
              <w:t xml:space="preserve"> </w:t>
            </w:r>
            <w:r>
              <w:rPr>
                <w:spacing w:val="-2"/>
                <w:sz w:val="20"/>
                <w:szCs w:val="20"/>
              </w:rPr>
              <w:t>厂</w:t>
            </w:r>
            <w:r>
              <w:rPr>
                <w:spacing w:val="76"/>
                <w:sz w:val="20"/>
                <w:szCs w:val="20"/>
              </w:rPr>
              <w:t xml:space="preserve"> </w:t>
            </w:r>
            <w:r>
              <w:rPr>
                <w:spacing w:val="-2"/>
                <w:sz w:val="20"/>
                <w:szCs w:val="20"/>
              </w:rPr>
              <w:t>界</w:t>
            </w:r>
            <w:r>
              <w:rPr>
                <w:sz w:val="20"/>
                <w:szCs w:val="20"/>
              </w:rPr>
              <w:t xml:space="preserve"> </w:t>
            </w:r>
            <w:r>
              <w:rPr>
                <w:spacing w:val="-1"/>
                <w:sz w:val="20"/>
                <w:szCs w:val="20"/>
              </w:rPr>
              <w:t>距</w:t>
            </w:r>
            <w:r>
              <w:rPr>
                <w:spacing w:val="74"/>
                <w:sz w:val="20"/>
                <w:szCs w:val="20"/>
              </w:rPr>
              <w:t xml:space="preserve"> </w:t>
            </w:r>
            <w:r>
              <w:rPr>
                <w:spacing w:val="-1"/>
                <w:sz w:val="20"/>
                <w:szCs w:val="20"/>
              </w:rPr>
              <w:t>离</w:t>
            </w:r>
            <w:r>
              <w:rPr>
                <w:sz w:val="20"/>
                <w:szCs w:val="20"/>
              </w:rPr>
              <w:t xml:space="preserve"> </w:t>
            </w:r>
            <w:r>
              <w:rPr>
                <w:spacing w:val="1"/>
                <w:sz w:val="20"/>
                <w:szCs w:val="20"/>
              </w:rPr>
              <w:t>（m）</w:t>
            </w:r>
          </w:p>
        </w:tc>
        <w:tc>
          <w:tcPr>
            <w:tcW w:w="820" w:type="dxa"/>
            <w:tcBorders>
              <w:top w:val="single" w:color="000000" w:sz="10" w:space="0"/>
            </w:tcBorders>
            <w:vAlign w:val="top"/>
          </w:tcPr>
          <w:p w14:paraId="3F56AF56">
            <w:pPr>
              <w:pStyle w:val="6"/>
              <w:spacing w:before="81" w:line="277" w:lineRule="auto"/>
              <w:ind w:left="122" w:right="11" w:firstLine="4"/>
              <w:jc w:val="both"/>
              <w:rPr>
                <w:sz w:val="20"/>
                <w:szCs w:val="20"/>
              </w:rPr>
            </w:pPr>
            <w:r>
              <w:rPr>
                <w:spacing w:val="-3"/>
                <w:sz w:val="20"/>
                <w:szCs w:val="20"/>
              </w:rPr>
              <w:t>西  厂</w:t>
            </w:r>
            <w:r>
              <w:rPr>
                <w:spacing w:val="1"/>
                <w:sz w:val="20"/>
                <w:szCs w:val="20"/>
              </w:rPr>
              <w:t xml:space="preserve">  </w:t>
            </w:r>
            <w:r>
              <w:rPr>
                <w:spacing w:val="-1"/>
                <w:sz w:val="20"/>
                <w:szCs w:val="20"/>
              </w:rPr>
              <w:t>界</w:t>
            </w:r>
            <w:r>
              <w:rPr>
                <w:spacing w:val="97"/>
                <w:sz w:val="20"/>
                <w:szCs w:val="20"/>
              </w:rPr>
              <w:t xml:space="preserve"> </w:t>
            </w:r>
            <w:r>
              <w:rPr>
                <w:spacing w:val="-1"/>
                <w:sz w:val="20"/>
                <w:szCs w:val="20"/>
              </w:rPr>
              <w:t>贡</w:t>
            </w:r>
            <w:r>
              <w:rPr>
                <w:sz w:val="20"/>
                <w:szCs w:val="20"/>
              </w:rPr>
              <w:t xml:space="preserve">  </w:t>
            </w:r>
            <w:r>
              <w:rPr>
                <w:spacing w:val="-1"/>
                <w:sz w:val="20"/>
                <w:szCs w:val="20"/>
              </w:rPr>
              <w:t>献  声</w:t>
            </w:r>
            <w:r>
              <w:rPr>
                <w:sz w:val="20"/>
                <w:szCs w:val="20"/>
              </w:rPr>
              <w:t xml:space="preserve">  </w:t>
            </w:r>
            <w:r>
              <w:rPr>
                <w:spacing w:val="-2"/>
                <w:sz w:val="20"/>
                <w:szCs w:val="20"/>
              </w:rPr>
              <w:t>压</w:t>
            </w:r>
            <w:r>
              <w:rPr>
                <w:spacing w:val="99"/>
                <w:sz w:val="20"/>
                <w:szCs w:val="20"/>
              </w:rPr>
              <w:t xml:space="preserve"> </w:t>
            </w:r>
            <w:r>
              <w:rPr>
                <w:spacing w:val="-2"/>
                <w:sz w:val="20"/>
                <w:szCs w:val="20"/>
              </w:rPr>
              <w:t>级</w:t>
            </w:r>
            <w:r>
              <w:rPr>
                <w:sz w:val="20"/>
                <w:szCs w:val="20"/>
              </w:rPr>
              <w:t xml:space="preserve">  </w:t>
            </w:r>
            <w:r>
              <w:rPr>
                <w:spacing w:val="-4"/>
                <w:sz w:val="20"/>
                <w:szCs w:val="20"/>
              </w:rPr>
              <w:t>dB（A）</w:t>
            </w:r>
          </w:p>
        </w:tc>
        <w:tc>
          <w:tcPr>
            <w:tcW w:w="802" w:type="dxa"/>
            <w:tcBorders>
              <w:top w:val="single" w:color="000000" w:sz="10" w:space="0"/>
            </w:tcBorders>
            <w:vAlign w:val="top"/>
          </w:tcPr>
          <w:p w14:paraId="05CD7FC7">
            <w:pPr>
              <w:pStyle w:val="6"/>
              <w:spacing w:before="241" w:line="291" w:lineRule="auto"/>
              <w:ind w:left="121" w:right="97"/>
              <w:jc w:val="both"/>
              <w:rPr>
                <w:sz w:val="20"/>
                <w:szCs w:val="20"/>
              </w:rPr>
            </w:pPr>
            <w:r>
              <w:rPr>
                <w:spacing w:val="-1"/>
                <w:sz w:val="20"/>
                <w:szCs w:val="20"/>
              </w:rPr>
              <w:t>距</w:t>
            </w:r>
            <w:r>
              <w:rPr>
                <w:spacing w:val="79"/>
                <w:sz w:val="20"/>
                <w:szCs w:val="20"/>
              </w:rPr>
              <w:t xml:space="preserve"> </w:t>
            </w:r>
            <w:r>
              <w:rPr>
                <w:spacing w:val="-1"/>
                <w:sz w:val="20"/>
                <w:szCs w:val="20"/>
              </w:rPr>
              <w:t>北</w:t>
            </w:r>
            <w:r>
              <w:rPr>
                <w:sz w:val="20"/>
                <w:szCs w:val="20"/>
              </w:rPr>
              <w:t xml:space="preserve"> </w:t>
            </w:r>
            <w:r>
              <w:rPr>
                <w:spacing w:val="-2"/>
                <w:sz w:val="20"/>
                <w:szCs w:val="20"/>
              </w:rPr>
              <w:t>厂</w:t>
            </w:r>
            <w:r>
              <w:rPr>
                <w:spacing w:val="81"/>
                <w:sz w:val="20"/>
                <w:szCs w:val="20"/>
              </w:rPr>
              <w:t xml:space="preserve"> </w:t>
            </w:r>
            <w:r>
              <w:rPr>
                <w:spacing w:val="-2"/>
                <w:sz w:val="20"/>
                <w:szCs w:val="20"/>
              </w:rPr>
              <w:t>界</w:t>
            </w:r>
            <w:r>
              <w:rPr>
                <w:sz w:val="20"/>
                <w:szCs w:val="20"/>
              </w:rPr>
              <w:t xml:space="preserve"> </w:t>
            </w:r>
            <w:r>
              <w:rPr>
                <w:spacing w:val="-1"/>
                <w:sz w:val="20"/>
                <w:szCs w:val="20"/>
              </w:rPr>
              <w:t>距</w:t>
            </w:r>
            <w:r>
              <w:rPr>
                <w:spacing w:val="79"/>
                <w:sz w:val="20"/>
                <w:szCs w:val="20"/>
              </w:rPr>
              <w:t xml:space="preserve"> </w:t>
            </w:r>
            <w:r>
              <w:rPr>
                <w:spacing w:val="-1"/>
                <w:sz w:val="20"/>
                <w:szCs w:val="20"/>
              </w:rPr>
              <w:t>离</w:t>
            </w:r>
            <w:r>
              <w:rPr>
                <w:sz w:val="20"/>
                <w:szCs w:val="20"/>
              </w:rPr>
              <w:t xml:space="preserve"> </w:t>
            </w:r>
            <w:r>
              <w:rPr>
                <w:spacing w:val="2"/>
                <w:sz w:val="20"/>
                <w:szCs w:val="20"/>
              </w:rPr>
              <w:t>（m）</w:t>
            </w:r>
          </w:p>
        </w:tc>
        <w:tc>
          <w:tcPr>
            <w:tcW w:w="828" w:type="dxa"/>
            <w:tcBorders>
              <w:top w:val="single" w:color="000000" w:sz="10" w:space="0"/>
              <w:right w:val="single" w:color="000000" w:sz="10" w:space="0"/>
            </w:tcBorders>
            <w:vAlign w:val="top"/>
          </w:tcPr>
          <w:p w14:paraId="797086C6">
            <w:pPr>
              <w:pStyle w:val="6"/>
              <w:spacing w:before="81" w:line="277" w:lineRule="auto"/>
              <w:ind w:left="124" w:right="59" w:firstLine="2"/>
              <w:jc w:val="both"/>
              <w:rPr>
                <w:sz w:val="20"/>
                <w:szCs w:val="20"/>
              </w:rPr>
            </w:pPr>
            <w:r>
              <w:rPr>
                <w:spacing w:val="-3"/>
                <w:sz w:val="20"/>
                <w:szCs w:val="20"/>
              </w:rPr>
              <w:t>北</w:t>
            </w:r>
            <w:r>
              <w:rPr>
                <w:spacing w:val="43"/>
                <w:sz w:val="20"/>
                <w:szCs w:val="20"/>
              </w:rPr>
              <w:t xml:space="preserve"> </w:t>
            </w:r>
            <w:r>
              <w:rPr>
                <w:spacing w:val="-3"/>
                <w:sz w:val="20"/>
                <w:szCs w:val="20"/>
              </w:rPr>
              <w:t>厂</w:t>
            </w:r>
            <w:r>
              <w:rPr>
                <w:sz w:val="20"/>
                <w:szCs w:val="20"/>
              </w:rPr>
              <w:t xml:space="preserve">  </w:t>
            </w:r>
            <w:r>
              <w:rPr>
                <w:spacing w:val="-1"/>
                <w:sz w:val="20"/>
                <w:szCs w:val="20"/>
              </w:rPr>
              <w:t>界</w:t>
            </w:r>
            <w:r>
              <w:rPr>
                <w:spacing w:val="42"/>
                <w:sz w:val="20"/>
                <w:szCs w:val="20"/>
              </w:rPr>
              <w:t xml:space="preserve"> </w:t>
            </w:r>
            <w:r>
              <w:rPr>
                <w:spacing w:val="-1"/>
                <w:sz w:val="20"/>
                <w:szCs w:val="20"/>
              </w:rPr>
              <w:t>贡</w:t>
            </w:r>
            <w:r>
              <w:rPr>
                <w:sz w:val="20"/>
                <w:szCs w:val="20"/>
              </w:rPr>
              <w:t xml:space="preserve">  </w:t>
            </w:r>
            <w:r>
              <w:rPr>
                <w:spacing w:val="-2"/>
                <w:sz w:val="20"/>
                <w:szCs w:val="20"/>
              </w:rPr>
              <w:t>献</w:t>
            </w:r>
            <w:r>
              <w:rPr>
                <w:spacing w:val="44"/>
                <w:sz w:val="20"/>
                <w:szCs w:val="20"/>
              </w:rPr>
              <w:t xml:space="preserve"> </w:t>
            </w:r>
            <w:r>
              <w:rPr>
                <w:spacing w:val="-2"/>
                <w:sz w:val="20"/>
                <w:szCs w:val="20"/>
              </w:rPr>
              <w:t>声</w:t>
            </w:r>
            <w:r>
              <w:rPr>
                <w:sz w:val="20"/>
                <w:szCs w:val="20"/>
              </w:rPr>
              <w:t xml:space="preserve">  </w:t>
            </w:r>
            <w:r>
              <w:rPr>
                <w:spacing w:val="-2"/>
                <w:sz w:val="20"/>
                <w:szCs w:val="20"/>
              </w:rPr>
              <w:t>压</w:t>
            </w:r>
            <w:r>
              <w:rPr>
                <w:spacing w:val="43"/>
                <w:sz w:val="20"/>
                <w:szCs w:val="20"/>
              </w:rPr>
              <w:t xml:space="preserve"> </w:t>
            </w:r>
            <w:r>
              <w:rPr>
                <w:spacing w:val="-2"/>
                <w:sz w:val="20"/>
                <w:szCs w:val="20"/>
              </w:rPr>
              <w:t>级</w:t>
            </w:r>
            <w:r>
              <w:rPr>
                <w:sz w:val="20"/>
                <w:szCs w:val="20"/>
              </w:rPr>
              <w:t xml:space="preserve">  </w:t>
            </w:r>
            <w:r>
              <w:rPr>
                <w:spacing w:val="-15"/>
                <w:sz w:val="20"/>
                <w:szCs w:val="20"/>
              </w:rPr>
              <w:t>dB（A）</w:t>
            </w:r>
          </w:p>
        </w:tc>
      </w:tr>
      <w:tr w14:paraId="52F315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6" w:hRule="atLeast"/>
        </w:trPr>
        <w:tc>
          <w:tcPr>
            <w:tcW w:w="477" w:type="dxa"/>
            <w:vMerge w:val="continue"/>
            <w:tcBorders>
              <w:top w:val="nil"/>
              <w:left w:val="single" w:color="000000" w:sz="10" w:space="0"/>
              <w:bottom w:val="nil"/>
            </w:tcBorders>
            <w:vAlign w:val="top"/>
          </w:tcPr>
          <w:p w14:paraId="24CF4411">
            <w:pPr>
              <w:rPr>
                <w:rFonts w:ascii="Arial"/>
                <w:sz w:val="21"/>
              </w:rPr>
            </w:pPr>
          </w:p>
        </w:tc>
        <w:tc>
          <w:tcPr>
            <w:tcW w:w="1710" w:type="dxa"/>
            <w:vAlign w:val="top"/>
          </w:tcPr>
          <w:p w14:paraId="508623DD">
            <w:pPr>
              <w:pStyle w:val="6"/>
              <w:spacing w:before="244" w:line="228" w:lineRule="auto"/>
              <w:ind w:left="456"/>
              <w:rPr>
                <w:sz w:val="20"/>
                <w:szCs w:val="20"/>
              </w:rPr>
            </w:pPr>
            <w:r>
              <w:rPr>
                <w:spacing w:val="7"/>
                <w:sz w:val="20"/>
                <w:szCs w:val="20"/>
              </w:rPr>
              <w:t>拆解车间</w:t>
            </w:r>
          </w:p>
        </w:tc>
        <w:tc>
          <w:tcPr>
            <w:tcW w:w="774" w:type="dxa"/>
            <w:vAlign w:val="top"/>
          </w:tcPr>
          <w:p w14:paraId="05F14789">
            <w:pPr>
              <w:pStyle w:val="6"/>
              <w:spacing w:before="277" w:line="189" w:lineRule="auto"/>
              <w:ind w:left="180"/>
              <w:rPr>
                <w:sz w:val="20"/>
                <w:szCs w:val="20"/>
              </w:rPr>
            </w:pPr>
            <w:r>
              <w:rPr>
                <w:spacing w:val="2"/>
                <w:sz w:val="20"/>
                <w:szCs w:val="20"/>
              </w:rPr>
              <w:t>37.5</w:t>
            </w:r>
          </w:p>
        </w:tc>
        <w:tc>
          <w:tcPr>
            <w:tcW w:w="905" w:type="dxa"/>
            <w:vAlign w:val="top"/>
          </w:tcPr>
          <w:p w14:paraId="1CAFDE18">
            <w:pPr>
              <w:pStyle w:val="6"/>
              <w:spacing w:before="277" w:line="189" w:lineRule="auto"/>
              <w:ind w:left="196"/>
              <w:rPr>
                <w:sz w:val="20"/>
                <w:szCs w:val="20"/>
              </w:rPr>
            </w:pPr>
            <w:r>
              <w:rPr>
                <w:spacing w:val="2"/>
                <w:sz w:val="20"/>
                <w:szCs w:val="20"/>
              </w:rPr>
              <w:t>37.96</w:t>
            </w:r>
          </w:p>
        </w:tc>
        <w:tc>
          <w:tcPr>
            <w:tcW w:w="832" w:type="dxa"/>
            <w:vAlign w:val="top"/>
          </w:tcPr>
          <w:p w14:paraId="6FF3DE72">
            <w:pPr>
              <w:pStyle w:val="6"/>
              <w:spacing w:before="276" w:line="190" w:lineRule="auto"/>
              <w:ind w:left="213"/>
              <w:rPr>
                <w:sz w:val="20"/>
                <w:szCs w:val="20"/>
              </w:rPr>
            </w:pPr>
            <w:r>
              <w:rPr>
                <w:spacing w:val="2"/>
                <w:sz w:val="20"/>
                <w:szCs w:val="20"/>
              </w:rPr>
              <w:t>21.5</w:t>
            </w:r>
          </w:p>
        </w:tc>
        <w:tc>
          <w:tcPr>
            <w:tcW w:w="957" w:type="dxa"/>
            <w:vAlign w:val="top"/>
          </w:tcPr>
          <w:p w14:paraId="73B866FA">
            <w:pPr>
              <w:pStyle w:val="6"/>
              <w:spacing w:before="277" w:line="189" w:lineRule="auto"/>
              <w:ind w:left="223"/>
              <w:rPr>
                <w:sz w:val="20"/>
                <w:szCs w:val="20"/>
              </w:rPr>
            </w:pPr>
            <w:r>
              <w:rPr>
                <w:spacing w:val="3"/>
                <w:sz w:val="20"/>
                <w:szCs w:val="20"/>
              </w:rPr>
              <w:t>42.80</w:t>
            </w:r>
          </w:p>
        </w:tc>
        <w:tc>
          <w:tcPr>
            <w:tcW w:w="797" w:type="dxa"/>
            <w:vAlign w:val="top"/>
          </w:tcPr>
          <w:p w14:paraId="02A4071A">
            <w:pPr>
              <w:pStyle w:val="6"/>
              <w:spacing w:before="277" w:line="189" w:lineRule="auto"/>
              <w:ind w:left="200"/>
              <w:rPr>
                <w:sz w:val="20"/>
                <w:szCs w:val="20"/>
              </w:rPr>
            </w:pPr>
            <w:r>
              <w:rPr>
                <w:spacing w:val="2"/>
                <w:sz w:val="20"/>
                <w:szCs w:val="20"/>
              </w:rPr>
              <w:t>22.5</w:t>
            </w:r>
          </w:p>
        </w:tc>
        <w:tc>
          <w:tcPr>
            <w:tcW w:w="820" w:type="dxa"/>
            <w:vAlign w:val="top"/>
          </w:tcPr>
          <w:p w14:paraId="5C2F468B">
            <w:pPr>
              <w:pStyle w:val="6"/>
              <w:spacing w:before="277" w:line="189" w:lineRule="auto"/>
              <w:ind w:left="158"/>
              <w:rPr>
                <w:sz w:val="20"/>
                <w:szCs w:val="20"/>
              </w:rPr>
            </w:pPr>
            <w:r>
              <w:rPr>
                <w:spacing w:val="3"/>
                <w:sz w:val="20"/>
                <w:szCs w:val="20"/>
              </w:rPr>
              <w:t>42.40</w:t>
            </w:r>
          </w:p>
        </w:tc>
        <w:tc>
          <w:tcPr>
            <w:tcW w:w="802" w:type="dxa"/>
            <w:vAlign w:val="top"/>
          </w:tcPr>
          <w:p w14:paraId="444358D9">
            <w:pPr>
              <w:pStyle w:val="6"/>
              <w:spacing w:before="277" w:line="189" w:lineRule="auto"/>
              <w:ind w:left="314"/>
              <w:rPr>
                <w:sz w:val="20"/>
                <w:szCs w:val="20"/>
              </w:rPr>
            </w:pPr>
            <w:r>
              <w:rPr>
                <w:spacing w:val="-1"/>
                <w:sz w:val="20"/>
                <w:szCs w:val="20"/>
              </w:rPr>
              <w:t>25</w:t>
            </w:r>
          </w:p>
        </w:tc>
        <w:tc>
          <w:tcPr>
            <w:tcW w:w="828" w:type="dxa"/>
            <w:tcBorders>
              <w:right w:val="single" w:color="000000" w:sz="10" w:space="0"/>
            </w:tcBorders>
            <w:vAlign w:val="top"/>
          </w:tcPr>
          <w:p w14:paraId="3FE701FB">
            <w:pPr>
              <w:pStyle w:val="6"/>
              <w:spacing w:before="276" w:line="190" w:lineRule="auto"/>
              <w:ind w:left="135"/>
              <w:rPr>
                <w:sz w:val="20"/>
                <w:szCs w:val="20"/>
              </w:rPr>
            </w:pPr>
            <w:r>
              <w:rPr>
                <w:spacing w:val="3"/>
                <w:sz w:val="20"/>
                <w:szCs w:val="20"/>
              </w:rPr>
              <w:t>41.49</w:t>
            </w:r>
          </w:p>
        </w:tc>
      </w:tr>
      <w:tr w14:paraId="1A1B90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7" w:type="dxa"/>
            <w:vMerge w:val="continue"/>
            <w:tcBorders>
              <w:top w:val="nil"/>
              <w:left w:val="single" w:color="000000" w:sz="10" w:space="0"/>
              <w:bottom w:val="nil"/>
            </w:tcBorders>
            <w:vAlign w:val="top"/>
          </w:tcPr>
          <w:p w14:paraId="625C0535">
            <w:pPr>
              <w:rPr>
                <w:rFonts w:ascii="Arial"/>
                <w:sz w:val="21"/>
              </w:rPr>
            </w:pPr>
          </w:p>
        </w:tc>
        <w:tc>
          <w:tcPr>
            <w:tcW w:w="1710" w:type="dxa"/>
            <w:vAlign w:val="top"/>
          </w:tcPr>
          <w:p w14:paraId="0571633D">
            <w:pPr>
              <w:pStyle w:val="6"/>
              <w:spacing w:before="94" w:line="249" w:lineRule="auto"/>
              <w:ind w:left="350" w:right="207" w:hanging="101"/>
              <w:rPr>
                <w:sz w:val="20"/>
                <w:szCs w:val="20"/>
              </w:rPr>
            </w:pPr>
            <w:r>
              <w:rPr>
                <w:spacing w:val="7"/>
                <w:sz w:val="20"/>
                <w:szCs w:val="20"/>
              </w:rPr>
              <w:t>现状噪声背景</w:t>
            </w:r>
            <w:r>
              <w:rPr>
                <w:spacing w:val="4"/>
                <w:sz w:val="20"/>
                <w:szCs w:val="20"/>
              </w:rPr>
              <w:t xml:space="preserve"> </w:t>
            </w:r>
            <w:r>
              <w:rPr>
                <w:spacing w:val="5"/>
                <w:sz w:val="20"/>
                <w:szCs w:val="20"/>
              </w:rPr>
              <w:t>值（昼间）</w:t>
            </w:r>
          </w:p>
        </w:tc>
        <w:tc>
          <w:tcPr>
            <w:tcW w:w="1679" w:type="dxa"/>
            <w:gridSpan w:val="2"/>
            <w:vAlign w:val="top"/>
          </w:tcPr>
          <w:p w14:paraId="0E9F8D96">
            <w:pPr>
              <w:pStyle w:val="6"/>
              <w:spacing w:before="289" w:line="187" w:lineRule="auto"/>
              <w:ind w:left="740"/>
              <w:rPr>
                <w:sz w:val="20"/>
                <w:szCs w:val="20"/>
              </w:rPr>
            </w:pPr>
            <w:r>
              <w:rPr>
                <w:spacing w:val="-2"/>
                <w:sz w:val="20"/>
                <w:szCs w:val="20"/>
              </w:rPr>
              <w:t>57</w:t>
            </w:r>
          </w:p>
        </w:tc>
        <w:tc>
          <w:tcPr>
            <w:tcW w:w="1789" w:type="dxa"/>
            <w:gridSpan w:val="2"/>
            <w:vAlign w:val="top"/>
          </w:tcPr>
          <w:p w14:paraId="60EE8EA0">
            <w:pPr>
              <w:pStyle w:val="6"/>
              <w:spacing w:before="287" w:line="189" w:lineRule="auto"/>
              <w:ind w:left="801"/>
              <w:rPr>
                <w:sz w:val="20"/>
                <w:szCs w:val="20"/>
              </w:rPr>
            </w:pPr>
            <w:r>
              <w:rPr>
                <w:spacing w:val="-2"/>
                <w:sz w:val="20"/>
                <w:szCs w:val="20"/>
              </w:rPr>
              <w:t>54</w:t>
            </w:r>
          </w:p>
        </w:tc>
        <w:tc>
          <w:tcPr>
            <w:tcW w:w="1617" w:type="dxa"/>
            <w:gridSpan w:val="2"/>
            <w:vAlign w:val="top"/>
          </w:tcPr>
          <w:p w14:paraId="6B97D046">
            <w:pPr>
              <w:pStyle w:val="6"/>
              <w:spacing w:before="289" w:line="187" w:lineRule="auto"/>
              <w:ind w:left="718"/>
              <w:rPr>
                <w:sz w:val="20"/>
                <w:szCs w:val="20"/>
              </w:rPr>
            </w:pPr>
            <w:r>
              <w:rPr>
                <w:spacing w:val="-2"/>
                <w:sz w:val="20"/>
                <w:szCs w:val="20"/>
              </w:rPr>
              <w:t>57</w:t>
            </w:r>
          </w:p>
        </w:tc>
        <w:tc>
          <w:tcPr>
            <w:tcW w:w="1630" w:type="dxa"/>
            <w:gridSpan w:val="2"/>
            <w:tcBorders>
              <w:right w:val="single" w:color="000000" w:sz="10" w:space="0"/>
            </w:tcBorders>
            <w:vAlign w:val="top"/>
          </w:tcPr>
          <w:p w14:paraId="6D2D6578">
            <w:pPr>
              <w:pStyle w:val="6"/>
              <w:spacing w:before="287" w:line="189" w:lineRule="auto"/>
              <w:ind w:left="697"/>
              <w:rPr>
                <w:sz w:val="20"/>
                <w:szCs w:val="20"/>
              </w:rPr>
            </w:pPr>
            <w:r>
              <w:rPr>
                <w:spacing w:val="-2"/>
                <w:sz w:val="20"/>
                <w:szCs w:val="20"/>
              </w:rPr>
              <w:t>53</w:t>
            </w:r>
          </w:p>
        </w:tc>
      </w:tr>
      <w:tr w14:paraId="347C47D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7" w:type="dxa"/>
            <w:vMerge w:val="continue"/>
            <w:tcBorders>
              <w:top w:val="nil"/>
              <w:left w:val="single" w:color="000000" w:sz="10" w:space="0"/>
              <w:bottom w:val="nil"/>
            </w:tcBorders>
            <w:vAlign w:val="top"/>
          </w:tcPr>
          <w:p w14:paraId="13AC133B">
            <w:pPr>
              <w:rPr>
                <w:rFonts w:ascii="Arial"/>
                <w:sz w:val="21"/>
              </w:rPr>
            </w:pPr>
          </w:p>
        </w:tc>
        <w:tc>
          <w:tcPr>
            <w:tcW w:w="1710" w:type="dxa"/>
            <w:vAlign w:val="top"/>
          </w:tcPr>
          <w:p w14:paraId="568FAE53">
            <w:pPr>
              <w:pStyle w:val="6"/>
              <w:spacing w:before="94" w:line="249" w:lineRule="auto"/>
              <w:ind w:left="350" w:right="207" w:hanging="101"/>
              <w:rPr>
                <w:sz w:val="20"/>
                <w:szCs w:val="20"/>
              </w:rPr>
            </w:pPr>
            <w:r>
              <w:rPr>
                <w:spacing w:val="7"/>
                <w:sz w:val="20"/>
                <w:szCs w:val="20"/>
              </w:rPr>
              <w:t>现状噪声背景</w:t>
            </w:r>
            <w:r>
              <w:rPr>
                <w:spacing w:val="4"/>
                <w:sz w:val="20"/>
                <w:szCs w:val="20"/>
              </w:rPr>
              <w:t xml:space="preserve"> </w:t>
            </w:r>
            <w:r>
              <w:rPr>
                <w:spacing w:val="5"/>
                <w:sz w:val="20"/>
                <w:szCs w:val="20"/>
              </w:rPr>
              <w:t>值（夜间）</w:t>
            </w:r>
          </w:p>
        </w:tc>
        <w:tc>
          <w:tcPr>
            <w:tcW w:w="1679" w:type="dxa"/>
            <w:gridSpan w:val="2"/>
            <w:vAlign w:val="top"/>
          </w:tcPr>
          <w:p w14:paraId="3A5AFF62">
            <w:pPr>
              <w:pStyle w:val="6"/>
              <w:spacing w:before="288" w:line="189" w:lineRule="auto"/>
              <w:ind w:left="735"/>
              <w:rPr>
                <w:sz w:val="20"/>
                <w:szCs w:val="20"/>
              </w:rPr>
            </w:pPr>
            <w:r>
              <w:rPr>
                <w:spacing w:val="1"/>
                <w:sz w:val="20"/>
                <w:szCs w:val="20"/>
              </w:rPr>
              <w:t>43</w:t>
            </w:r>
          </w:p>
        </w:tc>
        <w:tc>
          <w:tcPr>
            <w:tcW w:w="1789" w:type="dxa"/>
            <w:gridSpan w:val="2"/>
            <w:vAlign w:val="top"/>
          </w:tcPr>
          <w:p w14:paraId="4C989164">
            <w:pPr>
              <w:pStyle w:val="6"/>
              <w:spacing w:before="288" w:line="189" w:lineRule="auto"/>
              <w:ind w:left="796"/>
              <w:rPr>
                <w:sz w:val="20"/>
                <w:szCs w:val="20"/>
              </w:rPr>
            </w:pPr>
            <w:r>
              <w:rPr>
                <w:spacing w:val="1"/>
                <w:sz w:val="20"/>
                <w:szCs w:val="20"/>
              </w:rPr>
              <w:t>46</w:t>
            </w:r>
          </w:p>
        </w:tc>
        <w:tc>
          <w:tcPr>
            <w:tcW w:w="1617" w:type="dxa"/>
            <w:gridSpan w:val="2"/>
            <w:vAlign w:val="top"/>
          </w:tcPr>
          <w:p w14:paraId="628DC31F">
            <w:pPr>
              <w:pStyle w:val="6"/>
              <w:spacing w:before="288" w:line="189" w:lineRule="auto"/>
              <w:ind w:left="713"/>
              <w:rPr>
                <w:sz w:val="20"/>
                <w:szCs w:val="20"/>
              </w:rPr>
            </w:pPr>
            <w:r>
              <w:rPr>
                <w:spacing w:val="1"/>
                <w:sz w:val="20"/>
                <w:szCs w:val="20"/>
              </w:rPr>
              <w:t>44</w:t>
            </w:r>
          </w:p>
        </w:tc>
        <w:tc>
          <w:tcPr>
            <w:tcW w:w="1630" w:type="dxa"/>
            <w:gridSpan w:val="2"/>
            <w:tcBorders>
              <w:right w:val="single" w:color="000000" w:sz="10" w:space="0"/>
            </w:tcBorders>
            <w:vAlign w:val="top"/>
          </w:tcPr>
          <w:p w14:paraId="0333A571">
            <w:pPr>
              <w:pStyle w:val="6"/>
              <w:spacing w:before="288" w:line="189" w:lineRule="auto"/>
              <w:ind w:left="692"/>
              <w:rPr>
                <w:sz w:val="20"/>
                <w:szCs w:val="20"/>
              </w:rPr>
            </w:pPr>
            <w:r>
              <w:rPr>
                <w:spacing w:val="1"/>
                <w:sz w:val="20"/>
                <w:szCs w:val="20"/>
              </w:rPr>
              <w:t>44</w:t>
            </w:r>
          </w:p>
        </w:tc>
      </w:tr>
      <w:tr w14:paraId="3824E3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477" w:type="dxa"/>
            <w:vMerge w:val="continue"/>
            <w:tcBorders>
              <w:top w:val="nil"/>
              <w:left w:val="single" w:color="000000" w:sz="10" w:space="0"/>
              <w:bottom w:val="nil"/>
            </w:tcBorders>
            <w:vAlign w:val="top"/>
          </w:tcPr>
          <w:p w14:paraId="15B7A2E8">
            <w:pPr>
              <w:rPr>
                <w:rFonts w:ascii="Arial"/>
                <w:sz w:val="21"/>
              </w:rPr>
            </w:pPr>
          </w:p>
        </w:tc>
        <w:tc>
          <w:tcPr>
            <w:tcW w:w="1710" w:type="dxa"/>
            <w:vAlign w:val="top"/>
          </w:tcPr>
          <w:p w14:paraId="46A9005E">
            <w:pPr>
              <w:pStyle w:val="6"/>
              <w:spacing w:before="96" w:line="248" w:lineRule="auto"/>
              <w:ind w:left="350" w:right="207" w:hanging="100"/>
              <w:rPr>
                <w:sz w:val="20"/>
                <w:szCs w:val="20"/>
              </w:rPr>
            </w:pPr>
            <w:r>
              <w:rPr>
                <w:spacing w:val="7"/>
                <w:sz w:val="20"/>
                <w:szCs w:val="20"/>
              </w:rPr>
              <w:t>厂界噪声预测</w:t>
            </w:r>
            <w:r>
              <w:rPr>
                <w:spacing w:val="4"/>
                <w:sz w:val="20"/>
                <w:szCs w:val="20"/>
              </w:rPr>
              <w:t xml:space="preserve"> </w:t>
            </w:r>
            <w:r>
              <w:rPr>
                <w:spacing w:val="5"/>
                <w:sz w:val="20"/>
                <w:szCs w:val="20"/>
              </w:rPr>
              <w:t>值（昼间）</w:t>
            </w:r>
          </w:p>
        </w:tc>
        <w:tc>
          <w:tcPr>
            <w:tcW w:w="1679" w:type="dxa"/>
            <w:gridSpan w:val="2"/>
            <w:vAlign w:val="top"/>
          </w:tcPr>
          <w:p w14:paraId="08E42E87">
            <w:pPr>
              <w:pStyle w:val="6"/>
              <w:spacing w:before="289" w:line="189" w:lineRule="auto"/>
              <w:ind w:left="581"/>
              <w:rPr>
                <w:sz w:val="20"/>
                <w:szCs w:val="20"/>
              </w:rPr>
            </w:pPr>
            <w:r>
              <w:rPr>
                <w:spacing w:val="2"/>
                <w:sz w:val="20"/>
                <w:szCs w:val="20"/>
              </w:rPr>
              <w:t>57.05</w:t>
            </w:r>
          </w:p>
        </w:tc>
        <w:tc>
          <w:tcPr>
            <w:tcW w:w="1789" w:type="dxa"/>
            <w:gridSpan w:val="2"/>
            <w:vAlign w:val="top"/>
          </w:tcPr>
          <w:p w14:paraId="4ED09592">
            <w:pPr>
              <w:pStyle w:val="6"/>
              <w:spacing w:before="289" w:line="189" w:lineRule="auto"/>
              <w:ind w:left="642"/>
              <w:rPr>
                <w:sz w:val="20"/>
                <w:szCs w:val="20"/>
              </w:rPr>
            </w:pPr>
            <w:r>
              <w:rPr>
                <w:spacing w:val="2"/>
                <w:sz w:val="20"/>
                <w:szCs w:val="20"/>
              </w:rPr>
              <w:t>54.32</w:t>
            </w:r>
          </w:p>
        </w:tc>
        <w:tc>
          <w:tcPr>
            <w:tcW w:w="1617" w:type="dxa"/>
            <w:gridSpan w:val="2"/>
            <w:vAlign w:val="top"/>
          </w:tcPr>
          <w:p w14:paraId="4DC07E09">
            <w:pPr>
              <w:pStyle w:val="6"/>
              <w:spacing w:before="288" w:line="190" w:lineRule="auto"/>
              <w:ind w:left="562"/>
              <w:rPr>
                <w:sz w:val="20"/>
                <w:szCs w:val="20"/>
              </w:rPr>
            </w:pPr>
            <w:r>
              <w:rPr>
                <w:spacing w:val="2"/>
                <w:sz w:val="20"/>
                <w:szCs w:val="20"/>
              </w:rPr>
              <w:t>57.15</w:t>
            </w:r>
          </w:p>
        </w:tc>
        <w:tc>
          <w:tcPr>
            <w:tcW w:w="1630" w:type="dxa"/>
            <w:gridSpan w:val="2"/>
            <w:tcBorders>
              <w:right w:val="single" w:color="000000" w:sz="10" w:space="0"/>
            </w:tcBorders>
            <w:vAlign w:val="top"/>
          </w:tcPr>
          <w:p w14:paraId="4EC613C4">
            <w:pPr>
              <w:pStyle w:val="6"/>
              <w:spacing w:before="289" w:line="189" w:lineRule="auto"/>
              <w:ind w:left="594"/>
              <w:rPr>
                <w:sz w:val="20"/>
                <w:szCs w:val="20"/>
              </w:rPr>
            </w:pPr>
            <w:r>
              <w:rPr>
                <w:spacing w:val="1"/>
                <w:sz w:val="20"/>
                <w:szCs w:val="20"/>
              </w:rPr>
              <w:t>53.3</w:t>
            </w:r>
          </w:p>
        </w:tc>
      </w:tr>
      <w:tr w14:paraId="61733A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3" w:hRule="atLeast"/>
        </w:trPr>
        <w:tc>
          <w:tcPr>
            <w:tcW w:w="477" w:type="dxa"/>
            <w:vMerge w:val="continue"/>
            <w:tcBorders>
              <w:top w:val="nil"/>
              <w:left w:val="single" w:color="000000" w:sz="10" w:space="0"/>
              <w:bottom w:val="nil"/>
            </w:tcBorders>
            <w:vAlign w:val="top"/>
          </w:tcPr>
          <w:p w14:paraId="37A50DEA">
            <w:pPr>
              <w:rPr>
                <w:rFonts w:ascii="Arial"/>
                <w:sz w:val="21"/>
              </w:rPr>
            </w:pPr>
          </w:p>
        </w:tc>
        <w:tc>
          <w:tcPr>
            <w:tcW w:w="1710" w:type="dxa"/>
            <w:tcBorders>
              <w:bottom w:val="single" w:color="000000" w:sz="10" w:space="0"/>
            </w:tcBorders>
            <w:vAlign w:val="top"/>
          </w:tcPr>
          <w:p w14:paraId="03F68C86">
            <w:pPr>
              <w:pStyle w:val="6"/>
              <w:spacing w:before="96" w:line="252" w:lineRule="auto"/>
              <w:ind w:left="350" w:right="207" w:hanging="100"/>
              <w:rPr>
                <w:sz w:val="20"/>
                <w:szCs w:val="20"/>
              </w:rPr>
            </w:pPr>
            <w:r>
              <w:rPr>
                <w:spacing w:val="7"/>
                <w:sz w:val="20"/>
                <w:szCs w:val="20"/>
              </w:rPr>
              <w:t>厂界噪声预测</w:t>
            </w:r>
            <w:r>
              <w:rPr>
                <w:spacing w:val="4"/>
                <w:sz w:val="20"/>
                <w:szCs w:val="20"/>
              </w:rPr>
              <w:t xml:space="preserve"> </w:t>
            </w:r>
            <w:r>
              <w:rPr>
                <w:spacing w:val="5"/>
                <w:sz w:val="20"/>
                <w:szCs w:val="20"/>
              </w:rPr>
              <w:t>值（夜间）</w:t>
            </w:r>
          </w:p>
        </w:tc>
        <w:tc>
          <w:tcPr>
            <w:tcW w:w="1679" w:type="dxa"/>
            <w:gridSpan w:val="2"/>
            <w:tcBorders>
              <w:bottom w:val="single" w:color="000000" w:sz="10" w:space="0"/>
            </w:tcBorders>
            <w:vAlign w:val="top"/>
          </w:tcPr>
          <w:p w14:paraId="3B185E13">
            <w:pPr>
              <w:pStyle w:val="6"/>
              <w:spacing w:before="290" w:line="190" w:lineRule="auto"/>
              <w:ind w:left="576"/>
              <w:rPr>
                <w:sz w:val="20"/>
                <w:szCs w:val="20"/>
              </w:rPr>
            </w:pPr>
            <w:r>
              <w:rPr>
                <w:spacing w:val="3"/>
                <w:sz w:val="20"/>
                <w:szCs w:val="20"/>
              </w:rPr>
              <w:t>44.18</w:t>
            </w:r>
          </w:p>
        </w:tc>
        <w:tc>
          <w:tcPr>
            <w:tcW w:w="1789" w:type="dxa"/>
            <w:gridSpan w:val="2"/>
            <w:tcBorders>
              <w:bottom w:val="single" w:color="000000" w:sz="10" w:space="0"/>
            </w:tcBorders>
            <w:vAlign w:val="top"/>
          </w:tcPr>
          <w:p w14:paraId="13F19608">
            <w:pPr>
              <w:pStyle w:val="6"/>
              <w:spacing w:before="291" w:line="189" w:lineRule="auto"/>
              <w:ind w:left="690"/>
              <w:rPr>
                <w:sz w:val="20"/>
                <w:szCs w:val="20"/>
              </w:rPr>
            </w:pPr>
            <w:r>
              <w:rPr>
                <w:spacing w:val="3"/>
                <w:sz w:val="20"/>
                <w:szCs w:val="20"/>
              </w:rPr>
              <w:t>47.7</w:t>
            </w:r>
          </w:p>
        </w:tc>
        <w:tc>
          <w:tcPr>
            <w:tcW w:w="1617" w:type="dxa"/>
            <w:gridSpan w:val="2"/>
            <w:tcBorders>
              <w:bottom w:val="single" w:color="000000" w:sz="10" w:space="0"/>
            </w:tcBorders>
            <w:vAlign w:val="top"/>
          </w:tcPr>
          <w:p w14:paraId="3C240553">
            <w:pPr>
              <w:pStyle w:val="6"/>
              <w:spacing w:before="291" w:line="189" w:lineRule="auto"/>
              <w:ind w:left="557"/>
              <w:rPr>
                <w:sz w:val="20"/>
                <w:szCs w:val="20"/>
              </w:rPr>
            </w:pPr>
            <w:r>
              <w:rPr>
                <w:spacing w:val="3"/>
                <w:sz w:val="20"/>
                <w:szCs w:val="20"/>
              </w:rPr>
              <w:t>46.28</w:t>
            </w:r>
          </w:p>
        </w:tc>
        <w:tc>
          <w:tcPr>
            <w:tcW w:w="1630" w:type="dxa"/>
            <w:gridSpan w:val="2"/>
            <w:tcBorders>
              <w:bottom w:val="single" w:color="000000" w:sz="10" w:space="0"/>
              <w:right w:val="single" w:color="000000" w:sz="10" w:space="0"/>
            </w:tcBorders>
            <w:vAlign w:val="top"/>
          </w:tcPr>
          <w:p w14:paraId="012FD70B">
            <w:pPr>
              <w:pStyle w:val="6"/>
              <w:spacing w:before="291" w:line="189" w:lineRule="auto"/>
              <w:ind w:left="536"/>
              <w:rPr>
                <w:sz w:val="20"/>
                <w:szCs w:val="20"/>
              </w:rPr>
            </w:pPr>
            <w:r>
              <w:rPr>
                <w:spacing w:val="3"/>
                <w:sz w:val="20"/>
                <w:szCs w:val="20"/>
              </w:rPr>
              <w:t>45.93</w:t>
            </w:r>
          </w:p>
        </w:tc>
      </w:tr>
      <w:tr w14:paraId="6C2980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2" w:hRule="atLeast"/>
        </w:trPr>
        <w:tc>
          <w:tcPr>
            <w:tcW w:w="477" w:type="dxa"/>
            <w:vMerge w:val="continue"/>
            <w:tcBorders>
              <w:top w:val="nil"/>
              <w:left w:val="single" w:color="000000" w:sz="10" w:space="0"/>
              <w:bottom w:val="single" w:color="000000" w:sz="10" w:space="0"/>
            </w:tcBorders>
            <w:vAlign w:val="top"/>
          </w:tcPr>
          <w:p w14:paraId="59EF9DAA">
            <w:pPr>
              <w:rPr>
                <w:rFonts w:ascii="Arial"/>
                <w:sz w:val="21"/>
              </w:rPr>
            </w:pPr>
          </w:p>
        </w:tc>
        <w:tc>
          <w:tcPr>
            <w:tcW w:w="8425" w:type="dxa"/>
            <w:gridSpan w:val="9"/>
            <w:tcBorders>
              <w:top w:val="single" w:color="000000" w:sz="10" w:space="0"/>
              <w:bottom w:val="single" w:color="000000" w:sz="10" w:space="0"/>
              <w:right w:val="single" w:color="000000" w:sz="10" w:space="0"/>
            </w:tcBorders>
            <w:vAlign w:val="top"/>
          </w:tcPr>
          <w:p w14:paraId="79FE3E6D">
            <w:pPr>
              <w:pStyle w:val="6"/>
              <w:spacing w:before="46" w:line="353" w:lineRule="auto"/>
              <w:ind w:left="105" w:right="97" w:firstLine="482"/>
              <w:jc w:val="both"/>
            </w:pPr>
            <w:r>
              <w:rPr>
                <w:spacing w:val="2"/>
              </w:rPr>
              <w:t>项目区域执行《工业企业厂界环境噪声排放标准》（</w:t>
            </w:r>
            <w:r>
              <w:rPr>
                <w:rFonts w:ascii="Calibri" w:hAnsi="Calibri" w:eastAsia="Calibri" w:cs="Calibri"/>
              </w:rPr>
              <w:t>GB</w:t>
            </w:r>
            <w:r>
              <w:rPr>
                <w:rFonts w:ascii="Calibri" w:hAnsi="Calibri" w:eastAsia="Calibri" w:cs="Calibri"/>
                <w:spacing w:val="2"/>
              </w:rPr>
              <w:t>12348-20</w:t>
            </w:r>
            <w:r>
              <w:rPr>
                <w:rFonts w:ascii="Calibri" w:hAnsi="Calibri" w:eastAsia="Calibri" w:cs="Calibri"/>
                <w:spacing w:val="1"/>
              </w:rPr>
              <w:t>08</w:t>
            </w:r>
            <w:r>
              <w:rPr>
                <w:spacing w:val="1"/>
              </w:rPr>
              <w:t>）表</w:t>
            </w:r>
            <w:r>
              <w:rPr>
                <w:spacing w:val="-37"/>
              </w:rPr>
              <w:t xml:space="preserve"> </w:t>
            </w:r>
            <w:r>
              <w:rPr>
                <w:rFonts w:ascii="Calibri" w:hAnsi="Calibri" w:eastAsia="Calibri" w:cs="Calibri"/>
                <w:spacing w:val="1"/>
              </w:rPr>
              <w:t>1</w:t>
            </w:r>
            <w:r>
              <w:rPr>
                <w:rFonts w:ascii="Calibri" w:hAnsi="Calibri" w:eastAsia="Calibri" w:cs="Calibri"/>
              </w:rPr>
              <w:t xml:space="preserve"> </w:t>
            </w:r>
            <w:r>
              <w:rPr>
                <w:spacing w:val="1"/>
              </w:rPr>
              <w:t>中</w:t>
            </w:r>
            <w:r>
              <w:rPr>
                <w:spacing w:val="-41"/>
              </w:rPr>
              <w:t xml:space="preserve"> </w:t>
            </w:r>
            <w:r>
              <w:rPr>
                <w:rFonts w:ascii="Calibri" w:hAnsi="Calibri" w:eastAsia="Calibri" w:cs="Calibri"/>
                <w:spacing w:val="1"/>
              </w:rPr>
              <w:t>2</w:t>
            </w:r>
            <w:r>
              <w:rPr>
                <w:rFonts w:ascii="Calibri" w:hAnsi="Calibri" w:eastAsia="Calibri" w:cs="Calibri"/>
                <w:spacing w:val="16"/>
                <w:w w:val="101"/>
              </w:rPr>
              <w:t xml:space="preserve"> </w:t>
            </w:r>
            <w:r>
              <w:rPr>
                <w:spacing w:val="1"/>
              </w:rPr>
              <w:t>类标准。由表</w:t>
            </w:r>
            <w:r>
              <w:rPr>
                <w:spacing w:val="-52"/>
              </w:rPr>
              <w:t xml:space="preserve"> </w:t>
            </w:r>
            <w:r>
              <w:rPr>
                <w:rFonts w:ascii="Calibri" w:hAnsi="Calibri" w:eastAsia="Calibri" w:cs="Calibri"/>
                <w:spacing w:val="1"/>
              </w:rPr>
              <w:t>4-7</w:t>
            </w:r>
            <w:r>
              <w:rPr>
                <w:rFonts w:ascii="Calibri" w:hAnsi="Calibri" w:eastAsia="Calibri" w:cs="Calibri"/>
                <w:spacing w:val="20"/>
                <w:w w:val="101"/>
              </w:rPr>
              <w:t xml:space="preserve"> </w:t>
            </w:r>
            <w:r>
              <w:rPr>
                <w:spacing w:val="1"/>
              </w:rPr>
              <w:t>可知，采取措施后各发声设备的噪声经距离衰减到厂界</w:t>
            </w:r>
            <w:r>
              <w:t xml:space="preserve"> </w:t>
            </w:r>
            <w:r>
              <w:rPr>
                <w:spacing w:val="-1"/>
              </w:rPr>
              <w:t>噪声贡献值在</w:t>
            </w:r>
            <w:r>
              <w:rPr>
                <w:spacing w:val="-32"/>
              </w:rPr>
              <w:t xml:space="preserve"> </w:t>
            </w:r>
            <w:r>
              <w:rPr>
                <w:spacing w:val="-1"/>
              </w:rPr>
              <w:t>37.96-42.80dB(A)之间，厂界噪声贡献值符合《工业企业厂界环</w:t>
            </w:r>
            <w:r>
              <w:t xml:space="preserve"> </w:t>
            </w:r>
            <w:r>
              <w:rPr>
                <w:spacing w:val="-1"/>
              </w:rPr>
              <w:t>境噪声排放标准》（</w:t>
            </w:r>
            <w:r>
              <w:rPr>
                <w:rFonts w:ascii="Calibri" w:hAnsi="Calibri" w:eastAsia="Calibri" w:cs="Calibri"/>
                <w:spacing w:val="-1"/>
              </w:rPr>
              <w:t>GB12348-2008</w:t>
            </w:r>
            <w:r>
              <w:rPr>
                <w:spacing w:val="-1"/>
              </w:rPr>
              <w:t>）表</w:t>
            </w:r>
            <w:r>
              <w:rPr>
                <w:spacing w:val="-37"/>
              </w:rPr>
              <w:t xml:space="preserve"> </w:t>
            </w:r>
            <w:r>
              <w:rPr>
                <w:rFonts w:ascii="Calibri" w:hAnsi="Calibri" w:eastAsia="Calibri" w:cs="Calibri"/>
                <w:spacing w:val="-1"/>
              </w:rPr>
              <w:t>1</w:t>
            </w:r>
            <w:r>
              <w:rPr>
                <w:rFonts w:ascii="Calibri" w:hAnsi="Calibri" w:eastAsia="Calibri" w:cs="Calibri"/>
                <w:spacing w:val="39"/>
              </w:rPr>
              <w:t xml:space="preserve"> </w:t>
            </w:r>
            <w:r>
              <w:rPr>
                <w:spacing w:val="-1"/>
              </w:rPr>
              <w:t>中</w:t>
            </w:r>
            <w:r>
              <w:rPr>
                <w:spacing w:val="-44"/>
              </w:rPr>
              <w:t xml:space="preserve"> </w:t>
            </w:r>
            <w:r>
              <w:rPr>
                <w:rFonts w:ascii="Calibri" w:hAnsi="Calibri" w:eastAsia="Calibri" w:cs="Calibri"/>
                <w:spacing w:val="-1"/>
              </w:rPr>
              <w:t>2</w:t>
            </w:r>
            <w:r>
              <w:rPr>
                <w:rFonts w:ascii="Calibri" w:hAnsi="Calibri" w:eastAsia="Calibri" w:cs="Calibri"/>
                <w:spacing w:val="16"/>
              </w:rPr>
              <w:t xml:space="preserve"> </w:t>
            </w:r>
            <w:r>
              <w:rPr>
                <w:spacing w:val="-1"/>
              </w:rPr>
              <w:t>类标准要</w:t>
            </w:r>
            <w:r>
              <w:rPr>
                <w:spacing w:val="-2"/>
              </w:rPr>
              <w:t>求，项目对周围声环境</w:t>
            </w:r>
          </w:p>
        </w:tc>
      </w:tr>
    </w:tbl>
    <w:p w14:paraId="6922213D">
      <w:pPr>
        <w:pStyle w:val="2"/>
        <w:spacing w:line="139" w:lineRule="exact"/>
        <w:rPr>
          <w:sz w:val="12"/>
        </w:rPr>
      </w:pPr>
    </w:p>
    <w:p w14:paraId="688B7C19">
      <w:pPr>
        <w:spacing w:line="139" w:lineRule="exact"/>
        <w:rPr>
          <w:sz w:val="12"/>
          <w:szCs w:val="12"/>
        </w:rPr>
        <w:sectPr>
          <w:footerReference r:id="rId75" w:type="default"/>
          <w:pgSz w:w="11906" w:h="16839"/>
          <w:pgMar w:top="1270" w:right="1489" w:bottom="1261"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39E2E710">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917" w:hRule="atLeast"/>
        </w:trPr>
        <w:tc>
          <w:tcPr>
            <w:tcW w:w="477" w:type="dxa"/>
            <w:tcBorders>
              <w:right w:val="single" w:color="000000" w:sz="2" w:space="0"/>
            </w:tcBorders>
            <w:vAlign w:val="top"/>
          </w:tcPr>
          <w:p w14:paraId="44861FFF">
            <w:pPr>
              <w:rPr>
                <w:rFonts w:ascii="Arial"/>
                <w:sz w:val="21"/>
              </w:rPr>
            </w:pPr>
          </w:p>
        </w:tc>
        <w:tc>
          <w:tcPr>
            <w:tcW w:w="8425" w:type="dxa"/>
            <w:tcBorders>
              <w:left w:val="single" w:color="000000" w:sz="2" w:space="0"/>
            </w:tcBorders>
            <w:vAlign w:val="top"/>
          </w:tcPr>
          <w:p w14:paraId="602F1366">
            <w:pPr>
              <w:pStyle w:val="6"/>
              <w:spacing w:before="21" w:line="221" w:lineRule="auto"/>
              <w:ind w:left="104"/>
            </w:pPr>
            <w:r>
              <w:rPr>
                <w:spacing w:val="-2"/>
              </w:rPr>
              <w:t>影响可接受。</w:t>
            </w:r>
          </w:p>
          <w:p w14:paraId="12B50AAC">
            <w:pPr>
              <w:pStyle w:val="6"/>
              <w:spacing w:before="178" w:line="221" w:lineRule="auto"/>
              <w:ind w:left="596"/>
            </w:pPr>
            <w:r>
              <w:rPr>
                <w:spacing w:val="-4"/>
              </w:rPr>
              <w:t>（</w:t>
            </w:r>
            <w:r>
              <w:rPr>
                <w:rFonts w:ascii="Calibri" w:hAnsi="Calibri" w:eastAsia="Calibri" w:cs="Calibri"/>
                <w:spacing w:val="-4"/>
              </w:rPr>
              <w:t>2</w:t>
            </w:r>
            <w:r>
              <w:rPr>
                <w:spacing w:val="-4"/>
              </w:rPr>
              <w:t>）监测计划</w:t>
            </w:r>
          </w:p>
          <w:p w14:paraId="62CE6E23">
            <w:pPr>
              <w:pStyle w:val="6"/>
              <w:spacing w:before="179" w:line="342" w:lineRule="auto"/>
              <w:ind w:left="108" w:right="97" w:firstLine="478"/>
            </w:pPr>
            <w:r>
              <w:rPr>
                <w:spacing w:val="-3"/>
              </w:rPr>
              <w:t>按照《排污单位自行监测技术指南总则》</w:t>
            </w:r>
            <w:r>
              <w:rPr>
                <w:rFonts w:ascii="Calibri" w:hAnsi="Calibri" w:eastAsia="Calibri" w:cs="Calibri"/>
                <w:spacing w:val="-3"/>
              </w:rPr>
              <w:t>(HJ 819-2017)</w:t>
            </w:r>
            <w:r>
              <w:rPr>
                <w:spacing w:val="-3"/>
              </w:rPr>
              <w:t>要求，落实运营期自</w:t>
            </w:r>
            <w:r>
              <w:rPr>
                <w:spacing w:val="14"/>
              </w:rPr>
              <w:t xml:space="preserve"> </w:t>
            </w:r>
            <w:r>
              <w:rPr>
                <w:spacing w:val="-1"/>
              </w:rPr>
              <w:t>行监测计划，项目噪声监测计划见表</w:t>
            </w:r>
            <w:r>
              <w:rPr>
                <w:spacing w:val="-55"/>
              </w:rPr>
              <w:t xml:space="preserve"> </w:t>
            </w:r>
            <w:r>
              <w:rPr>
                <w:rFonts w:ascii="Calibri" w:hAnsi="Calibri" w:eastAsia="Calibri" w:cs="Calibri"/>
                <w:spacing w:val="-1"/>
              </w:rPr>
              <w:t>4-8</w:t>
            </w:r>
            <w:r>
              <w:rPr>
                <w:spacing w:val="-1"/>
              </w:rPr>
              <w:t>。</w:t>
            </w:r>
          </w:p>
          <w:p w14:paraId="3D90A976">
            <w:pPr>
              <w:pStyle w:val="6"/>
              <w:spacing w:before="125" w:line="219" w:lineRule="auto"/>
              <w:ind w:left="2263"/>
            </w:pPr>
            <w:r>
              <w:rPr>
                <w:b/>
                <w:bCs/>
                <w:spacing w:val="-6"/>
              </w:rPr>
              <w:t>表</w:t>
            </w:r>
            <w:r>
              <w:rPr>
                <w:spacing w:val="-49"/>
              </w:rPr>
              <w:t xml:space="preserve"> </w:t>
            </w:r>
            <w:r>
              <w:rPr>
                <w:b/>
                <w:bCs/>
                <w:spacing w:val="-6"/>
              </w:rPr>
              <w:t>4-8</w:t>
            </w:r>
            <w:r>
              <w:rPr>
                <w:spacing w:val="2"/>
              </w:rPr>
              <w:t xml:space="preserve">         </w:t>
            </w:r>
            <w:r>
              <w:rPr>
                <w:b/>
                <w:bCs/>
                <w:spacing w:val="-6"/>
              </w:rPr>
              <w:t>噪声监测计划</w:t>
            </w:r>
          </w:p>
          <w:tbl>
            <w:tblPr>
              <w:tblStyle w:val="5"/>
              <w:tblW w:w="8219"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52"/>
              <w:gridCol w:w="1153"/>
              <w:gridCol w:w="1153"/>
              <w:gridCol w:w="4761"/>
            </w:tblGrid>
            <w:tr w14:paraId="4DD87F4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3" w:hRule="atLeast"/>
              </w:trPr>
              <w:tc>
                <w:tcPr>
                  <w:tcW w:w="1152" w:type="dxa"/>
                  <w:tcBorders>
                    <w:top w:val="single" w:color="000000" w:sz="10" w:space="0"/>
                    <w:left w:val="nil"/>
                  </w:tcBorders>
                  <w:vAlign w:val="top"/>
                </w:tcPr>
                <w:p w14:paraId="61997E88">
                  <w:pPr>
                    <w:pStyle w:val="6"/>
                    <w:spacing w:before="81" w:line="214" w:lineRule="auto"/>
                    <w:ind w:left="165"/>
                    <w:rPr>
                      <w:sz w:val="20"/>
                      <w:szCs w:val="20"/>
                    </w:rPr>
                  </w:pPr>
                  <w:r>
                    <w:rPr>
                      <w:spacing w:val="7"/>
                      <w:sz w:val="20"/>
                      <w:szCs w:val="20"/>
                    </w:rPr>
                    <w:t>监测点位</w:t>
                  </w:r>
                </w:p>
              </w:tc>
              <w:tc>
                <w:tcPr>
                  <w:tcW w:w="1153" w:type="dxa"/>
                  <w:tcBorders>
                    <w:top w:val="single" w:color="000000" w:sz="10" w:space="0"/>
                  </w:tcBorders>
                  <w:vAlign w:val="top"/>
                </w:tcPr>
                <w:p w14:paraId="2732AE7B">
                  <w:pPr>
                    <w:pStyle w:val="6"/>
                    <w:spacing w:before="81" w:line="214" w:lineRule="auto"/>
                    <w:ind w:left="163"/>
                    <w:rPr>
                      <w:sz w:val="20"/>
                      <w:szCs w:val="20"/>
                    </w:rPr>
                  </w:pPr>
                  <w:r>
                    <w:rPr>
                      <w:spacing w:val="7"/>
                      <w:sz w:val="20"/>
                      <w:szCs w:val="20"/>
                    </w:rPr>
                    <w:t>监测项目</w:t>
                  </w:r>
                </w:p>
              </w:tc>
              <w:tc>
                <w:tcPr>
                  <w:tcW w:w="1153" w:type="dxa"/>
                  <w:tcBorders>
                    <w:top w:val="single" w:color="000000" w:sz="10" w:space="0"/>
                  </w:tcBorders>
                  <w:vAlign w:val="top"/>
                </w:tcPr>
                <w:p w14:paraId="45050FCA">
                  <w:pPr>
                    <w:pStyle w:val="6"/>
                    <w:spacing w:before="81" w:line="214" w:lineRule="auto"/>
                    <w:ind w:left="162"/>
                    <w:rPr>
                      <w:sz w:val="20"/>
                      <w:szCs w:val="20"/>
                    </w:rPr>
                  </w:pPr>
                  <w:r>
                    <w:rPr>
                      <w:spacing w:val="7"/>
                      <w:sz w:val="20"/>
                      <w:szCs w:val="20"/>
                    </w:rPr>
                    <w:t>监测频次</w:t>
                  </w:r>
                </w:p>
              </w:tc>
              <w:tc>
                <w:tcPr>
                  <w:tcW w:w="4761" w:type="dxa"/>
                  <w:tcBorders>
                    <w:top w:val="single" w:color="000000" w:sz="10" w:space="0"/>
                    <w:right w:val="nil"/>
                  </w:tcBorders>
                  <w:vAlign w:val="top"/>
                </w:tcPr>
                <w:p w14:paraId="6AFFFDAA">
                  <w:pPr>
                    <w:pStyle w:val="6"/>
                    <w:spacing w:before="81" w:line="214" w:lineRule="auto"/>
                    <w:ind w:left="1965"/>
                    <w:rPr>
                      <w:sz w:val="20"/>
                      <w:szCs w:val="20"/>
                    </w:rPr>
                  </w:pPr>
                  <w:r>
                    <w:rPr>
                      <w:spacing w:val="7"/>
                      <w:sz w:val="20"/>
                      <w:szCs w:val="20"/>
                    </w:rPr>
                    <w:t>执行标准</w:t>
                  </w:r>
                </w:p>
              </w:tc>
            </w:tr>
            <w:tr w14:paraId="66A3C2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70" w:hRule="atLeast"/>
              </w:trPr>
              <w:tc>
                <w:tcPr>
                  <w:tcW w:w="1152" w:type="dxa"/>
                  <w:tcBorders>
                    <w:left w:val="nil"/>
                    <w:bottom w:val="single" w:color="000000" w:sz="10" w:space="0"/>
                  </w:tcBorders>
                  <w:vAlign w:val="top"/>
                </w:tcPr>
                <w:p w14:paraId="02F5D5EA">
                  <w:pPr>
                    <w:spacing w:line="334" w:lineRule="auto"/>
                    <w:rPr>
                      <w:rFonts w:ascii="Arial"/>
                      <w:sz w:val="21"/>
                    </w:rPr>
                  </w:pPr>
                </w:p>
                <w:p w14:paraId="6E9C2F1E">
                  <w:pPr>
                    <w:pStyle w:val="6"/>
                    <w:spacing w:before="65" w:line="228" w:lineRule="auto"/>
                    <w:ind w:left="376"/>
                    <w:rPr>
                      <w:sz w:val="20"/>
                      <w:szCs w:val="20"/>
                    </w:rPr>
                  </w:pPr>
                  <w:r>
                    <w:rPr>
                      <w:spacing w:val="3"/>
                      <w:sz w:val="20"/>
                      <w:szCs w:val="20"/>
                    </w:rPr>
                    <w:t>厂界</w:t>
                  </w:r>
                </w:p>
              </w:tc>
              <w:tc>
                <w:tcPr>
                  <w:tcW w:w="1153" w:type="dxa"/>
                  <w:tcBorders>
                    <w:bottom w:val="single" w:color="000000" w:sz="10" w:space="0"/>
                  </w:tcBorders>
                  <w:vAlign w:val="top"/>
                </w:tcPr>
                <w:p w14:paraId="167A5E55">
                  <w:pPr>
                    <w:pStyle w:val="6"/>
                    <w:spacing w:before="242" w:line="281" w:lineRule="auto"/>
                    <w:ind w:left="479" w:right="81" w:hanging="392"/>
                    <w:rPr>
                      <w:sz w:val="20"/>
                      <w:szCs w:val="20"/>
                    </w:rPr>
                  </w:pPr>
                  <w:r>
                    <w:rPr>
                      <w:spacing w:val="2"/>
                      <w:sz w:val="20"/>
                      <w:szCs w:val="20"/>
                    </w:rPr>
                    <w:t>等效</w:t>
                  </w:r>
                  <w:r>
                    <w:rPr>
                      <w:spacing w:val="9"/>
                      <w:sz w:val="20"/>
                      <w:szCs w:val="20"/>
                    </w:rPr>
                    <w:t xml:space="preserve"> </w:t>
                  </w:r>
                  <w:r>
                    <w:rPr>
                      <w:rFonts w:ascii="Times New Roman" w:hAnsi="Times New Roman" w:eastAsia="Times New Roman" w:cs="Times New Roman"/>
                      <w:spacing w:val="2"/>
                      <w:sz w:val="20"/>
                      <w:szCs w:val="20"/>
                    </w:rPr>
                    <w:t>A</w:t>
                  </w:r>
                  <w:r>
                    <w:rPr>
                      <w:rFonts w:ascii="Times New Roman" w:hAnsi="Times New Roman" w:eastAsia="Times New Roman" w:cs="Times New Roman"/>
                      <w:spacing w:val="8"/>
                      <w:sz w:val="20"/>
                      <w:szCs w:val="20"/>
                    </w:rPr>
                    <w:t xml:space="preserve">  </w:t>
                  </w:r>
                  <w:r>
                    <w:rPr>
                      <w:spacing w:val="2"/>
                      <w:sz w:val="20"/>
                      <w:szCs w:val="20"/>
                    </w:rPr>
                    <w:t>声</w:t>
                  </w:r>
                  <w:r>
                    <w:rPr>
                      <w:sz w:val="20"/>
                      <w:szCs w:val="20"/>
                    </w:rPr>
                    <w:t xml:space="preserve"> 级</w:t>
                  </w:r>
                </w:p>
              </w:tc>
              <w:tc>
                <w:tcPr>
                  <w:tcW w:w="1153" w:type="dxa"/>
                  <w:tcBorders>
                    <w:bottom w:val="single" w:color="000000" w:sz="10" w:space="0"/>
                  </w:tcBorders>
                  <w:vAlign w:val="top"/>
                </w:tcPr>
                <w:p w14:paraId="2AB9BEA4">
                  <w:pPr>
                    <w:spacing w:line="257" w:lineRule="auto"/>
                    <w:rPr>
                      <w:rFonts w:ascii="Arial"/>
                      <w:sz w:val="21"/>
                    </w:rPr>
                  </w:pPr>
                </w:p>
                <w:p w14:paraId="2BB4A00C">
                  <w:pPr>
                    <w:pStyle w:val="6"/>
                    <w:spacing w:before="78" w:line="321" w:lineRule="exact"/>
                    <w:ind w:left="97"/>
                  </w:pPr>
                  <w:r>
                    <w:rPr>
                      <w:rFonts w:ascii="Calibri" w:hAnsi="Calibri" w:eastAsia="Calibri" w:cs="Calibri"/>
                      <w:spacing w:val="-8"/>
                      <w:position w:val="1"/>
                    </w:rPr>
                    <w:t>1</w:t>
                  </w:r>
                  <w:r>
                    <w:rPr>
                      <w:rFonts w:ascii="Calibri" w:hAnsi="Calibri" w:eastAsia="Calibri" w:cs="Calibri"/>
                      <w:spacing w:val="23"/>
                      <w:w w:val="101"/>
                      <w:position w:val="1"/>
                    </w:rPr>
                    <w:t xml:space="preserve"> </w:t>
                  </w:r>
                  <w:r>
                    <w:rPr>
                      <w:spacing w:val="-8"/>
                      <w:position w:val="1"/>
                    </w:rPr>
                    <w:t>次</w:t>
                  </w:r>
                  <w:r>
                    <w:rPr>
                      <w:rFonts w:ascii="Calibri" w:hAnsi="Calibri" w:eastAsia="Calibri" w:cs="Calibri"/>
                      <w:spacing w:val="-8"/>
                      <w:position w:val="1"/>
                    </w:rPr>
                    <w:t>/</w:t>
                  </w:r>
                  <w:r>
                    <w:rPr>
                      <w:spacing w:val="-8"/>
                      <w:position w:val="1"/>
                    </w:rPr>
                    <w:t>季度</w:t>
                  </w:r>
                </w:p>
              </w:tc>
              <w:tc>
                <w:tcPr>
                  <w:tcW w:w="4761" w:type="dxa"/>
                  <w:tcBorders>
                    <w:bottom w:val="single" w:color="000000" w:sz="10" w:space="0"/>
                    <w:right w:val="nil"/>
                  </w:tcBorders>
                  <w:vAlign w:val="top"/>
                </w:tcPr>
                <w:p w14:paraId="7D3A6A4D">
                  <w:pPr>
                    <w:pStyle w:val="6"/>
                    <w:spacing w:before="82" w:line="228" w:lineRule="auto"/>
                    <w:ind w:left="710"/>
                    <w:rPr>
                      <w:sz w:val="20"/>
                      <w:szCs w:val="20"/>
                    </w:rPr>
                  </w:pPr>
                  <w:r>
                    <w:rPr>
                      <w:spacing w:val="8"/>
                      <w:sz w:val="20"/>
                      <w:szCs w:val="20"/>
                    </w:rPr>
                    <w:t>《工业企业厂界环境噪声排放标准》</w:t>
                  </w:r>
                </w:p>
                <w:p w14:paraId="1037D548">
                  <w:pPr>
                    <w:pStyle w:val="6"/>
                    <w:spacing w:before="72" w:line="228" w:lineRule="auto"/>
                    <w:ind w:left="43"/>
                    <w:rPr>
                      <w:sz w:val="20"/>
                      <w:szCs w:val="20"/>
                    </w:rPr>
                  </w:pPr>
                  <w:r>
                    <w:rPr>
                      <w:spacing w:val="4"/>
                      <w:sz w:val="20"/>
                      <w:szCs w:val="20"/>
                    </w:rPr>
                    <w:t>（</w:t>
                  </w:r>
                  <w:r>
                    <w:rPr>
                      <w:rFonts w:ascii="Times New Roman" w:hAnsi="Times New Roman" w:eastAsia="Times New Roman" w:cs="Times New Roman"/>
                      <w:sz w:val="20"/>
                      <w:szCs w:val="20"/>
                    </w:rPr>
                    <w:t>GB</w:t>
                  </w:r>
                  <w:r>
                    <w:rPr>
                      <w:rFonts w:ascii="Times New Roman" w:hAnsi="Times New Roman" w:eastAsia="Times New Roman" w:cs="Times New Roman"/>
                      <w:spacing w:val="4"/>
                      <w:sz w:val="20"/>
                      <w:szCs w:val="20"/>
                    </w:rPr>
                    <w:t>12348-2008</w:t>
                  </w:r>
                  <w:r>
                    <w:rPr>
                      <w:spacing w:val="4"/>
                      <w:sz w:val="20"/>
                      <w:szCs w:val="20"/>
                    </w:rPr>
                    <w:t>）表</w:t>
                  </w:r>
                  <w:r>
                    <w:rPr>
                      <w:spacing w:val="29"/>
                      <w:sz w:val="20"/>
                      <w:szCs w:val="20"/>
                    </w:rPr>
                    <w:t xml:space="preserve"> </w:t>
                  </w:r>
                  <w:r>
                    <w:rPr>
                      <w:rFonts w:ascii="Times New Roman" w:hAnsi="Times New Roman" w:eastAsia="Times New Roman" w:cs="Times New Roman"/>
                      <w:spacing w:val="4"/>
                      <w:sz w:val="20"/>
                      <w:szCs w:val="20"/>
                    </w:rPr>
                    <w:t xml:space="preserve">1  </w:t>
                  </w:r>
                  <w:r>
                    <w:rPr>
                      <w:spacing w:val="4"/>
                      <w:sz w:val="20"/>
                      <w:szCs w:val="20"/>
                    </w:rPr>
                    <w:t>工业企业厂界环境</w:t>
                  </w:r>
                  <w:r>
                    <w:rPr>
                      <w:spacing w:val="3"/>
                      <w:sz w:val="20"/>
                      <w:szCs w:val="20"/>
                    </w:rPr>
                    <w:t>噪声排放</w:t>
                  </w:r>
                </w:p>
                <w:p w14:paraId="4CC440BB">
                  <w:pPr>
                    <w:pStyle w:val="6"/>
                    <w:spacing w:before="74" w:line="219" w:lineRule="auto"/>
                    <w:ind w:left="1612"/>
                    <w:rPr>
                      <w:sz w:val="20"/>
                      <w:szCs w:val="20"/>
                    </w:rPr>
                  </w:pPr>
                  <w:r>
                    <w:rPr>
                      <w:spacing w:val="4"/>
                      <w:sz w:val="20"/>
                      <w:szCs w:val="20"/>
                    </w:rPr>
                    <w:t xml:space="preserve">限值的 </w:t>
                  </w:r>
                  <w:r>
                    <w:rPr>
                      <w:rFonts w:ascii="Times New Roman" w:hAnsi="Times New Roman" w:eastAsia="Times New Roman" w:cs="Times New Roman"/>
                      <w:spacing w:val="4"/>
                      <w:sz w:val="20"/>
                      <w:szCs w:val="20"/>
                    </w:rPr>
                    <w:t>2</w:t>
                  </w:r>
                  <w:r>
                    <w:rPr>
                      <w:rFonts w:ascii="Times New Roman" w:hAnsi="Times New Roman" w:eastAsia="Times New Roman" w:cs="Times New Roman"/>
                      <w:spacing w:val="9"/>
                      <w:sz w:val="20"/>
                      <w:szCs w:val="20"/>
                    </w:rPr>
                    <w:t xml:space="preserve">  </w:t>
                  </w:r>
                  <w:r>
                    <w:rPr>
                      <w:spacing w:val="4"/>
                      <w:sz w:val="20"/>
                      <w:szCs w:val="20"/>
                    </w:rPr>
                    <w:t>类标准</w:t>
                  </w:r>
                </w:p>
              </w:tc>
            </w:tr>
          </w:tbl>
          <w:p w14:paraId="08E0AEA1">
            <w:pPr>
              <w:pStyle w:val="6"/>
              <w:spacing w:before="36" w:line="220" w:lineRule="auto"/>
              <w:ind w:left="596"/>
            </w:pPr>
            <w:r>
              <w:rPr>
                <w:spacing w:val="-2"/>
              </w:rPr>
              <w:t>（3）噪声污染防治措施</w:t>
            </w:r>
          </w:p>
          <w:p w14:paraId="12B49B4B">
            <w:pPr>
              <w:pStyle w:val="6"/>
              <w:spacing w:before="180" w:line="347" w:lineRule="auto"/>
              <w:ind w:left="105" w:right="154" w:firstLine="481"/>
            </w:pPr>
            <w:r>
              <w:rPr>
                <w:spacing w:val="-1"/>
              </w:rPr>
              <w:t>为进一步减小本项目噪声对周围环境产生的影响，环评提出以下噪声防治</w:t>
            </w:r>
            <w:r>
              <w:rPr>
                <w:spacing w:val="18"/>
              </w:rPr>
              <w:t xml:space="preserve"> </w:t>
            </w:r>
            <w:r>
              <w:rPr>
                <w:spacing w:val="-4"/>
              </w:rPr>
              <w:t>要求：</w:t>
            </w:r>
          </w:p>
          <w:p w14:paraId="1BC30963">
            <w:pPr>
              <w:pStyle w:val="6"/>
              <w:spacing w:before="33" w:line="217" w:lineRule="auto"/>
              <w:ind w:left="583"/>
            </w:pPr>
            <w:r>
              <w:rPr>
                <w:spacing w:val="-1"/>
              </w:rPr>
              <w:t>①车间合理布局，高噪声设备安装时采用减振垫，厂房隔声；</w:t>
            </w:r>
          </w:p>
          <w:p w14:paraId="252F4C3C">
            <w:pPr>
              <w:pStyle w:val="6"/>
              <w:spacing w:before="183" w:line="289" w:lineRule="auto"/>
              <w:ind w:left="124" w:right="154" w:firstLine="458"/>
            </w:pPr>
            <w:r>
              <w:t>②禁止露天作业，拆解加工过程在封闭式车间内进行</w:t>
            </w:r>
            <w:r>
              <w:rPr>
                <w:spacing w:val="-1"/>
              </w:rPr>
              <w:t>，生产车间配备完好</w:t>
            </w:r>
            <w:r>
              <w:t xml:space="preserve"> </w:t>
            </w:r>
            <w:r>
              <w:rPr>
                <w:spacing w:val="-3"/>
              </w:rPr>
              <w:t>的门窗，生产时关闭门窗；</w:t>
            </w:r>
          </w:p>
          <w:p w14:paraId="0DBE6733">
            <w:pPr>
              <w:pStyle w:val="6"/>
              <w:spacing w:before="184" w:line="288" w:lineRule="auto"/>
              <w:ind w:left="116" w:right="38" w:firstLine="466"/>
            </w:pPr>
            <w:r>
              <w:t>③抽油机、等离子切割机、轮胎拆装机等高噪声设备</w:t>
            </w:r>
            <w:r>
              <w:rPr>
                <w:spacing w:val="-1"/>
              </w:rPr>
              <w:t>采取基础减震措，降</w:t>
            </w:r>
            <w:r>
              <w:t xml:space="preserve">  </w:t>
            </w:r>
            <w:r>
              <w:rPr>
                <w:spacing w:val="-2"/>
              </w:rPr>
              <w:t>噪效果可达到 10-15dB(A)，风机采取</w:t>
            </w:r>
            <w:r>
              <w:rPr>
                <w:spacing w:val="-3"/>
              </w:rPr>
              <w:t>隔声措施，降噪效果可达到</w:t>
            </w:r>
            <w:r>
              <w:rPr>
                <w:spacing w:val="-33"/>
              </w:rPr>
              <w:t xml:space="preserve"> </w:t>
            </w:r>
            <w:r>
              <w:rPr>
                <w:spacing w:val="-3"/>
              </w:rPr>
              <w:t>15-20dB(A)；</w:t>
            </w:r>
          </w:p>
          <w:p w14:paraId="6C7AF3E0">
            <w:pPr>
              <w:pStyle w:val="6"/>
              <w:spacing w:before="183" w:line="295" w:lineRule="auto"/>
              <w:ind w:left="106" w:right="154" w:firstLine="476"/>
            </w:pPr>
            <w:r>
              <w:t>④加强设备的日常维护和工人的生产操作管理，避免</w:t>
            </w:r>
            <w:r>
              <w:rPr>
                <w:spacing w:val="-1"/>
              </w:rPr>
              <w:t>非正常生产噪声的产</w:t>
            </w:r>
            <w:r>
              <w:t xml:space="preserve"> </w:t>
            </w:r>
            <w:r>
              <w:rPr>
                <w:spacing w:val="-6"/>
              </w:rPr>
              <w:t>生。</w:t>
            </w:r>
          </w:p>
          <w:p w14:paraId="10BB5F25">
            <w:pPr>
              <w:pStyle w:val="6"/>
              <w:spacing w:before="167" w:line="221" w:lineRule="auto"/>
              <w:ind w:left="596"/>
            </w:pPr>
            <w:r>
              <w:rPr>
                <w:spacing w:val="-5"/>
              </w:rPr>
              <w:t>（4）结论</w:t>
            </w:r>
          </w:p>
          <w:p w14:paraId="19E2A4E2">
            <w:pPr>
              <w:pStyle w:val="6"/>
              <w:spacing w:before="261" w:line="353" w:lineRule="auto"/>
              <w:ind w:left="110" w:right="94" w:firstLine="476"/>
              <w:jc w:val="both"/>
            </w:pPr>
            <w:r>
              <w:rPr>
                <w:spacing w:val="1"/>
              </w:rPr>
              <w:t>厂界噪声评价结果表明，采取措施后各发声设备的噪声经距离衰减到厂界</w:t>
            </w:r>
            <w:r>
              <w:rPr>
                <w:spacing w:val="14"/>
              </w:rPr>
              <w:t xml:space="preserve"> </w:t>
            </w:r>
            <w:r>
              <w:rPr>
                <w:spacing w:val="4"/>
              </w:rPr>
              <w:t>噪声贡献值在 37.96-42.80</w:t>
            </w:r>
            <w:r>
              <w:t>dB</w:t>
            </w:r>
            <w:r>
              <w:rPr>
                <w:spacing w:val="4"/>
              </w:rPr>
              <w:t>(A)之间，与厂界噪声背景值叠加后噪声值满足</w:t>
            </w:r>
            <w:r>
              <w:rPr>
                <w:spacing w:val="1"/>
              </w:rPr>
              <w:t xml:space="preserve"> </w:t>
            </w:r>
            <w:r>
              <w:rPr>
                <w:spacing w:val="-1"/>
              </w:rPr>
              <w:t>《工业企业厂界环境噪声排放标准》表</w:t>
            </w:r>
            <w:r>
              <w:rPr>
                <w:spacing w:val="-33"/>
              </w:rPr>
              <w:t xml:space="preserve"> </w:t>
            </w:r>
            <w:r>
              <w:rPr>
                <w:spacing w:val="-1"/>
              </w:rPr>
              <w:t>1</w:t>
            </w:r>
            <w:r>
              <w:rPr>
                <w:spacing w:val="-25"/>
              </w:rPr>
              <w:t xml:space="preserve"> </w:t>
            </w:r>
            <w:r>
              <w:rPr>
                <w:spacing w:val="-1"/>
              </w:rPr>
              <w:t>中</w:t>
            </w:r>
            <w:r>
              <w:rPr>
                <w:spacing w:val="-46"/>
              </w:rPr>
              <w:t xml:space="preserve"> </w:t>
            </w:r>
            <w:r>
              <w:rPr>
                <w:spacing w:val="-1"/>
              </w:rPr>
              <w:t>2</w:t>
            </w:r>
            <w:r>
              <w:rPr>
                <w:spacing w:val="-50"/>
              </w:rPr>
              <w:t xml:space="preserve"> </w:t>
            </w:r>
            <w:r>
              <w:rPr>
                <w:spacing w:val="-1"/>
              </w:rPr>
              <w:t>类标准限值（昼间 60</w:t>
            </w:r>
            <w:r>
              <w:rPr>
                <w:spacing w:val="-2"/>
              </w:rPr>
              <w:t>dB(A)、夜</w:t>
            </w:r>
            <w:r>
              <w:t xml:space="preserve"> </w:t>
            </w:r>
            <w:r>
              <w:rPr>
                <w:spacing w:val="-1"/>
              </w:rPr>
              <w:t>间</w:t>
            </w:r>
            <w:r>
              <w:rPr>
                <w:spacing w:val="-46"/>
              </w:rPr>
              <w:t xml:space="preserve"> </w:t>
            </w:r>
            <w:r>
              <w:rPr>
                <w:spacing w:val="-1"/>
              </w:rPr>
              <w:t>50dB(A)）要求，故不会对声环境产生</w:t>
            </w:r>
            <w:r>
              <w:rPr>
                <w:spacing w:val="-2"/>
              </w:rPr>
              <w:t>明显影响。</w:t>
            </w:r>
          </w:p>
          <w:p w14:paraId="426AEF40">
            <w:pPr>
              <w:pStyle w:val="6"/>
              <w:spacing w:before="35" w:line="220" w:lineRule="auto"/>
              <w:ind w:left="579"/>
            </w:pPr>
            <w:r>
              <w:rPr>
                <w:rFonts w:ascii="Calibri" w:hAnsi="Calibri" w:eastAsia="Calibri" w:cs="Calibri"/>
                <w:b/>
                <w:bCs/>
                <w:spacing w:val="-7"/>
              </w:rPr>
              <w:t>4</w:t>
            </w:r>
            <w:r>
              <w:rPr>
                <w:rFonts w:ascii="Calibri" w:hAnsi="Calibri" w:eastAsia="Calibri" w:cs="Calibri"/>
                <w:b/>
                <w:bCs/>
                <w:spacing w:val="-28"/>
              </w:rPr>
              <w:t xml:space="preserve"> </w:t>
            </w:r>
            <w:r>
              <w:rPr>
                <w:b/>
                <w:bCs/>
                <w:spacing w:val="-7"/>
              </w:rPr>
              <w:t>、固体废物</w:t>
            </w:r>
          </w:p>
          <w:p w14:paraId="464C6259">
            <w:pPr>
              <w:pStyle w:val="6"/>
              <w:spacing w:before="182" w:line="351" w:lineRule="auto"/>
              <w:ind w:left="104" w:right="97" w:firstLine="483"/>
              <w:jc w:val="both"/>
            </w:pPr>
            <w:r>
              <w:rPr>
                <w:spacing w:val="1"/>
              </w:rPr>
              <w:t>项目拆解产物为废油液（废润滑油、废机油）、制冷剂、废电池、电子电</w:t>
            </w:r>
            <w:r>
              <w:rPr>
                <w:spacing w:val="11"/>
              </w:rPr>
              <w:t xml:space="preserve"> </w:t>
            </w:r>
            <w:r>
              <w:rPr>
                <w:spacing w:val="-1"/>
              </w:rPr>
              <w:t>器产品</w:t>
            </w:r>
            <w:r>
              <w:rPr>
                <w:rFonts w:ascii="Times New Roman" w:hAnsi="Times New Roman" w:eastAsia="Times New Roman" w:cs="Times New Roman"/>
                <w:spacing w:val="-1"/>
              </w:rPr>
              <w:t>/</w:t>
            </w:r>
            <w:r>
              <w:rPr>
                <w:spacing w:val="-1"/>
              </w:rPr>
              <w:t>元器件、玻璃、废旧轮胎、塑料、密封胶条、金属类、燃料罐、液压油</w:t>
            </w:r>
            <w:r>
              <w:rPr>
                <w:spacing w:val="15"/>
              </w:rPr>
              <w:t xml:space="preserve"> </w:t>
            </w:r>
            <w:r>
              <w:rPr>
                <w:spacing w:val="-1"/>
              </w:rPr>
              <w:t>管、催化器、废活性炭、含油抹布、拖布和手套等。</w:t>
            </w:r>
          </w:p>
          <w:p w14:paraId="2FE48533">
            <w:pPr>
              <w:pStyle w:val="6"/>
              <w:spacing w:before="35" w:line="220" w:lineRule="auto"/>
              <w:ind w:left="596"/>
            </w:pPr>
            <w:r>
              <w:rPr>
                <w:spacing w:val="-3"/>
              </w:rPr>
              <w:t>（</w:t>
            </w:r>
            <w:r>
              <w:rPr>
                <w:rFonts w:ascii="Times New Roman" w:hAnsi="Times New Roman" w:eastAsia="Times New Roman" w:cs="Times New Roman"/>
                <w:spacing w:val="-3"/>
              </w:rPr>
              <w:t>1</w:t>
            </w:r>
            <w:r>
              <w:rPr>
                <w:spacing w:val="-3"/>
              </w:rPr>
              <w:t>）一般固体废物</w:t>
            </w:r>
          </w:p>
          <w:p w14:paraId="413232BC">
            <w:pPr>
              <w:pStyle w:val="6"/>
              <w:spacing w:before="183" w:line="217" w:lineRule="auto"/>
              <w:ind w:left="583"/>
            </w:pPr>
            <w:r>
              <w:rPr>
                <w:spacing w:val="-2"/>
              </w:rPr>
              <w:t>①生活垃圾</w:t>
            </w:r>
          </w:p>
          <w:p w14:paraId="0821444B">
            <w:pPr>
              <w:pStyle w:val="6"/>
              <w:spacing w:before="185" w:line="214" w:lineRule="auto"/>
              <w:ind w:left="585"/>
            </w:pPr>
            <w:r>
              <w:rPr>
                <w:spacing w:val="-3"/>
              </w:rPr>
              <w:t>本项目员工为 5 人，生活垃圾产生量按 0.5kg/人</w:t>
            </w:r>
            <w:r>
              <w:rPr>
                <w:spacing w:val="-21"/>
              </w:rPr>
              <w:t xml:space="preserve"> </w:t>
            </w:r>
            <w:r>
              <w:rPr>
                <w:spacing w:val="-3"/>
              </w:rPr>
              <w:t>·天计，则生活垃圾产</w:t>
            </w:r>
          </w:p>
        </w:tc>
      </w:tr>
    </w:tbl>
    <w:p w14:paraId="76CBE051">
      <w:pPr>
        <w:pStyle w:val="2"/>
      </w:pPr>
    </w:p>
    <w:p w14:paraId="1ED7B393">
      <w:pPr>
        <w:sectPr>
          <w:footerReference r:id="rId76"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7B7AA65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187" w:hRule="atLeast"/>
        </w:trPr>
        <w:tc>
          <w:tcPr>
            <w:tcW w:w="477" w:type="dxa"/>
            <w:tcBorders>
              <w:right w:val="single" w:color="000000" w:sz="2" w:space="0"/>
            </w:tcBorders>
            <w:vAlign w:val="top"/>
          </w:tcPr>
          <w:p w14:paraId="7D43FA4A">
            <w:pPr>
              <w:rPr>
                <w:rFonts w:ascii="Arial"/>
                <w:sz w:val="21"/>
              </w:rPr>
            </w:pPr>
          </w:p>
        </w:tc>
        <w:tc>
          <w:tcPr>
            <w:tcW w:w="8425" w:type="dxa"/>
            <w:tcBorders>
              <w:left w:val="single" w:color="000000" w:sz="2" w:space="0"/>
            </w:tcBorders>
            <w:vAlign w:val="top"/>
          </w:tcPr>
          <w:p w14:paraId="34F5B4F2">
            <w:pPr>
              <w:pStyle w:val="6"/>
              <w:spacing w:before="99" w:line="347" w:lineRule="auto"/>
              <w:ind w:left="104" w:right="97" w:firstLine="1"/>
            </w:pPr>
            <w:r>
              <w:rPr>
                <w:spacing w:val="-2"/>
              </w:rPr>
              <w:t>生量为 2.5kg/d（0.75t/a）。暂存在防风、防雨、防渗的生活垃圾收集箱，由</w:t>
            </w:r>
            <w:r>
              <w:rPr>
                <w:spacing w:val="9"/>
              </w:rPr>
              <w:t xml:space="preserve"> </w:t>
            </w:r>
            <w:r>
              <w:rPr>
                <w:spacing w:val="-1"/>
              </w:rPr>
              <w:t>环卫部门统一进行外运处理。</w:t>
            </w:r>
          </w:p>
          <w:p w14:paraId="78570A48">
            <w:pPr>
              <w:pStyle w:val="6"/>
              <w:spacing w:before="34" w:line="217" w:lineRule="auto"/>
              <w:ind w:left="582"/>
            </w:pPr>
            <w:r>
              <w:rPr>
                <w:spacing w:val="-1"/>
              </w:rPr>
              <w:t>②电子电器产品</w:t>
            </w:r>
            <w:r>
              <w:rPr>
                <w:rFonts w:ascii="Times New Roman" w:hAnsi="Times New Roman" w:eastAsia="Times New Roman" w:cs="Times New Roman"/>
                <w:spacing w:val="-1"/>
              </w:rPr>
              <w:t>/</w:t>
            </w:r>
            <w:r>
              <w:rPr>
                <w:spacing w:val="-1"/>
              </w:rPr>
              <w:t>元器件</w:t>
            </w:r>
          </w:p>
          <w:p w14:paraId="596B9F78">
            <w:pPr>
              <w:pStyle w:val="6"/>
              <w:spacing w:before="183" w:line="355" w:lineRule="auto"/>
              <w:ind w:left="103" w:right="16" w:firstLine="482"/>
            </w:pPr>
            <w:r>
              <w:rPr>
                <w:spacing w:val="-4"/>
              </w:rPr>
              <w:t>主要传感器、摄像头、喇叭、指示灯、电路板（不拆解）及模块、控制器、</w:t>
            </w:r>
            <w:r>
              <w:rPr>
                <w:spacing w:val="17"/>
              </w:rPr>
              <w:t xml:space="preserve"> </w:t>
            </w:r>
            <w:r>
              <w:rPr>
                <w:spacing w:val="1"/>
              </w:rPr>
              <w:t>开关、风扇、线束、电机、仪表、继电器、显示器、遥控器、路由器、激光雷</w:t>
            </w:r>
            <w:r>
              <w:rPr>
                <w:spacing w:val="16"/>
              </w:rPr>
              <w:t xml:space="preserve"> </w:t>
            </w:r>
            <w:r>
              <w:rPr>
                <w:spacing w:val="1"/>
              </w:rPr>
              <w:t>达、电磁阀、液压多路阀等，本项目不再进一步拆解，不属于危险废物，年产</w:t>
            </w:r>
            <w:r>
              <w:rPr>
                <w:spacing w:val="16"/>
              </w:rPr>
              <w:t xml:space="preserve"> </w:t>
            </w:r>
            <w:r>
              <w:rPr>
                <w:spacing w:val="-2"/>
              </w:rPr>
              <w:t xml:space="preserve">生量 </w:t>
            </w:r>
            <w:r>
              <w:rPr>
                <w:rFonts w:ascii="Times New Roman" w:hAnsi="Times New Roman" w:eastAsia="Times New Roman" w:cs="Times New Roman"/>
                <w:spacing w:val="-2"/>
              </w:rPr>
              <w:t>20.8t</w:t>
            </w:r>
            <w:r>
              <w:rPr>
                <w:spacing w:val="-2"/>
              </w:rPr>
              <w:t>，暂存在拆解后物料储存区设置的货架分类存放，由专业企业</w:t>
            </w:r>
            <w:r>
              <w:rPr>
                <w:spacing w:val="-3"/>
              </w:rPr>
              <w:t>进行拆</w:t>
            </w:r>
            <w:r>
              <w:t xml:space="preserve"> </w:t>
            </w:r>
            <w:r>
              <w:rPr>
                <w:spacing w:val="-1"/>
              </w:rPr>
              <w:t>检、回收处理利用。</w:t>
            </w:r>
          </w:p>
          <w:p w14:paraId="230F1707">
            <w:pPr>
              <w:pStyle w:val="6"/>
              <w:spacing w:before="35" w:line="217" w:lineRule="auto"/>
              <w:ind w:left="582"/>
            </w:pPr>
            <w:r>
              <w:rPr>
                <w:spacing w:val="-1"/>
              </w:rPr>
              <w:t>③玻璃、废旧轮胎、塑料、密封胶条、金属类</w:t>
            </w:r>
          </w:p>
          <w:p w14:paraId="37B5F2E6">
            <w:pPr>
              <w:pStyle w:val="6"/>
              <w:spacing w:before="186" w:line="346" w:lineRule="auto"/>
              <w:ind w:left="103" w:right="97" w:firstLine="484"/>
            </w:pPr>
            <w:r>
              <w:rPr>
                <w:spacing w:val="-3"/>
              </w:rPr>
              <w:t xml:space="preserve">玻璃、废旧轮胎、塑料、密封胶条、金属类共计为 </w:t>
            </w:r>
            <w:r>
              <w:rPr>
                <w:rFonts w:ascii="Times New Roman" w:hAnsi="Times New Roman" w:eastAsia="Times New Roman" w:cs="Times New Roman"/>
                <w:spacing w:val="-3"/>
              </w:rPr>
              <w:t>2354t/a</w:t>
            </w:r>
            <w:r>
              <w:rPr>
                <w:rFonts w:ascii="Times New Roman" w:hAnsi="Times New Roman" w:eastAsia="Times New Roman" w:cs="Times New Roman"/>
                <w:spacing w:val="-26"/>
              </w:rPr>
              <w:t xml:space="preserve"> </w:t>
            </w:r>
            <w:r>
              <w:rPr>
                <w:spacing w:val="-3"/>
              </w:rPr>
              <w:t>，分类暂存在拆</w:t>
            </w:r>
            <w:r>
              <w:t xml:space="preserve"> </w:t>
            </w:r>
            <w:r>
              <w:rPr>
                <w:spacing w:val="-1"/>
              </w:rPr>
              <w:t>解后物料储存区设置的货架，暂存后外售给废旧资源回收公司。</w:t>
            </w:r>
          </w:p>
          <w:p w14:paraId="09820318">
            <w:pPr>
              <w:pStyle w:val="6"/>
              <w:spacing w:before="45" w:line="220" w:lineRule="auto"/>
              <w:ind w:left="1543"/>
              <w:outlineLvl w:val="2"/>
            </w:pPr>
            <w:r>
              <w:rPr>
                <w:b/>
                <w:bCs/>
                <w:spacing w:val="-2"/>
              </w:rPr>
              <w:t>表</w:t>
            </w:r>
            <w:r>
              <w:rPr>
                <w:spacing w:val="-51"/>
              </w:rPr>
              <w:t xml:space="preserve"> </w:t>
            </w:r>
            <w:r>
              <w:rPr>
                <w:b/>
                <w:bCs/>
                <w:spacing w:val="-2"/>
              </w:rPr>
              <w:t>4-9</w:t>
            </w:r>
            <w:r>
              <w:rPr>
                <w:spacing w:val="-2"/>
              </w:rPr>
              <w:t xml:space="preserve">       </w:t>
            </w:r>
            <w:r>
              <w:rPr>
                <w:b/>
                <w:bCs/>
                <w:spacing w:val="-2"/>
              </w:rPr>
              <w:t>一般固体废物一览表</w:t>
            </w:r>
          </w:p>
          <w:p w14:paraId="1B8864D8">
            <w:pPr>
              <w:spacing w:line="79" w:lineRule="exact"/>
            </w:pPr>
          </w:p>
          <w:tbl>
            <w:tblPr>
              <w:tblStyle w:val="5"/>
              <w:tblW w:w="8219" w:type="dxa"/>
              <w:tblInd w:w="9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93"/>
              <w:gridCol w:w="1588"/>
              <w:gridCol w:w="1397"/>
              <w:gridCol w:w="1048"/>
              <w:gridCol w:w="3593"/>
            </w:tblGrid>
            <w:tr w14:paraId="026445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8" w:hRule="atLeast"/>
              </w:trPr>
              <w:tc>
                <w:tcPr>
                  <w:tcW w:w="593" w:type="dxa"/>
                  <w:tcBorders>
                    <w:left w:val="nil"/>
                  </w:tcBorders>
                  <w:textDirection w:val="tbRlV"/>
                  <w:vAlign w:val="top"/>
                </w:tcPr>
                <w:p w14:paraId="5B42E0FE">
                  <w:pPr>
                    <w:pStyle w:val="6"/>
                    <w:spacing w:before="190" w:line="218" w:lineRule="auto"/>
                    <w:ind w:left="81"/>
                    <w:rPr>
                      <w:sz w:val="20"/>
                      <w:szCs w:val="20"/>
                    </w:rPr>
                  </w:pPr>
                  <w:r>
                    <w:rPr>
                      <w:spacing w:val="8"/>
                      <w:sz w:val="20"/>
                      <w:szCs w:val="20"/>
                    </w:rPr>
                    <w:t>序</w:t>
                  </w:r>
                  <w:r>
                    <w:rPr>
                      <w:spacing w:val="10"/>
                      <w:sz w:val="20"/>
                      <w:szCs w:val="20"/>
                    </w:rPr>
                    <w:t xml:space="preserve"> </w:t>
                  </w:r>
                  <w:r>
                    <w:rPr>
                      <w:spacing w:val="8"/>
                      <w:sz w:val="20"/>
                      <w:szCs w:val="20"/>
                    </w:rPr>
                    <w:t>号</w:t>
                  </w:r>
                </w:p>
              </w:tc>
              <w:tc>
                <w:tcPr>
                  <w:tcW w:w="1588" w:type="dxa"/>
                  <w:vAlign w:val="top"/>
                </w:tcPr>
                <w:p w14:paraId="5C78187C">
                  <w:pPr>
                    <w:pStyle w:val="6"/>
                    <w:spacing w:before="242" w:line="230" w:lineRule="auto"/>
                    <w:ind w:left="591"/>
                    <w:rPr>
                      <w:sz w:val="20"/>
                      <w:szCs w:val="20"/>
                    </w:rPr>
                  </w:pPr>
                  <w:r>
                    <w:rPr>
                      <w:spacing w:val="3"/>
                      <w:sz w:val="20"/>
                      <w:szCs w:val="20"/>
                    </w:rPr>
                    <w:t>名称</w:t>
                  </w:r>
                </w:p>
              </w:tc>
              <w:tc>
                <w:tcPr>
                  <w:tcW w:w="1397" w:type="dxa"/>
                  <w:vAlign w:val="top"/>
                </w:tcPr>
                <w:p w14:paraId="2FCB08A8">
                  <w:pPr>
                    <w:pStyle w:val="6"/>
                    <w:spacing w:before="242" w:line="228" w:lineRule="auto"/>
                    <w:ind w:left="495"/>
                    <w:rPr>
                      <w:sz w:val="20"/>
                      <w:szCs w:val="20"/>
                    </w:rPr>
                  </w:pPr>
                  <w:r>
                    <w:rPr>
                      <w:spacing w:val="3"/>
                      <w:sz w:val="20"/>
                      <w:szCs w:val="20"/>
                    </w:rPr>
                    <w:t>编码</w:t>
                  </w:r>
                </w:p>
              </w:tc>
              <w:tc>
                <w:tcPr>
                  <w:tcW w:w="1048" w:type="dxa"/>
                  <w:vAlign w:val="top"/>
                </w:tcPr>
                <w:p w14:paraId="370FC1BE">
                  <w:pPr>
                    <w:pStyle w:val="6"/>
                    <w:spacing w:before="81" w:line="257" w:lineRule="auto"/>
                    <w:ind w:left="170" w:right="174" w:firstLine="45"/>
                    <w:rPr>
                      <w:sz w:val="20"/>
                      <w:szCs w:val="20"/>
                    </w:rPr>
                  </w:pPr>
                  <w:r>
                    <w:rPr>
                      <w:spacing w:val="6"/>
                      <w:sz w:val="20"/>
                      <w:szCs w:val="20"/>
                    </w:rPr>
                    <w:t>产生量</w:t>
                  </w:r>
                  <w:r>
                    <w:rPr>
                      <w:spacing w:val="1"/>
                      <w:sz w:val="20"/>
                      <w:szCs w:val="20"/>
                    </w:rPr>
                    <w:t xml:space="preserve"> </w:t>
                  </w:r>
                  <w:r>
                    <w:rPr>
                      <w:spacing w:val="-1"/>
                      <w:sz w:val="20"/>
                      <w:szCs w:val="20"/>
                    </w:rPr>
                    <w:t>（t/a）</w:t>
                  </w:r>
                </w:p>
              </w:tc>
              <w:tc>
                <w:tcPr>
                  <w:tcW w:w="3593" w:type="dxa"/>
                  <w:tcBorders>
                    <w:right w:val="nil"/>
                  </w:tcBorders>
                  <w:vAlign w:val="top"/>
                </w:tcPr>
                <w:p w14:paraId="75799433">
                  <w:pPr>
                    <w:pStyle w:val="6"/>
                    <w:spacing w:before="242" w:line="229" w:lineRule="auto"/>
                    <w:ind w:left="858"/>
                    <w:rPr>
                      <w:sz w:val="20"/>
                      <w:szCs w:val="20"/>
                    </w:rPr>
                  </w:pPr>
                  <w:r>
                    <w:rPr>
                      <w:spacing w:val="8"/>
                      <w:sz w:val="20"/>
                      <w:szCs w:val="20"/>
                    </w:rPr>
                    <w:t>利用处置方式和去向</w:t>
                  </w:r>
                </w:p>
              </w:tc>
            </w:tr>
            <w:tr w14:paraId="61D77F0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593" w:type="dxa"/>
                  <w:tcBorders>
                    <w:left w:val="nil"/>
                  </w:tcBorders>
                  <w:vAlign w:val="top"/>
                </w:tcPr>
                <w:p w14:paraId="2A2B3B12">
                  <w:pPr>
                    <w:pStyle w:val="6"/>
                    <w:spacing w:before="270" w:line="189" w:lineRule="auto"/>
                    <w:ind w:left="266"/>
                    <w:rPr>
                      <w:sz w:val="20"/>
                      <w:szCs w:val="20"/>
                    </w:rPr>
                  </w:pPr>
                  <w:r>
                    <w:rPr>
                      <w:sz w:val="20"/>
                      <w:szCs w:val="20"/>
                    </w:rPr>
                    <w:t>1</w:t>
                  </w:r>
                </w:p>
              </w:tc>
              <w:tc>
                <w:tcPr>
                  <w:tcW w:w="1588" w:type="dxa"/>
                  <w:vAlign w:val="top"/>
                </w:tcPr>
                <w:p w14:paraId="0062C2D2">
                  <w:pPr>
                    <w:pStyle w:val="6"/>
                    <w:spacing w:before="237" w:line="228" w:lineRule="auto"/>
                    <w:ind w:left="382"/>
                    <w:rPr>
                      <w:sz w:val="20"/>
                      <w:szCs w:val="20"/>
                    </w:rPr>
                  </w:pPr>
                  <w:r>
                    <w:rPr>
                      <w:spacing w:val="6"/>
                      <w:sz w:val="20"/>
                      <w:szCs w:val="20"/>
                    </w:rPr>
                    <w:t>生活垃圾</w:t>
                  </w:r>
                </w:p>
              </w:tc>
              <w:tc>
                <w:tcPr>
                  <w:tcW w:w="1397" w:type="dxa"/>
                  <w:vAlign w:val="top"/>
                </w:tcPr>
                <w:p w14:paraId="7AB1B09B">
                  <w:pPr>
                    <w:pStyle w:val="6"/>
                    <w:spacing w:before="237" w:line="233" w:lineRule="auto"/>
                    <w:ind w:left="651"/>
                    <w:rPr>
                      <w:sz w:val="20"/>
                      <w:szCs w:val="20"/>
                    </w:rPr>
                  </w:pPr>
                  <w:r>
                    <w:rPr>
                      <w:sz w:val="20"/>
                      <w:szCs w:val="20"/>
                    </w:rPr>
                    <w:t>/</w:t>
                  </w:r>
                </w:p>
              </w:tc>
              <w:tc>
                <w:tcPr>
                  <w:tcW w:w="1048" w:type="dxa"/>
                  <w:vAlign w:val="top"/>
                </w:tcPr>
                <w:p w14:paraId="14EEA4BB">
                  <w:pPr>
                    <w:pStyle w:val="6"/>
                    <w:spacing w:before="270" w:line="189" w:lineRule="auto"/>
                    <w:ind w:left="320"/>
                    <w:rPr>
                      <w:sz w:val="20"/>
                      <w:szCs w:val="20"/>
                    </w:rPr>
                  </w:pPr>
                  <w:r>
                    <w:rPr>
                      <w:spacing w:val="2"/>
                      <w:sz w:val="20"/>
                      <w:szCs w:val="20"/>
                    </w:rPr>
                    <w:t>0.75</w:t>
                  </w:r>
                </w:p>
              </w:tc>
              <w:tc>
                <w:tcPr>
                  <w:tcW w:w="3593" w:type="dxa"/>
                  <w:tcBorders>
                    <w:right w:val="nil"/>
                  </w:tcBorders>
                  <w:vAlign w:val="top"/>
                </w:tcPr>
                <w:p w14:paraId="1BE78F8F">
                  <w:pPr>
                    <w:pStyle w:val="6"/>
                    <w:spacing w:before="79" w:line="256" w:lineRule="auto"/>
                    <w:ind w:left="753" w:right="120" w:hanging="620"/>
                    <w:rPr>
                      <w:sz w:val="20"/>
                      <w:szCs w:val="20"/>
                    </w:rPr>
                  </w:pPr>
                  <w:r>
                    <w:rPr>
                      <w:spacing w:val="8"/>
                      <w:sz w:val="20"/>
                      <w:szCs w:val="20"/>
                    </w:rPr>
                    <w:t>防风、防雨、防渗的垃圾箱，由环卫</w:t>
                  </w:r>
                  <w:r>
                    <w:rPr>
                      <w:spacing w:val="7"/>
                      <w:sz w:val="20"/>
                      <w:szCs w:val="20"/>
                    </w:rPr>
                    <w:t xml:space="preserve"> </w:t>
                  </w:r>
                  <w:r>
                    <w:rPr>
                      <w:spacing w:val="8"/>
                      <w:sz w:val="20"/>
                      <w:szCs w:val="20"/>
                    </w:rPr>
                    <w:t>部门统一进行外运处理</w:t>
                  </w:r>
                </w:p>
              </w:tc>
            </w:tr>
            <w:tr w14:paraId="251813C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trPr>
              <w:tc>
                <w:tcPr>
                  <w:tcW w:w="593" w:type="dxa"/>
                  <w:tcBorders>
                    <w:left w:val="nil"/>
                  </w:tcBorders>
                  <w:vAlign w:val="top"/>
                </w:tcPr>
                <w:p w14:paraId="333B0D4A">
                  <w:pPr>
                    <w:pStyle w:val="6"/>
                    <w:spacing w:before="271" w:line="189" w:lineRule="auto"/>
                    <w:ind w:left="253"/>
                    <w:rPr>
                      <w:sz w:val="20"/>
                      <w:szCs w:val="20"/>
                    </w:rPr>
                  </w:pPr>
                  <w:r>
                    <w:rPr>
                      <w:sz w:val="20"/>
                      <w:szCs w:val="20"/>
                    </w:rPr>
                    <w:t>2</w:t>
                  </w:r>
                </w:p>
              </w:tc>
              <w:tc>
                <w:tcPr>
                  <w:tcW w:w="1588" w:type="dxa"/>
                  <w:vAlign w:val="top"/>
                </w:tcPr>
                <w:p w14:paraId="675CE7B0">
                  <w:pPr>
                    <w:pStyle w:val="6"/>
                    <w:spacing w:before="81" w:line="255" w:lineRule="auto"/>
                    <w:ind w:left="485" w:right="109" w:hanging="344"/>
                    <w:rPr>
                      <w:sz w:val="20"/>
                      <w:szCs w:val="20"/>
                    </w:rPr>
                  </w:pPr>
                  <w:r>
                    <w:rPr>
                      <w:spacing w:val="4"/>
                      <w:sz w:val="20"/>
                      <w:szCs w:val="20"/>
                    </w:rPr>
                    <w:t>电子电器产品/</w:t>
                  </w:r>
                  <w:r>
                    <w:rPr>
                      <w:spacing w:val="2"/>
                      <w:sz w:val="20"/>
                      <w:szCs w:val="20"/>
                    </w:rPr>
                    <w:t xml:space="preserve"> </w:t>
                  </w:r>
                  <w:r>
                    <w:rPr>
                      <w:spacing w:val="6"/>
                      <w:sz w:val="20"/>
                      <w:szCs w:val="20"/>
                    </w:rPr>
                    <w:t>元器件</w:t>
                  </w:r>
                </w:p>
              </w:tc>
              <w:tc>
                <w:tcPr>
                  <w:tcW w:w="1397" w:type="dxa"/>
                  <w:vAlign w:val="top"/>
                </w:tcPr>
                <w:p w14:paraId="16C47F92">
                  <w:pPr>
                    <w:pStyle w:val="6"/>
                    <w:spacing w:before="270" w:line="190" w:lineRule="auto"/>
                    <w:ind w:left="176"/>
                    <w:rPr>
                      <w:sz w:val="20"/>
                      <w:szCs w:val="20"/>
                    </w:rPr>
                  </w:pPr>
                  <w:r>
                    <w:rPr>
                      <w:spacing w:val="4"/>
                      <w:sz w:val="20"/>
                      <w:szCs w:val="20"/>
                    </w:rPr>
                    <w:t>421-001-14</w:t>
                  </w:r>
                </w:p>
              </w:tc>
              <w:tc>
                <w:tcPr>
                  <w:tcW w:w="1048" w:type="dxa"/>
                  <w:vAlign w:val="top"/>
                </w:tcPr>
                <w:p w14:paraId="7209FA58">
                  <w:pPr>
                    <w:pStyle w:val="6"/>
                    <w:spacing w:before="271" w:line="189" w:lineRule="auto"/>
                    <w:ind w:left="321"/>
                    <w:rPr>
                      <w:sz w:val="20"/>
                      <w:szCs w:val="20"/>
                    </w:rPr>
                  </w:pPr>
                  <w:r>
                    <w:rPr>
                      <w:spacing w:val="2"/>
                      <w:sz w:val="20"/>
                      <w:szCs w:val="20"/>
                    </w:rPr>
                    <w:t>20.8</w:t>
                  </w:r>
                </w:p>
              </w:tc>
              <w:tc>
                <w:tcPr>
                  <w:tcW w:w="3593" w:type="dxa"/>
                  <w:tcBorders>
                    <w:right w:val="nil"/>
                  </w:tcBorders>
                  <w:vAlign w:val="top"/>
                </w:tcPr>
                <w:p w14:paraId="79DC0CDF">
                  <w:pPr>
                    <w:pStyle w:val="6"/>
                    <w:spacing w:before="81" w:line="255" w:lineRule="auto"/>
                    <w:ind w:left="144" w:right="120" w:hanging="18"/>
                    <w:rPr>
                      <w:sz w:val="20"/>
                      <w:szCs w:val="20"/>
                    </w:rPr>
                  </w:pPr>
                  <w:r>
                    <w:rPr>
                      <w:spacing w:val="8"/>
                      <w:sz w:val="20"/>
                      <w:szCs w:val="20"/>
                    </w:rPr>
                    <w:t>暂存在拆解后物料储存区分类存放，</w:t>
                  </w:r>
                  <w:r>
                    <w:rPr>
                      <w:spacing w:val="14"/>
                      <w:sz w:val="20"/>
                      <w:szCs w:val="20"/>
                    </w:rPr>
                    <w:t xml:space="preserve"> </w:t>
                  </w:r>
                  <w:r>
                    <w:rPr>
                      <w:spacing w:val="7"/>
                      <w:sz w:val="20"/>
                      <w:szCs w:val="20"/>
                    </w:rPr>
                    <w:t>由专业企业进行拆检、回收处理利用</w:t>
                  </w:r>
                </w:p>
              </w:tc>
            </w:tr>
            <w:tr w14:paraId="0DF743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68" w:hRule="atLeast"/>
              </w:trPr>
              <w:tc>
                <w:tcPr>
                  <w:tcW w:w="593" w:type="dxa"/>
                  <w:tcBorders>
                    <w:left w:val="nil"/>
                  </w:tcBorders>
                  <w:vAlign w:val="top"/>
                </w:tcPr>
                <w:p w14:paraId="34D8359E">
                  <w:pPr>
                    <w:spacing w:line="366" w:lineRule="auto"/>
                    <w:rPr>
                      <w:rFonts w:ascii="Arial"/>
                      <w:sz w:val="21"/>
                    </w:rPr>
                  </w:pPr>
                </w:p>
                <w:p w14:paraId="288FC33E">
                  <w:pPr>
                    <w:pStyle w:val="6"/>
                    <w:spacing w:before="65" w:line="189" w:lineRule="auto"/>
                    <w:ind w:left="255"/>
                    <w:rPr>
                      <w:sz w:val="20"/>
                      <w:szCs w:val="20"/>
                    </w:rPr>
                  </w:pPr>
                  <w:r>
                    <w:rPr>
                      <w:sz w:val="20"/>
                      <w:szCs w:val="20"/>
                    </w:rPr>
                    <w:t>3</w:t>
                  </w:r>
                </w:p>
              </w:tc>
              <w:tc>
                <w:tcPr>
                  <w:tcW w:w="1588" w:type="dxa"/>
                  <w:vAlign w:val="top"/>
                </w:tcPr>
                <w:p w14:paraId="104DEA21">
                  <w:pPr>
                    <w:pStyle w:val="6"/>
                    <w:spacing w:before="80" w:line="270" w:lineRule="auto"/>
                    <w:ind w:left="114" w:right="108" w:firstLine="58"/>
                    <w:jc w:val="both"/>
                    <w:rPr>
                      <w:sz w:val="20"/>
                      <w:szCs w:val="20"/>
                    </w:rPr>
                  </w:pPr>
                  <w:r>
                    <w:rPr>
                      <w:spacing w:val="7"/>
                      <w:sz w:val="20"/>
                      <w:szCs w:val="20"/>
                    </w:rPr>
                    <w:t>玻璃、废旧轮</w:t>
                  </w:r>
                  <w:r>
                    <w:rPr>
                      <w:spacing w:val="3"/>
                      <w:sz w:val="20"/>
                      <w:szCs w:val="20"/>
                    </w:rPr>
                    <w:t xml:space="preserve"> </w:t>
                  </w:r>
                  <w:r>
                    <w:rPr>
                      <w:spacing w:val="-6"/>
                      <w:sz w:val="20"/>
                      <w:szCs w:val="20"/>
                    </w:rPr>
                    <w:t>胎、塑料、密封</w:t>
                  </w:r>
                  <w:r>
                    <w:rPr>
                      <w:spacing w:val="1"/>
                      <w:sz w:val="20"/>
                      <w:szCs w:val="20"/>
                    </w:rPr>
                    <w:t xml:space="preserve"> </w:t>
                  </w:r>
                  <w:r>
                    <w:rPr>
                      <w:spacing w:val="17"/>
                      <w:sz w:val="20"/>
                      <w:szCs w:val="20"/>
                    </w:rPr>
                    <w:t>胶条、金属类</w:t>
                  </w:r>
                </w:p>
              </w:tc>
              <w:tc>
                <w:tcPr>
                  <w:tcW w:w="1397" w:type="dxa"/>
                  <w:vAlign w:val="top"/>
                </w:tcPr>
                <w:p w14:paraId="1917C161">
                  <w:pPr>
                    <w:spacing w:line="333" w:lineRule="auto"/>
                    <w:rPr>
                      <w:rFonts w:ascii="Arial"/>
                      <w:sz w:val="21"/>
                    </w:rPr>
                  </w:pPr>
                </w:p>
                <w:p w14:paraId="15B3168F">
                  <w:pPr>
                    <w:pStyle w:val="6"/>
                    <w:spacing w:before="65" w:line="233" w:lineRule="auto"/>
                    <w:ind w:left="651"/>
                    <w:rPr>
                      <w:sz w:val="20"/>
                      <w:szCs w:val="20"/>
                    </w:rPr>
                  </w:pPr>
                  <w:r>
                    <w:rPr>
                      <w:sz w:val="20"/>
                      <w:szCs w:val="20"/>
                    </w:rPr>
                    <w:t>/</w:t>
                  </w:r>
                </w:p>
              </w:tc>
              <w:tc>
                <w:tcPr>
                  <w:tcW w:w="1048" w:type="dxa"/>
                  <w:vAlign w:val="top"/>
                </w:tcPr>
                <w:p w14:paraId="6944A2DC">
                  <w:pPr>
                    <w:spacing w:line="366" w:lineRule="auto"/>
                    <w:rPr>
                      <w:rFonts w:ascii="Arial"/>
                      <w:sz w:val="21"/>
                    </w:rPr>
                  </w:pPr>
                </w:p>
                <w:p w14:paraId="0B13AED3">
                  <w:pPr>
                    <w:pStyle w:val="6"/>
                    <w:spacing w:before="65" w:line="189" w:lineRule="auto"/>
                    <w:ind w:left="321"/>
                    <w:rPr>
                      <w:sz w:val="20"/>
                      <w:szCs w:val="20"/>
                    </w:rPr>
                  </w:pPr>
                  <w:r>
                    <w:rPr>
                      <w:spacing w:val="2"/>
                      <w:sz w:val="20"/>
                      <w:szCs w:val="20"/>
                    </w:rPr>
                    <w:t>2354</w:t>
                  </w:r>
                </w:p>
              </w:tc>
              <w:tc>
                <w:tcPr>
                  <w:tcW w:w="3593" w:type="dxa"/>
                  <w:tcBorders>
                    <w:right w:val="nil"/>
                  </w:tcBorders>
                  <w:vAlign w:val="top"/>
                </w:tcPr>
                <w:p w14:paraId="48D51F1F">
                  <w:pPr>
                    <w:pStyle w:val="6"/>
                    <w:spacing w:before="240" w:line="280" w:lineRule="auto"/>
                    <w:ind w:left="541" w:right="120" w:hanging="419"/>
                    <w:rPr>
                      <w:sz w:val="20"/>
                      <w:szCs w:val="20"/>
                    </w:rPr>
                  </w:pPr>
                  <w:r>
                    <w:rPr>
                      <w:spacing w:val="9"/>
                      <w:sz w:val="20"/>
                      <w:szCs w:val="20"/>
                    </w:rPr>
                    <w:t>分类暂存在拆解后物料储存区，暂存</w:t>
                  </w:r>
                  <w:r>
                    <w:rPr>
                      <w:spacing w:val="2"/>
                      <w:sz w:val="20"/>
                      <w:szCs w:val="20"/>
                    </w:rPr>
                    <w:t xml:space="preserve"> </w:t>
                  </w:r>
                  <w:r>
                    <w:rPr>
                      <w:spacing w:val="8"/>
                      <w:sz w:val="20"/>
                      <w:szCs w:val="20"/>
                    </w:rPr>
                    <w:t>后外售给废旧资源回收公司</w:t>
                  </w:r>
                </w:p>
              </w:tc>
            </w:tr>
          </w:tbl>
          <w:p w14:paraId="27B10EE3">
            <w:pPr>
              <w:pStyle w:val="6"/>
              <w:spacing w:before="36" w:line="344" w:lineRule="auto"/>
              <w:ind w:left="523" w:right="6334" w:firstLine="12"/>
            </w:pPr>
            <w:r>
              <w:rPr>
                <w:spacing w:val="-3"/>
              </w:rPr>
              <w:t>（2）危险废物</w:t>
            </w:r>
            <w:r>
              <w:t xml:space="preserve"> </w:t>
            </w:r>
            <w:r>
              <w:rPr>
                <w:spacing w:val="-3"/>
              </w:rPr>
              <w:t>①燃料罐</w:t>
            </w:r>
          </w:p>
          <w:p w14:paraId="74022CA2">
            <w:pPr>
              <w:pStyle w:val="6"/>
              <w:spacing w:before="35" w:line="353" w:lineRule="auto"/>
              <w:ind w:left="103" w:right="97" w:firstLine="481"/>
            </w:pPr>
            <w:r>
              <w:rPr>
                <w:spacing w:val="-4"/>
              </w:rPr>
              <w:t>燃料罐产生量约</w:t>
            </w:r>
            <w:r>
              <w:rPr>
                <w:spacing w:val="27"/>
              </w:rPr>
              <w:t xml:space="preserve"> </w:t>
            </w:r>
            <w:r>
              <w:rPr>
                <w:spacing w:val="-4"/>
              </w:rPr>
              <w:t>16t/a</w:t>
            </w:r>
            <w:r>
              <w:rPr>
                <w:spacing w:val="29"/>
              </w:rPr>
              <w:t xml:space="preserve"> </w:t>
            </w:r>
            <w:r>
              <w:rPr>
                <w:spacing w:val="-4"/>
              </w:rPr>
              <w:t>，属于《国家危险废物名录》(2021 版)</w:t>
            </w:r>
            <w:r>
              <w:rPr>
                <w:spacing w:val="32"/>
              </w:rPr>
              <w:t xml:space="preserve"> </w:t>
            </w:r>
            <w:r>
              <w:rPr>
                <w:spacing w:val="-5"/>
              </w:rPr>
              <w:t>中“HW08</w:t>
            </w:r>
            <w:r>
              <w:t xml:space="preserve"> 废矿物油与含矿物油废物</w:t>
            </w:r>
            <w:r>
              <w:rPr>
                <w:spacing w:val="-72"/>
              </w:rPr>
              <w:t xml:space="preserve"> </w:t>
            </w:r>
            <w:r>
              <w:t xml:space="preserve">”，中的“ 900-249-08 其他生产、销售、使用过程 </w:t>
            </w:r>
            <w:r>
              <w:rPr>
                <w:spacing w:val="-2"/>
              </w:rPr>
              <w:t>中产生的废矿物油及沾染矿物油的废弃包装物</w:t>
            </w:r>
            <w:r>
              <w:rPr>
                <w:spacing w:val="-89"/>
              </w:rPr>
              <w:t xml:space="preserve"> </w:t>
            </w:r>
            <w:r>
              <w:rPr>
                <w:spacing w:val="-2"/>
              </w:rPr>
              <w:t>”，暂存于</w:t>
            </w:r>
            <w:r>
              <w:rPr>
                <w:spacing w:val="-33"/>
              </w:rPr>
              <w:t xml:space="preserve"> </w:t>
            </w:r>
            <w:r>
              <w:rPr>
                <w:spacing w:val="-2"/>
              </w:rPr>
              <w:t>1#其他危险废物暂存</w:t>
            </w:r>
            <w:r>
              <w:t xml:space="preserve"> </w:t>
            </w:r>
            <w:r>
              <w:rPr>
                <w:spacing w:val="-1"/>
              </w:rPr>
              <w:t>区，放置在货架上，由有资质单位处理。</w:t>
            </w:r>
          </w:p>
          <w:p w14:paraId="68DC9B28">
            <w:pPr>
              <w:pStyle w:val="6"/>
              <w:spacing w:before="37" w:line="217" w:lineRule="auto"/>
              <w:ind w:left="582"/>
            </w:pPr>
            <w:r>
              <w:rPr>
                <w:spacing w:val="-2"/>
              </w:rPr>
              <w:t>②废油液</w:t>
            </w:r>
          </w:p>
          <w:p w14:paraId="23C9201B">
            <w:pPr>
              <w:pStyle w:val="6"/>
              <w:spacing w:before="182" w:line="353" w:lineRule="auto"/>
              <w:ind w:left="104" w:right="16" w:firstLine="481"/>
            </w:pPr>
            <w:r>
              <w:rPr>
                <w:spacing w:val="3"/>
              </w:rPr>
              <w:t>主要为废润滑油、废机油，产生的废油液约</w:t>
            </w:r>
            <w:r>
              <w:rPr>
                <w:spacing w:val="-49"/>
              </w:rPr>
              <w:t xml:space="preserve"> </w:t>
            </w:r>
            <w:r>
              <w:rPr>
                <w:spacing w:val="3"/>
              </w:rPr>
              <w:t>4.8t/</w:t>
            </w:r>
            <w:r>
              <w:rPr>
                <w:spacing w:val="2"/>
              </w:rPr>
              <w:t>a，根据 《国家危险废</w:t>
            </w:r>
            <w:r>
              <w:t xml:space="preserve"> </w:t>
            </w:r>
            <w:r>
              <w:rPr>
                <w:spacing w:val="-4"/>
              </w:rPr>
              <w:t>物名录》</w:t>
            </w:r>
            <w:r>
              <w:rPr>
                <w:spacing w:val="-53"/>
              </w:rPr>
              <w:t xml:space="preserve"> </w:t>
            </w:r>
            <w:r>
              <w:rPr>
                <w:spacing w:val="-4"/>
              </w:rPr>
              <w:t>(2021</w:t>
            </w:r>
            <w:r>
              <w:rPr>
                <w:spacing w:val="-49"/>
              </w:rPr>
              <w:t xml:space="preserve"> </w:t>
            </w:r>
            <w:r>
              <w:rPr>
                <w:spacing w:val="-4"/>
              </w:rPr>
              <w:t>版)，项目产生废油液属于“HW08</w:t>
            </w:r>
            <w:r>
              <w:rPr>
                <w:spacing w:val="49"/>
              </w:rPr>
              <w:t xml:space="preserve"> </w:t>
            </w:r>
            <w:r>
              <w:rPr>
                <w:spacing w:val="-4"/>
              </w:rPr>
              <w:t>(900-199-08)内燃机、汽车、</w:t>
            </w:r>
            <w:r>
              <w:t xml:space="preserve"> </w:t>
            </w:r>
            <w:r>
              <w:rPr>
                <w:spacing w:val="-2"/>
              </w:rPr>
              <w:t>轮船等集中拆解过程产生的废矿物油及油泥</w:t>
            </w:r>
            <w:r>
              <w:rPr>
                <w:spacing w:val="-77"/>
              </w:rPr>
              <w:t xml:space="preserve"> </w:t>
            </w:r>
            <w:r>
              <w:rPr>
                <w:spacing w:val="-2"/>
              </w:rPr>
              <w:t>”，经分类收集后暂存于</w:t>
            </w:r>
            <w:r>
              <w:rPr>
                <w:spacing w:val="-46"/>
              </w:rPr>
              <w:t xml:space="preserve"> </w:t>
            </w:r>
            <w:r>
              <w:rPr>
                <w:spacing w:val="-2"/>
              </w:rPr>
              <w:t>3#废矿物</w:t>
            </w:r>
            <w:r>
              <w:t xml:space="preserve"> </w:t>
            </w:r>
            <w:r>
              <w:rPr>
                <w:spacing w:val="-1"/>
              </w:rPr>
              <w:t>油暂存区塑料桶内，由有资质单位处理。</w:t>
            </w:r>
          </w:p>
          <w:p w14:paraId="4C368490">
            <w:pPr>
              <w:pStyle w:val="6"/>
              <w:spacing w:before="33" w:line="217" w:lineRule="auto"/>
              <w:ind w:left="582"/>
            </w:pPr>
            <w:r>
              <w:rPr>
                <w:spacing w:val="-2"/>
              </w:rPr>
              <w:t>③废铅酸蓄电池</w:t>
            </w:r>
          </w:p>
        </w:tc>
      </w:tr>
    </w:tbl>
    <w:p w14:paraId="6B27158C">
      <w:pPr>
        <w:spacing w:before="66" w:line="181" w:lineRule="auto"/>
        <w:ind w:left="4560"/>
        <w:rPr>
          <w:rFonts w:ascii="Calibri" w:hAnsi="Calibri" w:eastAsia="Calibri" w:cs="Calibri"/>
          <w:sz w:val="18"/>
          <w:szCs w:val="18"/>
        </w:rPr>
      </w:pPr>
      <w:r>
        <w:rPr>
          <w:rFonts w:ascii="Calibri" w:hAnsi="Calibri" w:eastAsia="Calibri" w:cs="Calibri"/>
          <w:spacing w:val="-5"/>
          <w:sz w:val="18"/>
          <w:szCs w:val="18"/>
        </w:rPr>
        <w:t>73</w:t>
      </w:r>
    </w:p>
    <w:p w14:paraId="38D6DF67">
      <w:pPr>
        <w:spacing w:line="181" w:lineRule="auto"/>
        <w:rPr>
          <w:rFonts w:ascii="Calibri" w:hAnsi="Calibri" w:eastAsia="Calibri" w:cs="Calibri"/>
          <w:sz w:val="18"/>
          <w:szCs w:val="18"/>
        </w:rPr>
        <w:sectPr>
          <w:footerReference r:id="rId77" w:type="default"/>
          <w:pgSz w:w="11906" w:h="16839"/>
          <w:pgMar w:top="1270" w:right="1489" w:bottom="400" w:left="1488" w:header="0" w:footer="0"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5660F911">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22" w:hRule="atLeast"/>
        </w:trPr>
        <w:tc>
          <w:tcPr>
            <w:tcW w:w="477" w:type="dxa"/>
            <w:tcBorders>
              <w:right w:val="single" w:color="000000" w:sz="2" w:space="0"/>
            </w:tcBorders>
            <w:vAlign w:val="top"/>
          </w:tcPr>
          <w:p w14:paraId="42784BD3">
            <w:pPr>
              <w:rPr>
                <w:rFonts w:ascii="Arial"/>
                <w:sz w:val="21"/>
              </w:rPr>
            </w:pPr>
          </w:p>
        </w:tc>
        <w:tc>
          <w:tcPr>
            <w:tcW w:w="8425" w:type="dxa"/>
            <w:tcBorders>
              <w:left w:val="single" w:color="000000" w:sz="2" w:space="0"/>
            </w:tcBorders>
            <w:vAlign w:val="top"/>
          </w:tcPr>
          <w:p w14:paraId="3F51A062">
            <w:pPr>
              <w:pStyle w:val="6"/>
              <w:spacing w:before="23" w:line="355" w:lineRule="auto"/>
              <w:ind w:left="102" w:right="96" w:firstLine="482"/>
              <w:jc w:val="both"/>
            </w:pPr>
            <w:r>
              <w:rPr>
                <w:spacing w:val="5"/>
              </w:rPr>
              <w:t>根据类比同类项目，拆解过程产生约 3t废铅酸蓄电池，根据《国家危险</w:t>
            </w:r>
            <w:r>
              <w:rPr>
                <w:spacing w:val="2"/>
              </w:rPr>
              <w:t xml:space="preserve"> 废物名录》</w:t>
            </w:r>
            <w:r>
              <w:rPr>
                <w:spacing w:val="-56"/>
              </w:rPr>
              <w:t xml:space="preserve"> </w:t>
            </w:r>
            <w:r>
              <w:rPr>
                <w:spacing w:val="2"/>
              </w:rPr>
              <w:t xml:space="preserve">(2021 版)，此类废物属于危险废物，类别为 </w:t>
            </w:r>
            <w:r>
              <w:t>HW</w:t>
            </w:r>
            <w:r>
              <w:rPr>
                <w:spacing w:val="2"/>
              </w:rPr>
              <w:t>31</w:t>
            </w:r>
            <w:r>
              <w:rPr>
                <w:spacing w:val="36"/>
              </w:rPr>
              <w:t xml:space="preserve"> </w:t>
            </w:r>
            <w:r>
              <w:rPr>
                <w:spacing w:val="2"/>
              </w:rPr>
              <w:t>，</w:t>
            </w:r>
            <w:r>
              <w:rPr>
                <w:spacing w:val="1"/>
              </w:rPr>
              <w:t>废物代码为</w:t>
            </w:r>
            <w:r>
              <w:t xml:space="preserve"> </w:t>
            </w:r>
            <w:r>
              <w:rPr>
                <w:spacing w:val="1"/>
              </w:rPr>
              <w:t>900-052-31“废铅蓄电池及废铅蓄电池拆解过程中产生的废铅板、废铅膏和酸</w:t>
            </w:r>
            <w:r>
              <w:rPr>
                <w:spacing w:val="10"/>
              </w:rPr>
              <w:t xml:space="preserve"> </w:t>
            </w:r>
            <w:r>
              <w:rPr>
                <w:spacing w:val="-2"/>
              </w:rPr>
              <w:t>液</w:t>
            </w:r>
            <w:r>
              <w:rPr>
                <w:spacing w:val="-73"/>
              </w:rPr>
              <w:t xml:space="preserve"> </w:t>
            </w:r>
            <w:r>
              <w:rPr>
                <w:spacing w:val="-2"/>
              </w:rPr>
              <w:t>”。本项目仅拆下蓄电池，不对蓄电池进行拆解，经收集后暂存于</w:t>
            </w:r>
            <w:r>
              <w:rPr>
                <w:spacing w:val="-48"/>
              </w:rPr>
              <w:t xml:space="preserve"> </w:t>
            </w:r>
            <w:r>
              <w:rPr>
                <w:spacing w:val="-2"/>
              </w:rPr>
              <w:t>2#废蓄电</w:t>
            </w:r>
            <w:r>
              <w:t xml:space="preserve"> </w:t>
            </w:r>
            <w:r>
              <w:rPr>
                <w:spacing w:val="-2"/>
              </w:rPr>
              <w:t>池暂存区，废电池完好的放在塑料箱中并采用塑料膜包装以防碰撞破损，</w:t>
            </w:r>
            <w:r>
              <w:rPr>
                <w:spacing w:val="-2"/>
                <w:sz w:val="20"/>
                <w:szCs w:val="20"/>
              </w:rPr>
              <w:t>在多层</w:t>
            </w:r>
            <w:r>
              <w:rPr>
                <w:sz w:val="20"/>
                <w:szCs w:val="20"/>
              </w:rPr>
              <w:t xml:space="preserve"> </w:t>
            </w:r>
            <w:r>
              <w:rPr>
                <w:spacing w:val="6"/>
                <w:sz w:val="20"/>
                <w:szCs w:val="20"/>
              </w:rPr>
              <w:t>储存时，放在塑料箱中并采用塑料膜包装后存放在采用便于存取的钢质框架结构</w:t>
            </w:r>
            <w:r>
              <w:rPr>
                <w:spacing w:val="6"/>
              </w:rPr>
              <w:t>；如有破</w:t>
            </w:r>
            <w:r>
              <w:rPr>
                <w:spacing w:val="15"/>
              </w:rPr>
              <w:t xml:space="preserve"> </w:t>
            </w:r>
            <w:r>
              <w:t>损的废电池放置在耐酸耐腐蚀的塑料箱内储存，</w:t>
            </w:r>
            <w:r>
              <w:rPr>
                <w:spacing w:val="-1"/>
              </w:rPr>
              <w:t>由有资质单位处理。</w:t>
            </w:r>
          </w:p>
          <w:p w14:paraId="319FC987">
            <w:pPr>
              <w:pStyle w:val="6"/>
              <w:spacing w:before="33" w:line="217" w:lineRule="auto"/>
              <w:ind w:left="582"/>
            </w:pPr>
            <w:r>
              <w:rPr>
                <w:spacing w:val="-2"/>
              </w:rPr>
              <w:t>④制冷剂</w:t>
            </w:r>
          </w:p>
          <w:p w14:paraId="4460E657">
            <w:pPr>
              <w:pStyle w:val="6"/>
              <w:spacing w:before="184" w:line="354" w:lineRule="auto"/>
              <w:ind w:left="105" w:right="94" w:firstLine="479"/>
            </w:pPr>
            <w:r>
              <w:rPr>
                <w:spacing w:val="-2"/>
              </w:rPr>
              <w:t>产生量约 0.24t/a</w:t>
            </w:r>
            <w:r>
              <w:rPr>
                <w:spacing w:val="38"/>
              </w:rPr>
              <w:t xml:space="preserve"> </w:t>
            </w:r>
            <w:r>
              <w:rPr>
                <w:spacing w:val="-2"/>
              </w:rPr>
              <w:t>，属于《国家危险废物名录》</w:t>
            </w:r>
            <w:r>
              <w:rPr>
                <w:spacing w:val="-64"/>
              </w:rPr>
              <w:t xml:space="preserve"> </w:t>
            </w:r>
            <w:r>
              <w:rPr>
                <w:spacing w:val="-2"/>
              </w:rPr>
              <w:t>(2021 版)</w:t>
            </w:r>
            <w:r>
              <w:rPr>
                <w:spacing w:val="35"/>
              </w:rPr>
              <w:t xml:space="preserve"> </w:t>
            </w:r>
            <w:r>
              <w:rPr>
                <w:spacing w:val="-2"/>
              </w:rPr>
              <w:t>中“HW06 废</w:t>
            </w:r>
            <w:r>
              <w:t xml:space="preserve"> 有机溶剂与含有机溶剂废物</w:t>
            </w:r>
            <w:r>
              <w:rPr>
                <w:spacing w:val="-72"/>
              </w:rPr>
              <w:t xml:space="preserve"> </w:t>
            </w:r>
            <w:r>
              <w:t xml:space="preserve">”，中的“900-404- 06 工业生产中作为清洗剂、 </w:t>
            </w:r>
            <w:r>
              <w:rPr>
                <w:spacing w:val="1"/>
              </w:rPr>
              <w:t>萃取剂、溶剂或反应介质使用后废弃的其他列入《危险化学品目录》的有机溶</w:t>
            </w:r>
            <w:r>
              <w:rPr>
                <w:spacing w:val="14"/>
              </w:rPr>
              <w:t xml:space="preserve"> </w:t>
            </w:r>
            <w:r>
              <w:rPr>
                <w:spacing w:val="-3"/>
              </w:rPr>
              <w:t>剂，以及在使用前混合的含有一种或多种上述溶剂的混合/调和溶剂</w:t>
            </w:r>
            <w:r>
              <w:rPr>
                <w:spacing w:val="-89"/>
              </w:rPr>
              <w:t xml:space="preserve"> </w:t>
            </w:r>
            <w:r>
              <w:rPr>
                <w:spacing w:val="-3"/>
              </w:rPr>
              <w:t>”，经分类</w:t>
            </w:r>
            <w:r>
              <w:t xml:space="preserve"> </w:t>
            </w:r>
            <w:r>
              <w:rPr>
                <w:spacing w:val="-1"/>
              </w:rPr>
              <w:t>收集后暂存于</w:t>
            </w:r>
            <w:r>
              <w:rPr>
                <w:spacing w:val="-43"/>
              </w:rPr>
              <w:t xml:space="preserve"> </w:t>
            </w:r>
            <w:r>
              <w:rPr>
                <w:spacing w:val="-1"/>
              </w:rPr>
              <w:t>3#废矿物油暂存区塑料桶内，由有资质单位处理。</w:t>
            </w:r>
          </w:p>
          <w:p w14:paraId="1994F34D">
            <w:pPr>
              <w:pStyle w:val="6"/>
              <w:spacing w:before="33" w:line="217" w:lineRule="auto"/>
              <w:ind w:left="582"/>
            </w:pPr>
            <w:r>
              <w:rPr>
                <w:spacing w:val="-2"/>
              </w:rPr>
              <w:t>⑤液压油管</w:t>
            </w:r>
          </w:p>
          <w:p w14:paraId="1C8FBB85">
            <w:pPr>
              <w:pStyle w:val="6"/>
              <w:spacing w:before="185" w:line="352" w:lineRule="auto"/>
              <w:ind w:left="103" w:right="97" w:firstLine="480"/>
            </w:pPr>
            <w:r>
              <w:rPr>
                <w:spacing w:val="-2"/>
              </w:rPr>
              <w:t>根据类比同类项目，产生量约 0.08t/a，根据《国家危险废物名录》(2021</w:t>
            </w:r>
            <w:r>
              <w:rPr>
                <w:spacing w:val="5"/>
              </w:rPr>
              <w:t xml:space="preserve"> </w:t>
            </w:r>
            <w:r>
              <w:rPr>
                <w:spacing w:val="-2"/>
              </w:rPr>
              <w:t>版)，此类废物属于危险废物，类别为 HW08，废物代码为 900-249-08“其他生</w:t>
            </w:r>
            <w:r>
              <w:rPr>
                <w:spacing w:val="14"/>
              </w:rPr>
              <w:t xml:space="preserve"> </w:t>
            </w:r>
            <w:r>
              <w:t>产、销售、使用过程中产生的废矿物油及沾染矿物油的废弃包装物</w:t>
            </w:r>
            <w:r>
              <w:rPr>
                <w:spacing w:val="-72"/>
              </w:rPr>
              <w:t xml:space="preserve"> </w:t>
            </w:r>
            <w:r>
              <w:t xml:space="preserve">”。分类暂 </w:t>
            </w:r>
            <w:r>
              <w:rPr>
                <w:spacing w:val="-2"/>
              </w:rPr>
              <w:t>存于</w:t>
            </w:r>
            <w:r>
              <w:rPr>
                <w:spacing w:val="-18"/>
              </w:rPr>
              <w:t xml:space="preserve"> </w:t>
            </w:r>
            <w:r>
              <w:rPr>
                <w:spacing w:val="-2"/>
              </w:rPr>
              <w:t>1#其他危险废物暂存区货架上，由有资质单位处理。</w:t>
            </w:r>
          </w:p>
          <w:p w14:paraId="330054A4">
            <w:pPr>
              <w:pStyle w:val="6"/>
              <w:spacing w:before="37" w:line="217" w:lineRule="auto"/>
              <w:ind w:left="582"/>
            </w:pPr>
            <w:r>
              <w:rPr>
                <w:spacing w:val="-2"/>
              </w:rPr>
              <w:t>⑥催化器</w:t>
            </w:r>
          </w:p>
          <w:p w14:paraId="5C03DD6E">
            <w:pPr>
              <w:pStyle w:val="6"/>
              <w:spacing w:before="186" w:line="352" w:lineRule="auto"/>
              <w:ind w:left="105" w:right="97" w:firstLine="479"/>
            </w:pPr>
            <w:r>
              <w:rPr>
                <w:spacing w:val="-2"/>
              </w:rPr>
              <w:t>根据类比同类项目，产生量约 0.08t/a，根据《国家危险废物名录》(2021</w:t>
            </w:r>
            <w:r>
              <w:rPr>
                <w:spacing w:val="5"/>
              </w:rPr>
              <w:t xml:space="preserve"> </w:t>
            </w:r>
            <w:r>
              <w:rPr>
                <w:spacing w:val="1"/>
              </w:rPr>
              <w:t xml:space="preserve">版)，此类废物属于危险废物，类别为 </w:t>
            </w:r>
            <w:r>
              <w:t>HW</w:t>
            </w:r>
            <w:r>
              <w:rPr>
                <w:spacing w:val="1"/>
              </w:rPr>
              <w:t>50 ，废物代码为 900-049-50“机动</w:t>
            </w:r>
            <w:r>
              <w:rPr>
                <w:spacing w:val="5"/>
              </w:rPr>
              <w:t xml:space="preserve"> </w:t>
            </w:r>
            <w:r>
              <w:rPr>
                <w:spacing w:val="-2"/>
              </w:rPr>
              <w:t>车和非道路移动机械尾气净化废催化剂</w:t>
            </w:r>
            <w:r>
              <w:rPr>
                <w:spacing w:val="-88"/>
              </w:rPr>
              <w:t xml:space="preserve"> </w:t>
            </w:r>
            <w:r>
              <w:rPr>
                <w:spacing w:val="-2"/>
              </w:rPr>
              <w:t>”。分类暂存于</w:t>
            </w:r>
            <w:r>
              <w:rPr>
                <w:spacing w:val="-33"/>
              </w:rPr>
              <w:t xml:space="preserve"> </w:t>
            </w:r>
            <w:r>
              <w:rPr>
                <w:spacing w:val="-2"/>
              </w:rPr>
              <w:t>1#其他危险废物</w:t>
            </w:r>
            <w:r>
              <w:rPr>
                <w:spacing w:val="-3"/>
              </w:rPr>
              <w:t>暂存区</w:t>
            </w:r>
            <w:r>
              <w:t xml:space="preserve"> </w:t>
            </w:r>
            <w:r>
              <w:rPr>
                <w:spacing w:val="-1"/>
              </w:rPr>
              <w:t>货架上，由有资质单位处理。</w:t>
            </w:r>
          </w:p>
          <w:p w14:paraId="4F145219">
            <w:pPr>
              <w:pStyle w:val="6"/>
              <w:spacing w:before="37" w:line="217" w:lineRule="auto"/>
              <w:ind w:left="582"/>
            </w:pPr>
            <w:r>
              <w:rPr>
                <w:spacing w:val="-2"/>
              </w:rPr>
              <w:t>⑦废活性碳</w:t>
            </w:r>
          </w:p>
          <w:p w14:paraId="3E672F38">
            <w:pPr>
              <w:pStyle w:val="6"/>
              <w:spacing w:before="181" w:line="355" w:lineRule="auto"/>
              <w:ind w:left="104" w:right="35" w:firstLine="480"/>
            </w:pPr>
            <w:r>
              <w:rPr>
                <w:spacing w:val="1"/>
              </w:rPr>
              <w:t>本项目活性碳吸附装置定期更换活性碳会产生废活性碳。参考同类型企业</w:t>
            </w:r>
            <w:r>
              <w:rPr>
                <w:spacing w:val="16"/>
              </w:rPr>
              <w:t xml:space="preserve"> </w:t>
            </w:r>
            <w:r>
              <w:rPr>
                <w:spacing w:val="-2"/>
              </w:rPr>
              <w:t>活性碳安装规模及企业设计资料，本项目每次安装活性碳 35kg，活性碳吸附容</w:t>
            </w:r>
            <w:r>
              <w:rPr>
                <w:spacing w:val="1"/>
              </w:rPr>
              <w:t xml:space="preserve"> 量为</w:t>
            </w:r>
            <w:r>
              <w:rPr>
                <w:spacing w:val="-49"/>
              </w:rPr>
              <w:t xml:space="preserve"> </w:t>
            </w:r>
            <w:r>
              <w:rPr>
                <w:spacing w:val="1"/>
              </w:rPr>
              <w:t>0.33</w:t>
            </w:r>
            <w:r>
              <w:t>kg</w:t>
            </w:r>
            <w:r>
              <w:rPr>
                <w:spacing w:val="1"/>
              </w:rPr>
              <w:t>/</w:t>
            </w:r>
            <w:r>
              <w:t>kg</w:t>
            </w:r>
            <w:r>
              <w:rPr>
                <w:spacing w:val="1"/>
              </w:rPr>
              <w:t>，理论上可吸附污染物量</w:t>
            </w:r>
            <w:r>
              <w:rPr>
                <w:spacing w:val="-31"/>
              </w:rPr>
              <w:t xml:space="preserve"> </w:t>
            </w:r>
            <w:r>
              <w:rPr>
                <w:spacing w:val="1"/>
              </w:rPr>
              <w:t>11.55</w:t>
            </w:r>
            <w:r>
              <w:t>kg</w:t>
            </w:r>
            <w:r>
              <w:rPr>
                <w:spacing w:val="1"/>
              </w:rPr>
              <w:t>/批，本项目拆解周期特点，</w:t>
            </w:r>
            <w:r>
              <w:t xml:space="preserve"> </w:t>
            </w:r>
            <w:r>
              <w:rPr>
                <w:spacing w:val="-2"/>
              </w:rPr>
              <w:t>每天拆解 2-3</w:t>
            </w:r>
            <w:r>
              <w:rPr>
                <w:spacing w:val="-32"/>
              </w:rPr>
              <w:t xml:space="preserve"> </w:t>
            </w:r>
            <w:r>
              <w:rPr>
                <w:spacing w:val="-2"/>
              </w:rPr>
              <w:t>台设备，按最多</w:t>
            </w:r>
            <w:r>
              <w:rPr>
                <w:spacing w:val="-45"/>
              </w:rPr>
              <w:t xml:space="preserve"> </w:t>
            </w:r>
            <w:r>
              <w:rPr>
                <w:spacing w:val="-2"/>
              </w:rPr>
              <w:t>3</w:t>
            </w:r>
            <w:r>
              <w:rPr>
                <w:spacing w:val="-32"/>
              </w:rPr>
              <w:t xml:space="preserve"> </w:t>
            </w:r>
            <w:r>
              <w:rPr>
                <w:spacing w:val="-2"/>
              </w:rPr>
              <w:t>台设备计算污染物</w:t>
            </w:r>
            <w:r>
              <w:rPr>
                <w:spacing w:val="-3"/>
              </w:rPr>
              <w:t>小时排放的最大量，即抽油</w:t>
            </w:r>
            <w:r>
              <w:t xml:space="preserve"> </w:t>
            </w:r>
            <w:r>
              <w:rPr>
                <w:spacing w:val="-2"/>
              </w:rPr>
              <w:t>时间</w:t>
            </w:r>
            <w:r>
              <w:rPr>
                <w:spacing w:val="-33"/>
              </w:rPr>
              <w:t xml:space="preserve"> </w:t>
            </w:r>
            <w:r>
              <w:rPr>
                <w:spacing w:val="-2"/>
              </w:rPr>
              <w:t>15min，非甲烷总烃产生量为 0.085kg/</w:t>
            </w:r>
            <w:r>
              <w:rPr>
                <w:spacing w:val="-3"/>
              </w:rPr>
              <w:t>h，活性碳吸附量</w:t>
            </w:r>
            <w:r>
              <w:rPr>
                <w:spacing w:val="-48"/>
              </w:rPr>
              <w:t xml:space="preserve"> </w:t>
            </w:r>
            <w:r>
              <w:rPr>
                <w:spacing w:val="-3"/>
              </w:rPr>
              <w:t>0.072kg/h，经计</w:t>
            </w:r>
            <w:r>
              <w:t xml:space="preserve"> </w:t>
            </w:r>
            <w:r>
              <w:rPr>
                <w:spacing w:val="-8"/>
              </w:rPr>
              <w:t>算活性碳理论上需</w:t>
            </w:r>
            <w:r>
              <w:rPr>
                <w:spacing w:val="27"/>
              </w:rPr>
              <w:t xml:space="preserve"> </w:t>
            </w:r>
            <w:r>
              <w:rPr>
                <w:spacing w:val="-8"/>
              </w:rPr>
              <w:t>160 天更换一次，为保证吸附效率，本项目</w:t>
            </w:r>
            <w:r>
              <w:rPr>
                <w:spacing w:val="-46"/>
              </w:rPr>
              <w:t xml:space="preserve"> </w:t>
            </w:r>
            <w:r>
              <w:rPr>
                <w:spacing w:val="-8"/>
              </w:rPr>
              <w:t>5</w:t>
            </w:r>
            <w:r>
              <w:rPr>
                <w:spacing w:val="-51"/>
              </w:rPr>
              <w:t xml:space="preserve"> </w:t>
            </w:r>
            <w:r>
              <w:rPr>
                <w:spacing w:val="-8"/>
              </w:rPr>
              <w:t>个</w:t>
            </w:r>
            <w:r>
              <w:rPr>
                <w:spacing w:val="-9"/>
              </w:rPr>
              <w:t>月更换一次，</w:t>
            </w:r>
          </w:p>
        </w:tc>
      </w:tr>
    </w:tbl>
    <w:p w14:paraId="03D665DB">
      <w:pPr>
        <w:pStyle w:val="2"/>
        <w:spacing w:line="223" w:lineRule="exact"/>
        <w:rPr>
          <w:sz w:val="19"/>
        </w:rPr>
      </w:pPr>
    </w:p>
    <w:p w14:paraId="1A8BF6CB">
      <w:pPr>
        <w:spacing w:line="223" w:lineRule="exact"/>
        <w:rPr>
          <w:sz w:val="19"/>
          <w:szCs w:val="19"/>
        </w:rPr>
        <w:sectPr>
          <w:footerReference r:id="rId78" w:type="default"/>
          <w:pgSz w:w="11906" w:h="16839"/>
          <w:pgMar w:top="1270" w:right="1489" w:bottom="1261" w:left="1488" w:header="0" w:footer="1097" w:gutter="0"/>
          <w:cols w:space="720" w:num="1"/>
        </w:sectPr>
      </w:pPr>
    </w:p>
    <w:tbl>
      <w:tblPr>
        <w:tblStyle w:val="5"/>
        <w:tblW w:w="890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538"/>
        <w:gridCol w:w="711"/>
        <w:gridCol w:w="642"/>
        <w:gridCol w:w="863"/>
        <w:gridCol w:w="739"/>
        <w:gridCol w:w="653"/>
        <w:gridCol w:w="488"/>
        <w:gridCol w:w="656"/>
        <w:gridCol w:w="656"/>
        <w:gridCol w:w="516"/>
        <w:gridCol w:w="551"/>
        <w:gridCol w:w="1412"/>
      </w:tblGrid>
      <w:tr w14:paraId="4F9A6E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14" w:hRule="atLeast"/>
        </w:trPr>
        <w:tc>
          <w:tcPr>
            <w:tcW w:w="477" w:type="dxa"/>
            <w:vMerge w:val="restart"/>
            <w:tcBorders>
              <w:top w:val="single" w:color="000000" w:sz="10" w:space="0"/>
              <w:left w:val="single" w:color="000000" w:sz="10" w:space="0"/>
              <w:bottom w:val="nil"/>
            </w:tcBorders>
            <w:vAlign w:val="top"/>
          </w:tcPr>
          <w:p w14:paraId="706F1C75">
            <w:pPr>
              <w:rPr>
                <w:rFonts w:ascii="Arial"/>
                <w:sz w:val="21"/>
              </w:rPr>
            </w:pPr>
            <w:r>
              <w:pict>
                <v:shape id="_x0000_s1037" o:spid="_x0000_s1037" style="position:absolute;left:0pt;margin-left:104pt;margin-top:765.7pt;height:0.5pt;width:411pt;mso-position-horizontal-relative:page;mso-position-vertical-relative:page;z-index:251673600;mso-width-relative:page;mso-height-relative:page;" filled="f" stroked="t" coordsize="8220,10" o:allowincell="f" path="m0,4l8219,4e">
                  <v:fill on="f" focussize="0,0"/>
                  <v:stroke weight="0.48pt" color="#000000" miterlimit="2" joinstyle="bevel"/>
                  <v:imagedata o:title=""/>
                  <o:lock v:ext="edit"/>
                </v:shape>
              </w:pict>
            </w:r>
          </w:p>
        </w:tc>
        <w:tc>
          <w:tcPr>
            <w:tcW w:w="8425" w:type="dxa"/>
            <w:gridSpan w:val="12"/>
            <w:tcBorders>
              <w:top w:val="single" w:color="000000" w:sz="10" w:space="0"/>
              <w:right w:val="single" w:color="000000" w:sz="10" w:space="0"/>
            </w:tcBorders>
            <w:vAlign w:val="top"/>
          </w:tcPr>
          <w:p w14:paraId="5ACFF388">
            <w:pPr>
              <w:pStyle w:val="6"/>
              <w:spacing w:before="24" w:line="354" w:lineRule="auto"/>
              <w:ind w:left="105" w:right="16" w:firstLine="2"/>
              <w:jc w:val="both"/>
            </w:pPr>
            <w:r>
              <w:rPr>
                <w:spacing w:val="-8"/>
              </w:rPr>
              <w:t>故废活性碳 0.084t/a。废活性碳属于《国家危险废物名录》(2021 版)</w:t>
            </w:r>
            <w:r>
              <w:rPr>
                <w:spacing w:val="43"/>
              </w:rPr>
              <w:t xml:space="preserve"> </w:t>
            </w:r>
            <w:r>
              <w:rPr>
                <w:spacing w:val="-8"/>
              </w:rPr>
              <w:t>中“HW49</w:t>
            </w:r>
            <w:r>
              <w:t xml:space="preserve"> </w:t>
            </w:r>
            <w:r>
              <w:rPr>
                <w:spacing w:val="-2"/>
              </w:rPr>
              <w:t>其他废物</w:t>
            </w:r>
            <w:r>
              <w:rPr>
                <w:spacing w:val="-88"/>
              </w:rPr>
              <w:t xml:space="preserve"> </w:t>
            </w:r>
            <w:r>
              <w:rPr>
                <w:spacing w:val="-2"/>
              </w:rPr>
              <w:t>”，中的“900-039-49 烟气、</w:t>
            </w:r>
            <w:r>
              <w:rPr>
                <w:spacing w:val="-3"/>
              </w:rPr>
              <w:t>VOCs 治理过程(不包括餐饮行业油烟治</w:t>
            </w:r>
            <w:r>
              <w:t xml:space="preserve"> </w:t>
            </w:r>
            <w:r>
              <w:rPr>
                <w:spacing w:val="-2"/>
              </w:rPr>
              <w:t>理过程) 产生的废活性碳，化学原料和化学制品脱色(不包括有机合成食品</w:t>
            </w:r>
            <w:r>
              <w:rPr>
                <w:spacing w:val="-3"/>
              </w:rPr>
              <w:t>添加</w:t>
            </w:r>
            <w:r>
              <w:t xml:space="preserve"> </w:t>
            </w:r>
            <w:r>
              <w:rPr>
                <w:spacing w:val="-8"/>
              </w:rPr>
              <w:t>剂脱色)、除杂、净化过程产生的废活性碳(不包括 900-405-</w:t>
            </w:r>
            <w:r>
              <w:rPr>
                <w:spacing w:val="-49"/>
              </w:rPr>
              <w:t xml:space="preserve"> </w:t>
            </w:r>
            <w:r>
              <w:rPr>
                <w:spacing w:val="-8"/>
              </w:rPr>
              <w:t>06 、772-</w:t>
            </w:r>
            <w:r>
              <w:rPr>
                <w:spacing w:val="-9"/>
              </w:rPr>
              <w:t>005-</w:t>
            </w:r>
            <w:r>
              <w:rPr>
                <w:spacing w:val="-33"/>
              </w:rPr>
              <w:t xml:space="preserve"> </w:t>
            </w:r>
            <w:r>
              <w:rPr>
                <w:spacing w:val="-9"/>
              </w:rPr>
              <w:t>18 、</w:t>
            </w:r>
            <w:r>
              <w:t xml:space="preserve"> </w:t>
            </w:r>
            <w:r>
              <w:rPr>
                <w:spacing w:val="-2"/>
              </w:rPr>
              <w:t>261-053-29 、265-002-29 、384-003-29</w:t>
            </w:r>
            <w:r>
              <w:rPr>
                <w:spacing w:val="26"/>
              </w:rPr>
              <w:t xml:space="preserve"> </w:t>
            </w:r>
            <w:r>
              <w:rPr>
                <w:spacing w:val="-2"/>
              </w:rPr>
              <w:t>、3</w:t>
            </w:r>
            <w:r>
              <w:rPr>
                <w:spacing w:val="-3"/>
              </w:rPr>
              <w:t>87-001-29 类废物)</w:t>
            </w:r>
            <w:r>
              <w:rPr>
                <w:spacing w:val="-88"/>
              </w:rPr>
              <w:t xml:space="preserve"> </w:t>
            </w:r>
            <w:r>
              <w:rPr>
                <w:spacing w:val="-3"/>
              </w:rPr>
              <w:t>”，经收集后</w:t>
            </w:r>
            <w:r>
              <w:t xml:space="preserve"> </w:t>
            </w:r>
            <w:r>
              <w:rPr>
                <w:spacing w:val="-2"/>
              </w:rPr>
              <w:t>暂存于</w:t>
            </w:r>
            <w:r>
              <w:rPr>
                <w:spacing w:val="-18"/>
              </w:rPr>
              <w:t xml:space="preserve"> </w:t>
            </w:r>
            <w:r>
              <w:rPr>
                <w:spacing w:val="-2"/>
              </w:rPr>
              <w:t>1#其他危险废物暂存区货架上，由有资质单位处理。</w:t>
            </w:r>
          </w:p>
          <w:p w14:paraId="0A5F99DF">
            <w:pPr>
              <w:pStyle w:val="6"/>
              <w:spacing w:before="37" w:line="217" w:lineRule="auto"/>
              <w:ind w:left="582"/>
            </w:pPr>
            <w:r>
              <w:rPr>
                <w:spacing w:val="-1"/>
              </w:rPr>
              <w:t>⑧分类收集的含油抹布/拖布及手套</w:t>
            </w:r>
          </w:p>
          <w:p w14:paraId="78AF6B0F">
            <w:pPr>
              <w:pStyle w:val="6"/>
              <w:spacing w:before="182" w:line="355" w:lineRule="auto"/>
              <w:ind w:left="104" w:right="94" w:firstLine="479"/>
            </w:pPr>
            <w:r>
              <w:rPr>
                <w:spacing w:val="-2"/>
              </w:rPr>
              <w:t>在清理油垢时会产生含油抹布 /拖布和手套，本项目产生约 1t 含油抹布/</w:t>
            </w:r>
            <w:r>
              <w:t xml:space="preserve"> </w:t>
            </w:r>
            <w:r>
              <w:rPr>
                <w:spacing w:val="1"/>
              </w:rPr>
              <w:t>拖布和手套，与生活垃圾产生位置不同，具备分类收集的条件。根据《国家危</w:t>
            </w:r>
            <w:r>
              <w:rPr>
                <w:spacing w:val="15"/>
              </w:rPr>
              <w:t xml:space="preserve"> </w:t>
            </w:r>
            <w:r>
              <w:rPr>
                <w:spacing w:val="-3"/>
              </w:rPr>
              <w:t>险废物名录》</w:t>
            </w:r>
            <w:r>
              <w:rPr>
                <w:spacing w:val="-71"/>
              </w:rPr>
              <w:t xml:space="preserve"> </w:t>
            </w:r>
            <w:r>
              <w:rPr>
                <w:spacing w:val="-3"/>
              </w:rPr>
              <w:t>(2021</w:t>
            </w:r>
            <w:r>
              <w:rPr>
                <w:spacing w:val="-50"/>
              </w:rPr>
              <w:t xml:space="preserve"> </w:t>
            </w:r>
            <w:r>
              <w:rPr>
                <w:spacing w:val="-3"/>
              </w:rPr>
              <w:t>年版)可知，分类收集后属于《国家危险废物名</w:t>
            </w:r>
            <w:r>
              <w:rPr>
                <w:spacing w:val="-4"/>
              </w:rPr>
              <w:t>录》</w:t>
            </w:r>
            <w:r>
              <w:rPr>
                <w:spacing w:val="52"/>
              </w:rPr>
              <w:t xml:space="preserve"> </w:t>
            </w:r>
            <w:r>
              <w:rPr>
                <w:spacing w:val="-4"/>
              </w:rPr>
              <w:t>(2021</w:t>
            </w:r>
            <w:r>
              <w:t xml:space="preserve"> </w:t>
            </w:r>
            <w:r>
              <w:rPr>
                <w:spacing w:val="-1"/>
              </w:rPr>
              <w:t>年版)</w:t>
            </w:r>
            <w:r>
              <w:rPr>
                <w:spacing w:val="-27"/>
              </w:rPr>
              <w:t xml:space="preserve"> </w:t>
            </w:r>
            <w:r>
              <w:rPr>
                <w:spacing w:val="-1"/>
              </w:rPr>
              <w:t>HW49 (900-041-49)含有或沾染毒性、感染性危险废物的废弃包装</w:t>
            </w:r>
            <w:r>
              <w:rPr>
                <w:spacing w:val="-2"/>
              </w:rPr>
              <w:t>物、容</w:t>
            </w:r>
            <w:r>
              <w:t xml:space="preserve"> </w:t>
            </w:r>
            <w:r>
              <w:rPr>
                <w:spacing w:val="-1"/>
              </w:rPr>
              <w:t>器、过滤吸附介质，经收集后分类暂存于</w:t>
            </w:r>
            <w:r>
              <w:rPr>
                <w:spacing w:val="-33"/>
              </w:rPr>
              <w:t xml:space="preserve"> </w:t>
            </w:r>
            <w:r>
              <w:rPr>
                <w:spacing w:val="-1"/>
              </w:rPr>
              <w:t>1#其他危险废物暂存区货</w:t>
            </w:r>
            <w:r>
              <w:rPr>
                <w:spacing w:val="-2"/>
              </w:rPr>
              <w:t>架上，由有</w:t>
            </w:r>
            <w:r>
              <w:t xml:space="preserve"> </w:t>
            </w:r>
            <w:r>
              <w:rPr>
                <w:spacing w:val="-2"/>
              </w:rPr>
              <w:t>资质单位处理。</w:t>
            </w:r>
          </w:p>
          <w:p w14:paraId="462C9D20">
            <w:pPr>
              <w:pStyle w:val="6"/>
              <w:spacing w:before="32" w:line="219" w:lineRule="auto"/>
              <w:ind w:left="1543"/>
              <w:outlineLvl w:val="2"/>
            </w:pPr>
            <w:r>
              <w:rPr>
                <w:b/>
                <w:bCs/>
                <w:spacing w:val="-2"/>
              </w:rPr>
              <w:t>表</w:t>
            </w:r>
            <w:r>
              <w:rPr>
                <w:spacing w:val="-52"/>
              </w:rPr>
              <w:t xml:space="preserve"> </w:t>
            </w:r>
            <w:r>
              <w:rPr>
                <w:b/>
                <w:bCs/>
                <w:spacing w:val="-2"/>
              </w:rPr>
              <w:t>4-10</w:t>
            </w:r>
            <w:r>
              <w:rPr>
                <w:spacing w:val="-2"/>
              </w:rPr>
              <w:t xml:space="preserve">     </w:t>
            </w:r>
            <w:r>
              <w:rPr>
                <w:b/>
                <w:bCs/>
                <w:spacing w:val="-2"/>
              </w:rPr>
              <w:t>危险废物产生及排放</w:t>
            </w:r>
            <w:r>
              <w:rPr>
                <w:b/>
                <w:bCs/>
                <w:spacing w:val="-3"/>
              </w:rPr>
              <w:t>情况</w:t>
            </w:r>
          </w:p>
        </w:tc>
      </w:tr>
      <w:tr w14:paraId="01C6CD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477" w:type="dxa"/>
            <w:vMerge w:val="continue"/>
            <w:tcBorders>
              <w:top w:val="nil"/>
              <w:left w:val="single" w:color="000000" w:sz="10" w:space="0"/>
              <w:bottom w:val="nil"/>
            </w:tcBorders>
            <w:vAlign w:val="top"/>
          </w:tcPr>
          <w:p w14:paraId="50A9A5BB">
            <w:pPr>
              <w:rPr>
                <w:rFonts w:ascii="Arial"/>
                <w:sz w:val="21"/>
              </w:rPr>
            </w:pPr>
          </w:p>
        </w:tc>
        <w:tc>
          <w:tcPr>
            <w:tcW w:w="538" w:type="dxa"/>
            <w:textDirection w:val="tbRlV"/>
            <w:vAlign w:val="top"/>
          </w:tcPr>
          <w:p w14:paraId="3514C11B">
            <w:pPr>
              <w:pStyle w:val="6"/>
              <w:spacing w:before="115" w:line="223" w:lineRule="auto"/>
              <w:ind w:left="316"/>
              <w:rPr>
                <w:sz w:val="20"/>
                <w:szCs w:val="20"/>
              </w:rPr>
            </w:pPr>
            <w:r>
              <w:rPr>
                <w:spacing w:val="8"/>
                <w:sz w:val="20"/>
                <w:szCs w:val="20"/>
              </w:rPr>
              <w:t>工</w:t>
            </w:r>
            <w:r>
              <w:rPr>
                <w:spacing w:val="-38"/>
                <w:sz w:val="20"/>
                <w:szCs w:val="20"/>
              </w:rPr>
              <w:t xml:space="preserve"> </w:t>
            </w:r>
            <w:r>
              <w:rPr>
                <w:spacing w:val="8"/>
                <w:sz w:val="20"/>
                <w:szCs w:val="20"/>
              </w:rPr>
              <w:t>艺</w:t>
            </w:r>
          </w:p>
        </w:tc>
        <w:tc>
          <w:tcPr>
            <w:tcW w:w="711" w:type="dxa"/>
            <w:vAlign w:val="top"/>
          </w:tcPr>
          <w:p w14:paraId="6A15F85A">
            <w:pPr>
              <w:spacing w:line="383" w:lineRule="auto"/>
              <w:rPr>
                <w:rFonts w:ascii="Arial"/>
                <w:sz w:val="21"/>
              </w:rPr>
            </w:pPr>
          </w:p>
          <w:p w14:paraId="39554E05">
            <w:pPr>
              <w:pStyle w:val="6"/>
              <w:spacing w:before="65" w:line="230" w:lineRule="auto"/>
              <w:ind w:left="144"/>
              <w:rPr>
                <w:sz w:val="20"/>
                <w:szCs w:val="20"/>
              </w:rPr>
            </w:pPr>
            <w:r>
              <w:rPr>
                <w:spacing w:val="3"/>
                <w:sz w:val="20"/>
                <w:szCs w:val="20"/>
              </w:rPr>
              <w:t>名称</w:t>
            </w:r>
          </w:p>
        </w:tc>
        <w:tc>
          <w:tcPr>
            <w:tcW w:w="642" w:type="dxa"/>
            <w:vAlign w:val="top"/>
          </w:tcPr>
          <w:p w14:paraId="77F4CF43">
            <w:pPr>
              <w:pStyle w:val="6"/>
              <w:spacing w:before="178" w:line="243" w:lineRule="auto"/>
              <w:ind w:left="108" w:right="117" w:firstLine="3"/>
              <w:jc w:val="both"/>
              <w:rPr>
                <w:sz w:val="20"/>
                <w:szCs w:val="20"/>
              </w:rPr>
            </w:pPr>
            <w:r>
              <w:rPr>
                <w:spacing w:val="3"/>
                <w:sz w:val="20"/>
                <w:szCs w:val="20"/>
              </w:rPr>
              <w:t>危险</w:t>
            </w:r>
            <w:r>
              <w:rPr>
                <w:sz w:val="20"/>
                <w:szCs w:val="20"/>
              </w:rPr>
              <w:t xml:space="preserve"> </w:t>
            </w:r>
            <w:r>
              <w:rPr>
                <w:spacing w:val="5"/>
                <w:sz w:val="20"/>
                <w:szCs w:val="20"/>
              </w:rPr>
              <w:t>废物</w:t>
            </w:r>
            <w:r>
              <w:rPr>
                <w:sz w:val="20"/>
                <w:szCs w:val="20"/>
              </w:rPr>
              <w:t xml:space="preserve"> </w:t>
            </w:r>
            <w:r>
              <w:rPr>
                <w:spacing w:val="5"/>
                <w:sz w:val="20"/>
                <w:szCs w:val="20"/>
              </w:rPr>
              <w:t>类别</w:t>
            </w:r>
          </w:p>
        </w:tc>
        <w:tc>
          <w:tcPr>
            <w:tcW w:w="863" w:type="dxa"/>
            <w:vAlign w:val="top"/>
          </w:tcPr>
          <w:p w14:paraId="38619022">
            <w:pPr>
              <w:spacing w:line="382" w:lineRule="auto"/>
              <w:rPr>
                <w:rFonts w:ascii="Arial"/>
                <w:sz w:val="21"/>
              </w:rPr>
            </w:pPr>
          </w:p>
          <w:p w14:paraId="1276ACB6">
            <w:pPr>
              <w:pStyle w:val="6"/>
              <w:spacing w:before="65" w:line="228" w:lineRule="auto"/>
              <w:ind w:left="220"/>
              <w:rPr>
                <w:sz w:val="20"/>
                <w:szCs w:val="20"/>
              </w:rPr>
            </w:pPr>
            <w:r>
              <w:rPr>
                <w:spacing w:val="5"/>
                <w:sz w:val="20"/>
                <w:szCs w:val="20"/>
              </w:rPr>
              <w:t>代码</w:t>
            </w:r>
          </w:p>
        </w:tc>
        <w:tc>
          <w:tcPr>
            <w:tcW w:w="739" w:type="dxa"/>
            <w:vAlign w:val="top"/>
          </w:tcPr>
          <w:p w14:paraId="67B79E42">
            <w:pPr>
              <w:pStyle w:val="6"/>
              <w:spacing w:before="180" w:line="244" w:lineRule="auto"/>
              <w:ind w:left="219" w:right="162" w:hanging="57"/>
              <w:jc w:val="right"/>
              <w:rPr>
                <w:sz w:val="20"/>
                <w:szCs w:val="20"/>
              </w:rPr>
            </w:pPr>
            <w:r>
              <w:rPr>
                <w:spacing w:val="4"/>
                <w:sz w:val="20"/>
                <w:szCs w:val="20"/>
              </w:rPr>
              <w:t>产生</w:t>
            </w:r>
            <w:r>
              <w:rPr>
                <w:sz w:val="20"/>
                <w:szCs w:val="20"/>
              </w:rPr>
              <w:t xml:space="preserve"> </w:t>
            </w:r>
            <w:r>
              <w:rPr>
                <w:spacing w:val="48"/>
                <w:sz w:val="20"/>
                <w:szCs w:val="20"/>
              </w:rPr>
              <w:t>量</w:t>
            </w:r>
            <w:r>
              <w:rPr>
                <w:sz w:val="20"/>
                <w:szCs w:val="20"/>
              </w:rPr>
              <w:t xml:space="preserve">  t/a</w:t>
            </w:r>
          </w:p>
        </w:tc>
        <w:tc>
          <w:tcPr>
            <w:tcW w:w="653" w:type="dxa"/>
            <w:vAlign w:val="top"/>
          </w:tcPr>
          <w:p w14:paraId="36F2606C">
            <w:pPr>
              <w:pStyle w:val="6"/>
              <w:spacing w:before="42" w:line="228" w:lineRule="auto"/>
              <w:ind w:left="121"/>
              <w:rPr>
                <w:sz w:val="20"/>
                <w:szCs w:val="20"/>
              </w:rPr>
            </w:pPr>
            <w:r>
              <w:rPr>
                <w:spacing w:val="4"/>
                <w:sz w:val="20"/>
                <w:szCs w:val="20"/>
              </w:rPr>
              <w:t>产生</w:t>
            </w:r>
          </w:p>
          <w:p w14:paraId="4DED190F">
            <w:pPr>
              <w:pStyle w:val="6"/>
              <w:spacing w:before="27" w:line="229" w:lineRule="auto"/>
              <w:ind w:left="124"/>
              <w:rPr>
                <w:sz w:val="20"/>
                <w:szCs w:val="20"/>
              </w:rPr>
            </w:pPr>
            <w:r>
              <w:rPr>
                <w:spacing w:val="3"/>
                <w:sz w:val="20"/>
                <w:szCs w:val="20"/>
              </w:rPr>
              <w:t>工序</w:t>
            </w:r>
          </w:p>
          <w:p w14:paraId="2995B691">
            <w:pPr>
              <w:pStyle w:val="6"/>
              <w:spacing w:before="23" w:line="228" w:lineRule="auto"/>
              <w:ind w:left="120"/>
              <w:rPr>
                <w:sz w:val="20"/>
                <w:szCs w:val="20"/>
              </w:rPr>
            </w:pPr>
            <w:r>
              <w:rPr>
                <w:spacing w:val="5"/>
                <w:sz w:val="20"/>
                <w:szCs w:val="20"/>
              </w:rPr>
              <w:t>及装</w:t>
            </w:r>
          </w:p>
          <w:p w14:paraId="4C96E364">
            <w:pPr>
              <w:pStyle w:val="6"/>
              <w:spacing w:before="26" w:line="205" w:lineRule="auto"/>
              <w:ind w:left="225"/>
              <w:rPr>
                <w:sz w:val="20"/>
                <w:szCs w:val="20"/>
              </w:rPr>
            </w:pPr>
            <w:r>
              <w:rPr>
                <w:spacing w:val="2"/>
                <w:sz w:val="20"/>
                <w:szCs w:val="20"/>
              </w:rPr>
              <w:t>置</w:t>
            </w:r>
          </w:p>
        </w:tc>
        <w:tc>
          <w:tcPr>
            <w:tcW w:w="488" w:type="dxa"/>
            <w:textDirection w:val="tbRlV"/>
            <w:vAlign w:val="top"/>
          </w:tcPr>
          <w:p w14:paraId="4D823D9C">
            <w:pPr>
              <w:pStyle w:val="6"/>
              <w:spacing w:before="136" w:line="218" w:lineRule="auto"/>
              <w:ind w:left="316"/>
              <w:rPr>
                <w:sz w:val="20"/>
                <w:szCs w:val="20"/>
              </w:rPr>
            </w:pPr>
            <w:r>
              <w:rPr>
                <w:spacing w:val="8"/>
                <w:sz w:val="20"/>
                <w:szCs w:val="20"/>
              </w:rPr>
              <w:t>形</w:t>
            </w:r>
            <w:r>
              <w:rPr>
                <w:spacing w:val="-38"/>
                <w:sz w:val="20"/>
                <w:szCs w:val="20"/>
              </w:rPr>
              <w:t xml:space="preserve"> </w:t>
            </w:r>
            <w:r>
              <w:rPr>
                <w:spacing w:val="8"/>
                <w:sz w:val="20"/>
                <w:szCs w:val="20"/>
              </w:rPr>
              <w:t>态</w:t>
            </w:r>
          </w:p>
        </w:tc>
        <w:tc>
          <w:tcPr>
            <w:tcW w:w="656" w:type="dxa"/>
            <w:vAlign w:val="top"/>
          </w:tcPr>
          <w:p w14:paraId="05A1D934">
            <w:pPr>
              <w:spacing w:line="250" w:lineRule="auto"/>
              <w:rPr>
                <w:rFonts w:ascii="Arial"/>
                <w:sz w:val="21"/>
              </w:rPr>
            </w:pPr>
          </w:p>
          <w:p w14:paraId="1B265110">
            <w:pPr>
              <w:pStyle w:val="6"/>
              <w:spacing w:before="65" w:line="239" w:lineRule="auto"/>
              <w:ind w:left="127" w:right="115"/>
              <w:rPr>
                <w:sz w:val="20"/>
                <w:szCs w:val="20"/>
              </w:rPr>
            </w:pPr>
            <w:r>
              <w:rPr>
                <w:spacing w:val="3"/>
                <w:sz w:val="20"/>
                <w:szCs w:val="20"/>
              </w:rPr>
              <w:t>主要</w:t>
            </w:r>
            <w:r>
              <w:rPr>
                <w:sz w:val="20"/>
                <w:szCs w:val="20"/>
              </w:rPr>
              <w:t xml:space="preserve"> </w:t>
            </w:r>
            <w:r>
              <w:rPr>
                <w:spacing w:val="3"/>
                <w:sz w:val="20"/>
                <w:szCs w:val="20"/>
              </w:rPr>
              <w:t>成分</w:t>
            </w:r>
          </w:p>
        </w:tc>
        <w:tc>
          <w:tcPr>
            <w:tcW w:w="656" w:type="dxa"/>
            <w:vAlign w:val="top"/>
          </w:tcPr>
          <w:p w14:paraId="58471211">
            <w:pPr>
              <w:spacing w:line="250" w:lineRule="auto"/>
              <w:rPr>
                <w:rFonts w:ascii="Arial"/>
                <w:sz w:val="21"/>
              </w:rPr>
            </w:pPr>
          </w:p>
          <w:p w14:paraId="3C5DEE04">
            <w:pPr>
              <w:pStyle w:val="6"/>
              <w:spacing w:before="65" w:line="239" w:lineRule="auto"/>
              <w:ind w:left="130" w:right="111"/>
              <w:rPr>
                <w:sz w:val="20"/>
                <w:szCs w:val="20"/>
              </w:rPr>
            </w:pPr>
            <w:r>
              <w:rPr>
                <w:spacing w:val="4"/>
                <w:sz w:val="20"/>
                <w:szCs w:val="20"/>
              </w:rPr>
              <w:t>有害</w:t>
            </w:r>
            <w:r>
              <w:rPr>
                <w:sz w:val="20"/>
                <w:szCs w:val="20"/>
              </w:rPr>
              <w:t xml:space="preserve"> </w:t>
            </w:r>
            <w:r>
              <w:rPr>
                <w:spacing w:val="3"/>
                <w:sz w:val="20"/>
                <w:szCs w:val="20"/>
              </w:rPr>
              <w:t>成分</w:t>
            </w:r>
          </w:p>
        </w:tc>
        <w:tc>
          <w:tcPr>
            <w:tcW w:w="516" w:type="dxa"/>
            <w:textDirection w:val="tbRlV"/>
            <w:vAlign w:val="top"/>
          </w:tcPr>
          <w:p w14:paraId="0B659DB9">
            <w:pPr>
              <w:pStyle w:val="6"/>
              <w:spacing w:before="145" w:line="216" w:lineRule="auto"/>
              <w:ind w:left="42"/>
              <w:rPr>
                <w:sz w:val="20"/>
                <w:szCs w:val="20"/>
              </w:rPr>
            </w:pPr>
            <w:r>
              <w:rPr>
                <w:spacing w:val="8"/>
                <w:sz w:val="20"/>
                <w:szCs w:val="20"/>
              </w:rPr>
              <w:t>产</w:t>
            </w:r>
            <w:r>
              <w:rPr>
                <w:spacing w:val="-34"/>
                <w:sz w:val="20"/>
                <w:szCs w:val="20"/>
              </w:rPr>
              <w:t xml:space="preserve"> </w:t>
            </w:r>
            <w:r>
              <w:rPr>
                <w:spacing w:val="8"/>
                <w:sz w:val="20"/>
                <w:szCs w:val="20"/>
              </w:rPr>
              <w:t>废</w:t>
            </w:r>
            <w:r>
              <w:rPr>
                <w:spacing w:val="-37"/>
                <w:sz w:val="20"/>
                <w:szCs w:val="20"/>
              </w:rPr>
              <w:t xml:space="preserve"> </w:t>
            </w:r>
            <w:r>
              <w:rPr>
                <w:spacing w:val="8"/>
                <w:sz w:val="20"/>
                <w:szCs w:val="20"/>
              </w:rPr>
              <w:t>周</w:t>
            </w:r>
            <w:r>
              <w:rPr>
                <w:spacing w:val="-35"/>
                <w:sz w:val="20"/>
                <w:szCs w:val="20"/>
              </w:rPr>
              <w:t xml:space="preserve"> </w:t>
            </w:r>
            <w:r>
              <w:rPr>
                <w:spacing w:val="8"/>
                <w:sz w:val="20"/>
                <w:szCs w:val="20"/>
              </w:rPr>
              <w:t>期</w:t>
            </w:r>
          </w:p>
        </w:tc>
        <w:tc>
          <w:tcPr>
            <w:tcW w:w="551" w:type="dxa"/>
            <w:textDirection w:val="tbRlV"/>
            <w:vAlign w:val="top"/>
          </w:tcPr>
          <w:p w14:paraId="68F1914D">
            <w:pPr>
              <w:pStyle w:val="6"/>
              <w:spacing w:before="160" w:line="216" w:lineRule="auto"/>
              <w:ind w:left="42"/>
              <w:rPr>
                <w:sz w:val="20"/>
                <w:szCs w:val="20"/>
              </w:rPr>
            </w:pPr>
            <w:r>
              <w:rPr>
                <w:spacing w:val="8"/>
                <w:sz w:val="20"/>
                <w:szCs w:val="20"/>
              </w:rPr>
              <w:t>危</w:t>
            </w:r>
            <w:r>
              <w:rPr>
                <w:spacing w:val="-34"/>
                <w:sz w:val="20"/>
                <w:szCs w:val="20"/>
              </w:rPr>
              <w:t xml:space="preserve"> </w:t>
            </w:r>
            <w:r>
              <w:rPr>
                <w:spacing w:val="8"/>
                <w:sz w:val="20"/>
                <w:szCs w:val="20"/>
              </w:rPr>
              <w:t>险</w:t>
            </w:r>
            <w:r>
              <w:rPr>
                <w:spacing w:val="-37"/>
                <w:sz w:val="20"/>
                <w:szCs w:val="20"/>
              </w:rPr>
              <w:t xml:space="preserve"> </w:t>
            </w:r>
            <w:r>
              <w:rPr>
                <w:spacing w:val="8"/>
                <w:sz w:val="20"/>
                <w:szCs w:val="20"/>
              </w:rPr>
              <w:t>特</w:t>
            </w:r>
            <w:r>
              <w:rPr>
                <w:spacing w:val="-35"/>
                <w:sz w:val="20"/>
                <w:szCs w:val="20"/>
              </w:rPr>
              <w:t xml:space="preserve"> </w:t>
            </w:r>
            <w:r>
              <w:rPr>
                <w:spacing w:val="8"/>
                <w:sz w:val="20"/>
                <w:szCs w:val="20"/>
              </w:rPr>
              <w:t>性</w:t>
            </w:r>
          </w:p>
        </w:tc>
        <w:tc>
          <w:tcPr>
            <w:tcW w:w="1412" w:type="dxa"/>
            <w:tcBorders>
              <w:right w:val="single" w:color="000000" w:sz="10" w:space="0"/>
            </w:tcBorders>
            <w:vAlign w:val="top"/>
          </w:tcPr>
          <w:p w14:paraId="30AF12ED">
            <w:pPr>
              <w:spacing w:line="250" w:lineRule="auto"/>
              <w:rPr>
                <w:rFonts w:ascii="Arial"/>
                <w:sz w:val="21"/>
              </w:rPr>
            </w:pPr>
          </w:p>
          <w:p w14:paraId="4A868E72">
            <w:pPr>
              <w:pStyle w:val="6"/>
              <w:spacing w:before="65"/>
              <w:ind w:left="558" w:right="216" w:hanging="417"/>
              <w:rPr>
                <w:sz w:val="20"/>
                <w:szCs w:val="20"/>
              </w:rPr>
            </w:pPr>
            <w:r>
              <w:rPr>
                <w:spacing w:val="7"/>
                <w:sz w:val="20"/>
                <w:szCs w:val="20"/>
              </w:rPr>
              <w:t>污染防治措</w:t>
            </w:r>
            <w:r>
              <w:rPr>
                <w:spacing w:val="3"/>
                <w:sz w:val="20"/>
                <w:szCs w:val="20"/>
              </w:rPr>
              <w:t xml:space="preserve"> </w:t>
            </w:r>
            <w:r>
              <w:rPr>
                <w:spacing w:val="1"/>
                <w:sz w:val="20"/>
                <w:szCs w:val="20"/>
              </w:rPr>
              <w:t>施</w:t>
            </w:r>
          </w:p>
        </w:tc>
      </w:tr>
      <w:tr w14:paraId="2EBDF4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04" w:hRule="atLeast"/>
        </w:trPr>
        <w:tc>
          <w:tcPr>
            <w:tcW w:w="477" w:type="dxa"/>
            <w:vMerge w:val="continue"/>
            <w:tcBorders>
              <w:top w:val="nil"/>
              <w:left w:val="single" w:color="000000" w:sz="10" w:space="0"/>
              <w:bottom w:val="nil"/>
            </w:tcBorders>
            <w:vAlign w:val="top"/>
          </w:tcPr>
          <w:p w14:paraId="39878DF0">
            <w:pPr>
              <w:rPr>
                <w:rFonts w:ascii="Arial"/>
                <w:sz w:val="21"/>
              </w:rPr>
            </w:pPr>
          </w:p>
        </w:tc>
        <w:tc>
          <w:tcPr>
            <w:tcW w:w="538" w:type="dxa"/>
            <w:vMerge w:val="restart"/>
            <w:tcBorders>
              <w:bottom w:val="nil"/>
            </w:tcBorders>
            <w:textDirection w:val="tbRlV"/>
            <w:vAlign w:val="top"/>
          </w:tcPr>
          <w:p w14:paraId="2B070922">
            <w:pPr>
              <w:pStyle w:val="6"/>
              <w:spacing w:before="116" w:line="216" w:lineRule="auto"/>
              <w:ind w:left="2693"/>
              <w:rPr>
                <w:sz w:val="20"/>
                <w:szCs w:val="20"/>
              </w:rPr>
            </w:pPr>
            <w:r>
              <w:rPr>
                <w:spacing w:val="8"/>
                <w:sz w:val="20"/>
                <w:szCs w:val="20"/>
              </w:rPr>
              <w:t>拆</w:t>
            </w:r>
            <w:r>
              <w:rPr>
                <w:spacing w:val="-34"/>
                <w:sz w:val="20"/>
                <w:szCs w:val="20"/>
              </w:rPr>
              <w:t xml:space="preserve"> </w:t>
            </w:r>
            <w:r>
              <w:rPr>
                <w:spacing w:val="8"/>
                <w:sz w:val="20"/>
                <w:szCs w:val="20"/>
              </w:rPr>
              <w:t>解</w:t>
            </w:r>
            <w:r>
              <w:rPr>
                <w:spacing w:val="-37"/>
                <w:sz w:val="20"/>
                <w:szCs w:val="20"/>
              </w:rPr>
              <w:t xml:space="preserve"> </w:t>
            </w:r>
            <w:r>
              <w:rPr>
                <w:spacing w:val="8"/>
                <w:sz w:val="20"/>
                <w:szCs w:val="20"/>
              </w:rPr>
              <w:t>车</w:t>
            </w:r>
            <w:r>
              <w:rPr>
                <w:spacing w:val="-35"/>
                <w:sz w:val="20"/>
                <w:szCs w:val="20"/>
              </w:rPr>
              <w:t xml:space="preserve"> </w:t>
            </w:r>
            <w:r>
              <w:rPr>
                <w:spacing w:val="8"/>
                <w:sz w:val="20"/>
                <w:szCs w:val="20"/>
              </w:rPr>
              <w:t>间</w:t>
            </w:r>
          </w:p>
        </w:tc>
        <w:tc>
          <w:tcPr>
            <w:tcW w:w="711" w:type="dxa"/>
            <w:vAlign w:val="top"/>
          </w:tcPr>
          <w:p w14:paraId="01A2A11C">
            <w:pPr>
              <w:spacing w:line="352" w:lineRule="auto"/>
              <w:rPr>
                <w:rFonts w:ascii="Arial"/>
                <w:sz w:val="21"/>
              </w:rPr>
            </w:pPr>
          </w:p>
          <w:p w14:paraId="23C58BB7">
            <w:pPr>
              <w:spacing w:line="352" w:lineRule="auto"/>
              <w:rPr>
                <w:rFonts w:ascii="Arial"/>
                <w:sz w:val="21"/>
              </w:rPr>
            </w:pPr>
          </w:p>
          <w:p w14:paraId="1B4EC676">
            <w:pPr>
              <w:pStyle w:val="6"/>
              <w:spacing w:before="65" w:line="239" w:lineRule="auto"/>
              <w:ind w:left="248" w:right="154" w:hanging="106"/>
              <w:rPr>
                <w:sz w:val="20"/>
                <w:szCs w:val="20"/>
              </w:rPr>
            </w:pPr>
            <w:r>
              <w:rPr>
                <w:spacing w:val="4"/>
                <w:sz w:val="20"/>
                <w:szCs w:val="20"/>
              </w:rPr>
              <w:t>燃料</w:t>
            </w:r>
            <w:r>
              <w:rPr>
                <w:sz w:val="20"/>
                <w:szCs w:val="20"/>
              </w:rPr>
              <w:t xml:space="preserve"> 箱</w:t>
            </w:r>
          </w:p>
        </w:tc>
        <w:tc>
          <w:tcPr>
            <w:tcW w:w="642" w:type="dxa"/>
            <w:vAlign w:val="top"/>
          </w:tcPr>
          <w:p w14:paraId="0A1FE190">
            <w:pPr>
              <w:spacing w:line="290" w:lineRule="auto"/>
              <w:rPr>
                <w:rFonts w:ascii="Arial"/>
                <w:sz w:val="21"/>
              </w:rPr>
            </w:pPr>
          </w:p>
          <w:p w14:paraId="1705F26E">
            <w:pPr>
              <w:spacing w:line="291" w:lineRule="auto"/>
              <w:rPr>
                <w:rFonts w:ascii="Arial"/>
                <w:sz w:val="21"/>
              </w:rPr>
            </w:pPr>
          </w:p>
          <w:p w14:paraId="4BC2F848">
            <w:pPr>
              <w:spacing w:line="291" w:lineRule="auto"/>
              <w:rPr>
                <w:rFonts w:ascii="Arial"/>
                <w:sz w:val="21"/>
              </w:rPr>
            </w:pPr>
          </w:p>
          <w:p w14:paraId="1EC19F28">
            <w:pPr>
              <w:pStyle w:val="6"/>
              <w:spacing w:before="65" w:line="189" w:lineRule="auto"/>
              <w:ind w:left="104"/>
              <w:rPr>
                <w:sz w:val="20"/>
                <w:szCs w:val="20"/>
              </w:rPr>
            </w:pPr>
            <w:r>
              <w:rPr>
                <w:sz w:val="20"/>
                <w:szCs w:val="20"/>
              </w:rPr>
              <w:t>HW</w:t>
            </w:r>
            <w:r>
              <w:rPr>
                <w:spacing w:val="8"/>
                <w:sz w:val="20"/>
                <w:szCs w:val="20"/>
              </w:rPr>
              <w:t>08</w:t>
            </w:r>
          </w:p>
        </w:tc>
        <w:tc>
          <w:tcPr>
            <w:tcW w:w="863" w:type="dxa"/>
            <w:vAlign w:val="top"/>
          </w:tcPr>
          <w:p w14:paraId="681798C6">
            <w:pPr>
              <w:spacing w:line="245" w:lineRule="auto"/>
              <w:rPr>
                <w:rFonts w:ascii="Arial"/>
                <w:sz w:val="21"/>
              </w:rPr>
            </w:pPr>
          </w:p>
          <w:p w14:paraId="23A44E2A">
            <w:pPr>
              <w:spacing w:line="245" w:lineRule="auto"/>
              <w:rPr>
                <w:rFonts w:ascii="Arial"/>
                <w:sz w:val="21"/>
              </w:rPr>
            </w:pPr>
          </w:p>
          <w:p w14:paraId="522E2911">
            <w:pPr>
              <w:spacing w:line="246" w:lineRule="auto"/>
              <w:rPr>
                <w:rFonts w:ascii="Arial"/>
                <w:sz w:val="21"/>
              </w:rPr>
            </w:pPr>
          </w:p>
          <w:p w14:paraId="3FDE21FD">
            <w:pPr>
              <w:pStyle w:val="6"/>
              <w:spacing w:before="65" w:line="189" w:lineRule="auto"/>
              <w:ind w:left="118"/>
              <w:rPr>
                <w:sz w:val="20"/>
                <w:szCs w:val="20"/>
              </w:rPr>
            </w:pPr>
            <w:r>
              <w:rPr>
                <w:spacing w:val="3"/>
                <w:sz w:val="20"/>
                <w:szCs w:val="20"/>
              </w:rPr>
              <w:t>900-24</w:t>
            </w:r>
          </w:p>
          <w:p w14:paraId="49207F5D">
            <w:pPr>
              <w:pStyle w:val="6"/>
              <w:spacing w:before="66" w:line="189" w:lineRule="auto"/>
              <w:ind w:left="222"/>
              <w:rPr>
                <w:sz w:val="20"/>
                <w:szCs w:val="20"/>
              </w:rPr>
            </w:pPr>
            <w:r>
              <w:rPr>
                <w:spacing w:val="3"/>
                <w:sz w:val="20"/>
                <w:szCs w:val="20"/>
              </w:rPr>
              <w:t>9-08</w:t>
            </w:r>
          </w:p>
        </w:tc>
        <w:tc>
          <w:tcPr>
            <w:tcW w:w="739" w:type="dxa"/>
            <w:vAlign w:val="top"/>
          </w:tcPr>
          <w:p w14:paraId="4C871BCD">
            <w:pPr>
              <w:spacing w:line="290" w:lineRule="auto"/>
              <w:rPr>
                <w:rFonts w:ascii="Arial"/>
                <w:sz w:val="21"/>
              </w:rPr>
            </w:pPr>
          </w:p>
          <w:p w14:paraId="0D105EB1">
            <w:pPr>
              <w:spacing w:line="290" w:lineRule="auto"/>
              <w:rPr>
                <w:rFonts w:ascii="Arial"/>
                <w:sz w:val="21"/>
              </w:rPr>
            </w:pPr>
          </w:p>
          <w:p w14:paraId="108DD3EB">
            <w:pPr>
              <w:spacing w:line="291" w:lineRule="auto"/>
              <w:rPr>
                <w:rFonts w:ascii="Arial"/>
                <w:sz w:val="21"/>
              </w:rPr>
            </w:pPr>
          </w:p>
          <w:p w14:paraId="050D2FCF">
            <w:pPr>
              <w:pStyle w:val="6"/>
              <w:spacing w:before="65" w:line="190" w:lineRule="auto"/>
              <w:ind w:left="283"/>
              <w:rPr>
                <w:sz w:val="20"/>
                <w:szCs w:val="20"/>
              </w:rPr>
            </w:pPr>
            <w:r>
              <w:rPr>
                <w:spacing w:val="-7"/>
                <w:sz w:val="20"/>
                <w:szCs w:val="20"/>
              </w:rPr>
              <w:t>16</w:t>
            </w:r>
          </w:p>
        </w:tc>
        <w:tc>
          <w:tcPr>
            <w:tcW w:w="653" w:type="dxa"/>
            <w:vMerge w:val="restart"/>
            <w:tcBorders>
              <w:bottom w:val="nil"/>
            </w:tcBorders>
            <w:vAlign w:val="top"/>
          </w:tcPr>
          <w:p w14:paraId="34EF2510">
            <w:pPr>
              <w:rPr>
                <w:rFonts w:ascii="Arial"/>
                <w:sz w:val="21"/>
              </w:rPr>
            </w:pPr>
          </w:p>
          <w:p w14:paraId="33045AB4">
            <w:pPr>
              <w:rPr>
                <w:rFonts w:ascii="Arial"/>
                <w:sz w:val="21"/>
              </w:rPr>
            </w:pPr>
          </w:p>
          <w:p w14:paraId="5377A2AF">
            <w:pPr>
              <w:rPr>
                <w:rFonts w:ascii="Arial"/>
                <w:sz w:val="21"/>
              </w:rPr>
            </w:pPr>
          </w:p>
          <w:p w14:paraId="401F58B6">
            <w:pPr>
              <w:rPr>
                <w:rFonts w:ascii="Arial"/>
                <w:sz w:val="21"/>
              </w:rPr>
            </w:pPr>
          </w:p>
          <w:p w14:paraId="5D3BD9CA">
            <w:pPr>
              <w:rPr>
                <w:rFonts w:ascii="Arial"/>
                <w:sz w:val="21"/>
              </w:rPr>
            </w:pPr>
          </w:p>
          <w:p w14:paraId="73691C7B">
            <w:pPr>
              <w:rPr>
                <w:rFonts w:ascii="Arial"/>
                <w:sz w:val="21"/>
              </w:rPr>
            </w:pPr>
          </w:p>
          <w:p w14:paraId="3EF04E0D">
            <w:pPr>
              <w:rPr>
                <w:rFonts w:ascii="Arial"/>
                <w:sz w:val="21"/>
              </w:rPr>
            </w:pPr>
          </w:p>
          <w:p w14:paraId="47C62302">
            <w:pPr>
              <w:rPr>
                <w:rFonts w:ascii="Arial"/>
                <w:sz w:val="21"/>
              </w:rPr>
            </w:pPr>
          </w:p>
          <w:p w14:paraId="2E6D19D0">
            <w:pPr>
              <w:rPr>
                <w:rFonts w:ascii="Arial"/>
                <w:sz w:val="21"/>
              </w:rPr>
            </w:pPr>
          </w:p>
          <w:p w14:paraId="03B66036">
            <w:pPr>
              <w:spacing w:line="241" w:lineRule="auto"/>
              <w:rPr>
                <w:rFonts w:ascii="Arial"/>
                <w:sz w:val="21"/>
              </w:rPr>
            </w:pPr>
          </w:p>
          <w:p w14:paraId="31CACECB">
            <w:pPr>
              <w:spacing w:line="241" w:lineRule="auto"/>
              <w:rPr>
                <w:rFonts w:ascii="Arial"/>
                <w:sz w:val="21"/>
              </w:rPr>
            </w:pPr>
          </w:p>
          <w:p w14:paraId="255A9A59">
            <w:pPr>
              <w:spacing w:line="241" w:lineRule="auto"/>
              <w:rPr>
                <w:rFonts w:ascii="Arial"/>
                <w:sz w:val="21"/>
              </w:rPr>
            </w:pPr>
          </w:p>
          <w:p w14:paraId="686C4B03">
            <w:pPr>
              <w:pStyle w:val="6"/>
              <w:spacing w:before="65"/>
              <w:ind w:left="123" w:right="116" w:hanging="2"/>
              <w:rPr>
                <w:sz w:val="20"/>
                <w:szCs w:val="20"/>
              </w:rPr>
            </w:pPr>
            <w:r>
              <w:rPr>
                <w:spacing w:val="4"/>
                <w:sz w:val="20"/>
                <w:szCs w:val="20"/>
              </w:rPr>
              <w:t>拆解</w:t>
            </w:r>
            <w:r>
              <w:rPr>
                <w:sz w:val="20"/>
                <w:szCs w:val="20"/>
              </w:rPr>
              <w:t xml:space="preserve"> </w:t>
            </w:r>
            <w:r>
              <w:rPr>
                <w:spacing w:val="3"/>
                <w:sz w:val="20"/>
                <w:szCs w:val="20"/>
              </w:rPr>
              <w:t>工序</w:t>
            </w:r>
          </w:p>
        </w:tc>
        <w:tc>
          <w:tcPr>
            <w:tcW w:w="488" w:type="dxa"/>
            <w:textDirection w:val="tbRlV"/>
            <w:vAlign w:val="top"/>
          </w:tcPr>
          <w:p w14:paraId="400A7C94">
            <w:pPr>
              <w:pStyle w:val="6"/>
              <w:spacing w:before="136" w:line="216" w:lineRule="auto"/>
              <w:ind w:left="773"/>
              <w:rPr>
                <w:sz w:val="20"/>
                <w:szCs w:val="20"/>
              </w:rPr>
            </w:pPr>
            <w:r>
              <w:rPr>
                <w:spacing w:val="8"/>
                <w:sz w:val="20"/>
                <w:szCs w:val="20"/>
              </w:rPr>
              <w:t>固</w:t>
            </w:r>
            <w:r>
              <w:rPr>
                <w:spacing w:val="-38"/>
                <w:sz w:val="20"/>
                <w:szCs w:val="20"/>
              </w:rPr>
              <w:t xml:space="preserve"> </w:t>
            </w:r>
            <w:r>
              <w:rPr>
                <w:spacing w:val="8"/>
                <w:sz w:val="20"/>
                <w:szCs w:val="20"/>
              </w:rPr>
              <w:t>态</w:t>
            </w:r>
          </w:p>
        </w:tc>
        <w:tc>
          <w:tcPr>
            <w:tcW w:w="656" w:type="dxa"/>
            <w:vAlign w:val="top"/>
          </w:tcPr>
          <w:p w14:paraId="3EFA288E">
            <w:pPr>
              <w:spacing w:line="284" w:lineRule="auto"/>
              <w:rPr>
                <w:rFonts w:ascii="Arial"/>
                <w:sz w:val="21"/>
              </w:rPr>
            </w:pPr>
          </w:p>
          <w:p w14:paraId="2C8845C9">
            <w:pPr>
              <w:spacing w:line="285" w:lineRule="auto"/>
              <w:rPr>
                <w:rFonts w:ascii="Arial"/>
                <w:sz w:val="21"/>
              </w:rPr>
            </w:pPr>
          </w:p>
          <w:p w14:paraId="0E6F9759">
            <w:pPr>
              <w:pStyle w:val="6"/>
              <w:spacing w:before="65" w:line="243" w:lineRule="auto"/>
              <w:ind w:left="124" w:right="115" w:firstLine="106"/>
              <w:rPr>
                <w:sz w:val="20"/>
                <w:szCs w:val="20"/>
              </w:rPr>
            </w:pPr>
            <w:r>
              <w:rPr>
                <w:sz w:val="20"/>
                <w:szCs w:val="20"/>
              </w:rPr>
              <w:t xml:space="preserve">柴  </w:t>
            </w:r>
            <w:r>
              <w:rPr>
                <w:spacing w:val="5"/>
                <w:sz w:val="20"/>
                <w:szCs w:val="20"/>
              </w:rPr>
              <w:t>油、</w:t>
            </w:r>
            <w:r>
              <w:rPr>
                <w:sz w:val="20"/>
                <w:szCs w:val="20"/>
              </w:rPr>
              <w:t xml:space="preserve"> </w:t>
            </w:r>
            <w:r>
              <w:rPr>
                <w:spacing w:val="5"/>
                <w:sz w:val="20"/>
                <w:szCs w:val="20"/>
              </w:rPr>
              <w:t>机油</w:t>
            </w:r>
          </w:p>
        </w:tc>
        <w:tc>
          <w:tcPr>
            <w:tcW w:w="656" w:type="dxa"/>
            <w:vAlign w:val="top"/>
          </w:tcPr>
          <w:p w14:paraId="4536EE47">
            <w:pPr>
              <w:spacing w:line="284" w:lineRule="auto"/>
              <w:rPr>
                <w:rFonts w:ascii="Arial"/>
                <w:sz w:val="21"/>
              </w:rPr>
            </w:pPr>
          </w:p>
          <w:p w14:paraId="44A3E835">
            <w:pPr>
              <w:spacing w:line="285" w:lineRule="auto"/>
              <w:rPr>
                <w:rFonts w:ascii="Arial"/>
                <w:sz w:val="21"/>
              </w:rPr>
            </w:pPr>
          </w:p>
          <w:p w14:paraId="6381BD3B">
            <w:pPr>
              <w:pStyle w:val="6"/>
              <w:spacing w:before="65" w:line="243" w:lineRule="auto"/>
              <w:ind w:left="128" w:right="111" w:firstLine="104"/>
              <w:rPr>
                <w:sz w:val="20"/>
                <w:szCs w:val="20"/>
              </w:rPr>
            </w:pPr>
            <w:r>
              <w:rPr>
                <w:sz w:val="20"/>
                <w:szCs w:val="20"/>
              </w:rPr>
              <w:t xml:space="preserve">柴  </w:t>
            </w:r>
            <w:r>
              <w:rPr>
                <w:spacing w:val="5"/>
                <w:sz w:val="20"/>
                <w:szCs w:val="20"/>
              </w:rPr>
              <w:t>油、</w:t>
            </w:r>
            <w:r>
              <w:rPr>
                <w:sz w:val="20"/>
                <w:szCs w:val="20"/>
              </w:rPr>
              <w:t xml:space="preserve"> </w:t>
            </w:r>
            <w:r>
              <w:rPr>
                <w:spacing w:val="5"/>
                <w:sz w:val="20"/>
                <w:szCs w:val="20"/>
              </w:rPr>
              <w:t>机油</w:t>
            </w:r>
          </w:p>
        </w:tc>
        <w:tc>
          <w:tcPr>
            <w:tcW w:w="516" w:type="dxa"/>
            <w:textDirection w:val="tbRlV"/>
            <w:vAlign w:val="top"/>
          </w:tcPr>
          <w:p w14:paraId="44C0BCA0">
            <w:pPr>
              <w:pStyle w:val="6"/>
              <w:spacing w:before="144" w:line="216" w:lineRule="auto"/>
              <w:ind w:left="773"/>
              <w:rPr>
                <w:sz w:val="20"/>
                <w:szCs w:val="20"/>
              </w:rPr>
            </w:pPr>
            <w:r>
              <w:rPr>
                <w:spacing w:val="8"/>
                <w:sz w:val="20"/>
                <w:szCs w:val="20"/>
              </w:rPr>
              <w:t>连</w:t>
            </w:r>
            <w:r>
              <w:rPr>
                <w:spacing w:val="-38"/>
                <w:sz w:val="20"/>
                <w:szCs w:val="20"/>
              </w:rPr>
              <w:t xml:space="preserve"> </w:t>
            </w:r>
            <w:r>
              <w:rPr>
                <w:spacing w:val="8"/>
                <w:sz w:val="20"/>
                <w:szCs w:val="20"/>
              </w:rPr>
              <w:t>续</w:t>
            </w:r>
          </w:p>
        </w:tc>
        <w:tc>
          <w:tcPr>
            <w:tcW w:w="551" w:type="dxa"/>
            <w:vAlign w:val="top"/>
          </w:tcPr>
          <w:p w14:paraId="56BA85AE">
            <w:pPr>
              <w:spacing w:line="280" w:lineRule="auto"/>
              <w:rPr>
                <w:rFonts w:ascii="Arial"/>
                <w:sz w:val="21"/>
              </w:rPr>
            </w:pPr>
          </w:p>
          <w:p w14:paraId="49926A79">
            <w:pPr>
              <w:spacing w:line="280" w:lineRule="auto"/>
              <w:rPr>
                <w:rFonts w:ascii="Arial"/>
                <w:sz w:val="21"/>
              </w:rPr>
            </w:pPr>
          </w:p>
          <w:p w14:paraId="7029D634">
            <w:pPr>
              <w:spacing w:line="280" w:lineRule="auto"/>
              <w:rPr>
                <w:rFonts w:ascii="Arial"/>
                <w:sz w:val="21"/>
              </w:rPr>
            </w:pPr>
          </w:p>
          <w:p w14:paraId="5EB7F7EA">
            <w:pPr>
              <w:pStyle w:val="6"/>
              <w:spacing w:before="65" w:line="263" w:lineRule="exact"/>
              <w:ind w:left="119"/>
              <w:rPr>
                <w:sz w:val="20"/>
                <w:szCs w:val="20"/>
              </w:rPr>
            </w:pPr>
            <w:r>
              <w:rPr>
                <w:spacing w:val="-19"/>
                <w:position w:val="1"/>
                <w:sz w:val="20"/>
                <w:szCs w:val="20"/>
              </w:rPr>
              <w:t>T、I</w:t>
            </w:r>
          </w:p>
        </w:tc>
        <w:tc>
          <w:tcPr>
            <w:tcW w:w="1412" w:type="dxa"/>
            <w:tcBorders>
              <w:right w:val="single" w:color="000000" w:sz="10" w:space="0"/>
            </w:tcBorders>
            <w:vAlign w:val="top"/>
          </w:tcPr>
          <w:p w14:paraId="048044BC">
            <w:pPr>
              <w:spacing w:line="299" w:lineRule="auto"/>
              <w:rPr>
                <w:rFonts w:ascii="Arial"/>
                <w:sz w:val="21"/>
              </w:rPr>
            </w:pPr>
          </w:p>
          <w:p w14:paraId="4259B488">
            <w:pPr>
              <w:pStyle w:val="6"/>
              <w:spacing w:before="65" w:line="247" w:lineRule="auto"/>
              <w:ind w:left="122" w:right="199" w:firstLine="6"/>
              <w:jc w:val="both"/>
              <w:rPr>
                <w:sz w:val="20"/>
                <w:szCs w:val="20"/>
              </w:rPr>
            </w:pPr>
            <w:r>
              <w:rPr>
                <w:spacing w:val="1"/>
                <w:sz w:val="20"/>
                <w:szCs w:val="20"/>
              </w:rPr>
              <w:t>暂存于</w:t>
            </w:r>
            <w:r>
              <w:rPr>
                <w:spacing w:val="-40"/>
                <w:sz w:val="20"/>
                <w:szCs w:val="20"/>
              </w:rPr>
              <w:t xml:space="preserve"> </w:t>
            </w:r>
            <w:r>
              <w:rPr>
                <w:spacing w:val="1"/>
                <w:sz w:val="20"/>
                <w:szCs w:val="20"/>
              </w:rPr>
              <w:t>1#其</w:t>
            </w:r>
            <w:r>
              <w:rPr>
                <w:sz w:val="20"/>
                <w:szCs w:val="20"/>
              </w:rPr>
              <w:t xml:space="preserve"> </w:t>
            </w:r>
            <w:r>
              <w:rPr>
                <w:spacing w:val="14"/>
                <w:sz w:val="20"/>
                <w:szCs w:val="20"/>
              </w:rPr>
              <w:t>他危险废物</w:t>
            </w:r>
            <w:r>
              <w:rPr>
                <w:spacing w:val="3"/>
                <w:sz w:val="20"/>
                <w:szCs w:val="20"/>
              </w:rPr>
              <w:t xml:space="preserve"> </w:t>
            </w:r>
            <w:r>
              <w:rPr>
                <w:spacing w:val="5"/>
                <w:sz w:val="20"/>
                <w:szCs w:val="20"/>
              </w:rPr>
              <w:t>暂存区，</w:t>
            </w:r>
            <w:r>
              <w:rPr>
                <w:spacing w:val="-51"/>
                <w:sz w:val="20"/>
                <w:szCs w:val="20"/>
              </w:rPr>
              <w:t xml:space="preserve"> </w:t>
            </w:r>
            <w:r>
              <w:rPr>
                <w:spacing w:val="5"/>
                <w:sz w:val="20"/>
                <w:szCs w:val="20"/>
              </w:rPr>
              <w:t>由</w:t>
            </w:r>
            <w:r>
              <w:rPr>
                <w:sz w:val="20"/>
                <w:szCs w:val="20"/>
              </w:rPr>
              <w:t xml:space="preserve"> </w:t>
            </w:r>
            <w:r>
              <w:rPr>
                <w:spacing w:val="14"/>
                <w:sz w:val="20"/>
                <w:szCs w:val="20"/>
              </w:rPr>
              <w:t>有资质单位</w:t>
            </w:r>
            <w:r>
              <w:rPr>
                <w:spacing w:val="3"/>
                <w:sz w:val="20"/>
                <w:szCs w:val="20"/>
              </w:rPr>
              <w:t xml:space="preserve"> </w:t>
            </w:r>
            <w:r>
              <w:rPr>
                <w:spacing w:val="4"/>
                <w:sz w:val="20"/>
                <w:szCs w:val="20"/>
              </w:rPr>
              <w:t>处理</w:t>
            </w:r>
          </w:p>
        </w:tc>
      </w:tr>
      <w:tr w14:paraId="243D4E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08" w:hRule="atLeast"/>
        </w:trPr>
        <w:tc>
          <w:tcPr>
            <w:tcW w:w="477" w:type="dxa"/>
            <w:vMerge w:val="continue"/>
            <w:tcBorders>
              <w:top w:val="nil"/>
              <w:left w:val="single" w:color="000000" w:sz="10" w:space="0"/>
              <w:bottom w:val="nil"/>
            </w:tcBorders>
            <w:vAlign w:val="top"/>
          </w:tcPr>
          <w:p w14:paraId="5B956406">
            <w:pPr>
              <w:rPr>
                <w:rFonts w:ascii="Arial"/>
                <w:sz w:val="21"/>
              </w:rPr>
            </w:pPr>
          </w:p>
        </w:tc>
        <w:tc>
          <w:tcPr>
            <w:tcW w:w="538" w:type="dxa"/>
            <w:vMerge w:val="continue"/>
            <w:tcBorders>
              <w:top w:val="nil"/>
              <w:bottom w:val="nil"/>
            </w:tcBorders>
            <w:textDirection w:val="tbRlV"/>
            <w:vAlign w:val="top"/>
          </w:tcPr>
          <w:p w14:paraId="6AB41DBC">
            <w:pPr>
              <w:rPr>
                <w:rFonts w:ascii="Arial"/>
                <w:sz w:val="21"/>
              </w:rPr>
            </w:pPr>
          </w:p>
        </w:tc>
        <w:tc>
          <w:tcPr>
            <w:tcW w:w="711" w:type="dxa"/>
            <w:vAlign w:val="top"/>
          </w:tcPr>
          <w:p w14:paraId="25FEC260">
            <w:pPr>
              <w:spacing w:line="329" w:lineRule="auto"/>
              <w:rPr>
                <w:rFonts w:ascii="Arial"/>
                <w:sz w:val="21"/>
              </w:rPr>
            </w:pPr>
          </w:p>
          <w:p w14:paraId="2458F7F7">
            <w:pPr>
              <w:spacing w:line="330" w:lineRule="auto"/>
              <w:rPr>
                <w:rFonts w:ascii="Arial"/>
                <w:sz w:val="21"/>
              </w:rPr>
            </w:pPr>
          </w:p>
          <w:p w14:paraId="0C348ABA">
            <w:pPr>
              <w:pStyle w:val="6"/>
              <w:spacing w:before="65"/>
              <w:ind w:left="106" w:right="190" w:hanging="2"/>
              <w:rPr>
                <w:sz w:val="20"/>
                <w:szCs w:val="20"/>
              </w:rPr>
            </w:pPr>
            <w:r>
              <w:rPr>
                <w:spacing w:val="5"/>
                <w:sz w:val="20"/>
                <w:szCs w:val="20"/>
              </w:rPr>
              <w:t>废油</w:t>
            </w:r>
            <w:r>
              <w:rPr>
                <w:sz w:val="20"/>
                <w:szCs w:val="20"/>
              </w:rPr>
              <w:t xml:space="preserve"> 液</w:t>
            </w:r>
          </w:p>
        </w:tc>
        <w:tc>
          <w:tcPr>
            <w:tcW w:w="642" w:type="dxa"/>
            <w:vAlign w:val="top"/>
          </w:tcPr>
          <w:p w14:paraId="39E8C904">
            <w:pPr>
              <w:spacing w:line="275" w:lineRule="auto"/>
              <w:rPr>
                <w:rFonts w:ascii="Arial"/>
                <w:sz w:val="21"/>
              </w:rPr>
            </w:pPr>
          </w:p>
          <w:p w14:paraId="09413DC8">
            <w:pPr>
              <w:spacing w:line="276" w:lineRule="auto"/>
              <w:rPr>
                <w:rFonts w:ascii="Arial"/>
                <w:sz w:val="21"/>
              </w:rPr>
            </w:pPr>
          </w:p>
          <w:p w14:paraId="08879264">
            <w:pPr>
              <w:spacing w:line="276" w:lineRule="auto"/>
              <w:rPr>
                <w:rFonts w:ascii="Arial"/>
                <w:sz w:val="21"/>
              </w:rPr>
            </w:pPr>
          </w:p>
          <w:p w14:paraId="786CA05F">
            <w:pPr>
              <w:pStyle w:val="6"/>
              <w:spacing w:before="65" w:line="189" w:lineRule="auto"/>
              <w:ind w:left="102"/>
              <w:rPr>
                <w:sz w:val="20"/>
                <w:szCs w:val="20"/>
              </w:rPr>
            </w:pPr>
            <w:r>
              <w:rPr>
                <w:sz w:val="20"/>
                <w:szCs w:val="20"/>
              </w:rPr>
              <w:t>HW</w:t>
            </w:r>
            <w:r>
              <w:rPr>
                <w:spacing w:val="7"/>
                <w:sz w:val="20"/>
                <w:szCs w:val="20"/>
              </w:rPr>
              <w:t>08</w:t>
            </w:r>
          </w:p>
        </w:tc>
        <w:tc>
          <w:tcPr>
            <w:tcW w:w="863" w:type="dxa"/>
            <w:vAlign w:val="top"/>
          </w:tcPr>
          <w:p w14:paraId="19C86637">
            <w:pPr>
              <w:spacing w:line="345" w:lineRule="auto"/>
              <w:rPr>
                <w:rFonts w:ascii="Arial"/>
                <w:sz w:val="21"/>
              </w:rPr>
            </w:pPr>
          </w:p>
          <w:p w14:paraId="65972C6E">
            <w:pPr>
              <w:spacing w:line="345" w:lineRule="auto"/>
              <w:rPr>
                <w:rFonts w:ascii="Arial"/>
                <w:sz w:val="21"/>
              </w:rPr>
            </w:pPr>
          </w:p>
          <w:p w14:paraId="573E38DF">
            <w:pPr>
              <w:pStyle w:val="6"/>
              <w:spacing w:before="65" w:line="190" w:lineRule="auto"/>
              <w:ind w:left="109"/>
              <w:rPr>
                <w:sz w:val="20"/>
                <w:szCs w:val="20"/>
              </w:rPr>
            </w:pPr>
            <w:r>
              <w:rPr>
                <w:spacing w:val="3"/>
                <w:sz w:val="20"/>
                <w:szCs w:val="20"/>
              </w:rPr>
              <w:t>900-19</w:t>
            </w:r>
          </w:p>
          <w:p w14:paraId="76D03D06">
            <w:pPr>
              <w:pStyle w:val="6"/>
              <w:spacing w:before="68" w:line="189" w:lineRule="auto"/>
              <w:ind w:left="109"/>
              <w:rPr>
                <w:sz w:val="20"/>
                <w:szCs w:val="20"/>
              </w:rPr>
            </w:pPr>
            <w:r>
              <w:rPr>
                <w:spacing w:val="3"/>
                <w:sz w:val="20"/>
                <w:szCs w:val="20"/>
              </w:rPr>
              <w:t>9-08</w:t>
            </w:r>
          </w:p>
        </w:tc>
        <w:tc>
          <w:tcPr>
            <w:tcW w:w="739" w:type="dxa"/>
            <w:vAlign w:val="top"/>
          </w:tcPr>
          <w:p w14:paraId="727BADBF">
            <w:pPr>
              <w:spacing w:line="275" w:lineRule="auto"/>
              <w:rPr>
                <w:rFonts w:ascii="Arial"/>
                <w:sz w:val="21"/>
              </w:rPr>
            </w:pPr>
          </w:p>
          <w:p w14:paraId="7FD74295">
            <w:pPr>
              <w:spacing w:line="276" w:lineRule="auto"/>
              <w:rPr>
                <w:rFonts w:ascii="Arial"/>
                <w:sz w:val="21"/>
              </w:rPr>
            </w:pPr>
          </w:p>
          <w:p w14:paraId="0A549A95">
            <w:pPr>
              <w:spacing w:line="276" w:lineRule="auto"/>
              <w:rPr>
                <w:rFonts w:ascii="Arial"/>
                <w:sz w:val="21"/>
              </w:rPr>
            </w:pPr>
          </w:p>
          <w:p w14:paraId="57AEBA45">
            <w:pPr>
              <w:pStyle w:val="6"/>
              <w:spacing w:before="65" w:line="189" w:lineRule="auto"/>
              <w:ind w:left="214"/>
              <w:rPr>
                <w:sz w:val="20"/>
                <w:szCs w:val="20"/>
              </w:rPr>
            </w:pPr>
            <w:r>
              <w:rPr>
                <w:spacing w:val="2"/>
                <w:sz w:val="20"/>
                <w:szCs w:val="20"/>
              </w:rPr>
              <w:t>4.8</w:t>
            </w:r>
          </w:p>
        </w:tc>
        <w:tc>
          <w:tcPr>
            <w:tcW w:w="653" w:type="dxa"/>
            <w:vMerge w:val="continue"/>
            <w:tcBorders>
              <w:top w:val="nil"/>
              <w:bottom w:val="nil"/>
            </w:tcBorders>
            <w:vAlign w:val="top"/>
          </w:tcPr>
          <w:p w14:paraId="43F88001">
            <w:pPr>
              <w:rPr>
                <w:rFonts w:ascii="Arial"/>
                <w:sz w:val="21"/>
              </w:rPr>
            </w:pPr>
          </w:p>
        </w:tc>
        <w:tc>
          <w:tcPr>
            <w:tcW w:w="488" w:type="dxa"/>
            <w:textDirection w:val="tbRlV"/>
            <w:vAlign w:val="top"/>
          </w:tcPr>
          <w:p w14:paraId="3B54BE7F">
            <w:pPr>
              <w:pStyle w:val="6"/>
              <w:spacing w:before="168" w:line="216" w:lineRule="auto"/>
              <w:ind w:left="727"/>
              <w:rPr>
                <w:sz w:val="20"/>
                <w:szCs w:val="20"/>
              </w:rPr>
            </w:pPr>
            <w:r>
              <w:rPr>
                <w:spacing w:val="8"/>
                <w:sz w:val="20"/>
                <w:szCs w:val="20"/>
              </w:rPr>
              <w:t>液</w:t>
            </w:r>
            <w:r>
              <w:rPr>
                <w:spacing w:val="-35"/>
                <w:sz w:val="20"/>
                <w:szCs w:val="20"/>
              </w:rPr>
              <w:t xml:space="preserve"> </w:t>
            </w:r>
            <w:r>
              <w:rPr>
                <w:spacing w:val="8"/>
                <w:sz w:val="20"/>
                <w:szCs w:val="20"/>
              </w:rPr>
              <w:t>态</w:t>
            </w:r>
          </w:p>
        </w:tc>
        <w:tc>
          <w:tcPr>
            <w:tcW w:w="656" w:type="dxa"/>
            <w:vAlign w:val="top"/>
          </w:tcPr>
          <w:p w14:paraId="1B47992F">
            <w:pPr>
              <w:spacing w:line="261" w:lineRule="auto"/>
              <w:rPr>
                <w:rFonts w:ascii="Arial"/>
                <w:sz w:val="21"/>
              </w:rPr>
            </w:pPr>
          </w:p>
          <w:p w14:paraId="70CB4EB8">
            <w:pPr>
              <w:spacing w:line="262" w:lineRule="auto"/>
              <w:rPr>
                <w:rFonts w:ascii="Arial"/>
                <w:sz w:val="21"/>
              </w:rPr>
            </w:pPr>
          </w:p>
          <w:p w14:paraId="6F1E8322">
            <w:pPr>
              <w:pStyle w:val="6"/>
              <w:spacing w:before="65" w:line="243" w:lineRule="auto"/>
              <w:ind w:left="115" w:right="125" w:firstLine="116"/>
              <w:rPr>
                <w:sz w:val="20"/>
                <w:szCs w:val="20"/>
              </w:rPr>
            </w:pPr>
            <w:r>
              <w:rPr>
                <w:sz w:val="20"/>
                <w:szCs w:val="20"/>
              </w:rPr>
              <w:t xml:space="preserve">柴  </w:t>
            </w:r>
            <w:r>
              <w:rPr>
                <w:spacing w:val="5"/>
                <w:sz w:val="20"/>
                <w:szCs w:val="20"/>
              </w:rPr>
              <w:t>油、</w:t>
            </w:r>
            <w:r>
              <w:rPr>
                <w:sz w:val="20"/>
                <w:szCs w:val="20"/>
              </w:rPr>
              <w:t xml:space="preserve"> </w:t>
            </w:r>
            <w:r>
              <w:rPr>
                <w:spacing w:val="5"/>
                <w:sz w:val="20"/>
                <w:szCs w:val="20"/>
              </w:rPr>
              <w:t>机油</w:t>
            </w:r>
          </w:p>
        </w:tc>
        <w:tc>
          <w:tcPr>
            <w:tcW w:w="656" w:type="dxa"/>
            <w:vAlign w:val="top"/>
          </w:tcPr>
          <w:p w14:paraId="7FE2644E">
            <w:pPr>
              <w:spacing w:line="261" w:lineRule="auto"/>
              <w:rPr>
                <w:rFonts w:ascii="Arial"/>
                <w:sz w:val="21"/>
              </w:rPr>
            </w:pPr>
          </w:p>
          <w:p w14:paraId="3DB63284">
            <w:pPr>
              <w:spacing w:line="262" w:lineRule="auto"/>
              <w:rPr>
                <w:rFonts w:ascii="Arial"/>
                <w:sz w:val="21"/>
              </w:rPr>
            </w:pPr>
          </w:p>
          <w:p w14:paraId="77C99453">
            <w:pPr>
              <w:pStyle w:val="6"/>
              <w:spacing w:before="65" w:line="243" w:lineRule="auto"/>
              <w:ind w:left="116" w:right="123" w:firstLine="116"/>
              <w:rPr>
                <w:sz w:val="20"/>
                <w:szCs w:val="20"/>
              </w:rPr>
            </w:pPr>
            <w:r>
              <w:rPr>
                <w:sz w:val="20"/>
                <w:szCs w:val="20"/>
              </w:rPr>
              <w:t xml:space="preserve">柴  </w:t>
            </w:r>
            <w:r>
              <w:rPr>
                <w:spacing w:val="5"/>
                <w:sz w:val="20"/>
                <w:szCs w:val="20"/>
              </w:rPr>
              <w:t>油、</w:t>
            </w:r>
            <w:r>
              <w:rPr>
                <w:sz w:val="20"/>
                <w:szCs w:val="20"/>
              </w:rPr>
              <w:t xml:space="preserve"> </w:t>
            </w:r>
            <w:r>
              <w:rPr>
                <w:spacing w:val="5"/>
                <w:sz w:val="20"/>
                <w:szCs w:val="20"/>
              </w:rPr>
              <w:t>机油</w:t>
            </w:r>
          </w:p>
        </w:tc>
        <w:tc>
          <w:tcPr>
            <w:tcW w:w="516" w:type="dxa"/>
            <w:textDirection w:val="tbRlV"/>
            <w:vAlign w:val="top"/>
          </w:tcPr>
          <w:p w14:paraId="51B3F9CE">
            <w:pPr>
              <w:pStyle w:val="6"/>
              <w:spacing w:before="145" w:line="219" w:lineRule="auto"/>
              <w:ind w:left="727"/>
              <w:rPr>
                <w:sz w:val="20"/>
                <w:szCs w:val="20"/>
              </w:rPr>
            </w:pPr>
            <w:r>
              <w:rPr>
                <w:spacing w:val="8"/>
                <w:position w:val="2"/>
                <w:sz w:val="20"/>
                <w:szCs w:val="20"/>
              </w:rPr>
              <w:t>连</w:t>
            </w:r>
            <w:r>
              <w:rPr>
                <w:spacing w:val="-35"/>
                <w:position w:val="2"/>
                <w:sz w:val="20"/>
                <w:szCs w:val="20"/>
              </w:rPr>
              <w:t xml:space="preserve"> </w:t>
            </w:r>
            <w:r>
              <w:rPr>
                <w:spacing w:val="8"/>
                <w:position w:val="-2"/>
                <w:sz w:val="20"/>
                <w:szCs w:val="20"/>
              </w:rPr>
              <w:t>续</w:t>
            </w:r>
          </w:p>
        </w:tc>
        <w:tc>
          <w:tcPr>
            <w:tcW w:w="551" w:type="dxa"/>
            <w:vAlign w:val="top"/>
          </w:tcPr>
          <w:p w14:paraId="366D208B">
            <w:pPr>
              <w:spacing w:line="264" w:lineRule="auto"/>
              <w:rPr>
                <w:rFonts w:ascii="Arial"/>
                <w:sz w:val="21"/>
              </w:rPr>
            </w:pPr>
          </w:p>
          <w:p w14:paraId="2841833B">
            <w:pPr>
              <w:spacing w:line="265" w:lineRule="auto"/>
              <w:rPr>
                <w:rFonts w:ascii="Arial"/>
                <w:sz w:val="21"/>
              </w:rPr>
            </w:pPr>
          </w:p>
          <w:p w14:paraId="33C438DC">
            <w:pPr>
              <w:spacing w:line="265" w:lineRule="auto"/>
              <w:rPr>
                <w:rFonts w:ascii="Arial"/>
                <w:sz w:val="21"/>
              </w:rPr>
            </w:pPr>
          </w:p>
          <w:p w14:paraId="1E753414">
            <w:pPr>
              <w:pStyle w:val="6"/>
              <w:spacing w:before="65" w:line="264" w:lineRule="exact"/>
              <w:ind w:left="119"/>
              <w:rPr>
                <w:sz w:val="20"/>
                <w:szCs w:val="20"/>
              </w:rPr>
            </w:pPr>
            <w:r>
              <w:rPr>
                <w:spacing w:val="-19"/>
                <w:position w:val="1"/>
                <w:sz w:val="20"/>
                <w:szCs w:val="20"/>
              </w:rPr>
              <w:t>T、I</w:t>
            </w:r>
          </w:p>
        </w:tc>
        <w:tc>
          <w:tcPr>
            <w:tcW w:w="1412" w:type="dxa"/>
            <w:tcBorders>
              <w:right w:val="single" w:color="000000" w:sz="10" w:space="0"/>
            </w:tcBorders>
            <w:vAlign w:val="top"/>
          </w:tcPr>
          <w:p w14:paraId="3F9344CF">
            <w:pPr>
              <w:pStyle w:val="6"/>
              <w:spacing w:before="47" w:line="244" w:lineRule="auto"/>
              <w:ind w:left="121" w:right="198"/>
              <w:jc w:val="both"/>
              <w:rPr>
                <w:sz w:val="20"/>
                <w:szCs w:val="20"/>
              </w:rPr>
            </w:pPr>
            <w:r>
              <w:rPr>
                <w:spacing w:val="15"/>
                <w:sz w:val="20"/>
                <w:szCs w:val="20"/>
              </w:rPr>
              <w:t>废液的专用</w:t>
            </w:r>
            <w:r>
              <w:rPr>
                <w:sz w:val="20"/>
                <w:szCs w:val="20"/>
              </w:rPr>
              <w:t xml:space="preserve"> </w:t>
            </w:r>
            <w:r>
              <w:rPr>
                <w:spacing w:val="15"/>
                <w:sz w:val="20"/>
                <w:szCs w:val="20"/>
              </w:rPr>
              <w:t>密闭油桶分</w:t>
            </w:r>
            <w:r>
              <w:rPr>
                <w:sz w:val="20"/>
                <w:szCs w:val="20"/>
              </w:rPr>
              <w:t xml:space="preserve"> </w:t>
            </w:r>
            <w:r>
              <w:rPr>
                <w:spacing w:val="12"/>
                <w:sz w:val="20"/>
                <w:szCs w:val="20"/>
              </w:rPr>
              <w:t>类暂存于3#</w:t>
            </w:r>
            <w:r>
              <w:rPr>
                <w:spacing w:val="3"/>
                <w:sz w:val="20"/>
                <w:szCs w:val="20"/>
              </w:rPr>
              <w:t xml:space="preserve"> </w:t>
            </w:r>
            <w:r>
              <w:rPr>
                <w:spacing w:val="15"/>
                <w:sz w:val="20"/>
                <w:szCs w:val="20"/>
              </w:rPr>
              <w:t>废矿物油暂</w:t>
            </w:r>
            <w:r>
              <w:rPr>
                <w:sz w:val="20"/>
                <w:szCs w:val="20"/>
              </w:rPr>
              <w:t xml:space="preserve"> </w:t>
            </w:r>
            <w:r>
              <w:rPr>
                <w:spacing w:val="5"/>
                <w:sz w:val="20"/>
                <w:szCs w:val="20"/>
              </w:rPr>
              <w:t>存区，</w:t>
            </w:r>
            <w:r>
              <w:rPr>
                <w:spacing w:val="-51"/>
                <w:sz w:val="20"/>
                <w:szCs w:val="20"/>
              </w:rPr>
              <w:t xml:space="preserve"> </w:t>
            </w:r>
            <w:r>
              <w:rPr>
                <w:spacing w:val="5"/>
                <w:sz w:val="20"/>
                <w:szCs w:val="20"/>
              </w:rPr>
              <w:t>由有</w:t>
            </w:r>
            <w:r>
              <w:rPr>
                <w:sz w:val="20"/>
                <w:szCs w:val="20"/>
              </w:rPr>
              <w:t xml:space="preserve"> </w:t>
            </w:r>
            <w:r>
              <w:rPr>
                <w:spacing w:val="15"/>
                <w:sz w:val="20"/>
                <w:szCs w:val="20"/>
              </w:rPr>
              <w:t>资质单位处</w:t>
            </w:r>
            <w:r>
              <w:rPr>
                <w:sz w:val="20"/>
                <w:szCs w:val="20"/>
              </w:rPr>
              <w:t xml:space="preserve"> </w:t>
            </w:r>
            <w:r>
              <w:rPr>
                <w:spacing w:val="1"/>
                <w:sz w:val="20"/>
                <w:szCs w:val="20"/>
              </w:rPr>
              <w:t>理</w:t>
            </w:r>
          </w:p>
        </w:tc>
      </w:tr>
      <w:tr w14:paraId="717494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6" w:hRule="atLeast"/>
        </w:trPr>
        <w:tc>
          <w:tcPr>
            <w:tcW w:w="477" w:type="dxa"/>
            <w:vMerge w:val="continue"/>
            <w:tcBorders>
              <w:top w:val="nil"/>
              <w:left w:val="single" w:color="000000" w:sz="10" w:space="0"/>
              <w:bottom w:val="nil"/>
            </w:tcBorders>
            <w:vAlign w:val="top"/>
          </w:tcPr>
          <w:p w14:paraId="57BE69E9">
            <w:pPr>
              <w:rPr>
                <w:rFonts w:ascii="Arial"/>
                <w:sz w:val="21"/>
              </w:rPr>
            </w:pPr>
          </w:p>
        </w:tc>
        <w:tc>
          <w:tcPr>
            <w:tcW w:w="538" w:type="dxa"/>
            <w:vMerge w:val="continue"/>
            <w:tcBorders>
              <w:top w:val="nil"/>
              <w:bottom w:val="nil"/>
            </w:tcBorders>
            <w:textDirection w:val="tbRlV"/>
            <w:vAlign w:val="top"/>
          </w:tcPr>
          <w:p w14:paraId="04498479">
            <w:pPr>
              <w:rPr>
                <w:rFonts w:ascii="Arial"/>
                <w:sz w:val="21"/>
              </w:rPr>
            </w:pPr>
          </w:p>
        </w:tc>
        <w:tc>
          <w:tcPr>
            <w:tcW w:w="711" w:type="dxa"/>
            <w:vAlign w:val="top"/>
          </w:tcPr>
          <w:p w14:paraId="5184FD21">
            <w:pPr>
              <w:spacing w:line="392" w:lineRule="auto"/>
              <w:rPr>
                <w:rFonts w:ascii="Arial"/>
                <w:sz w:val="21"/>
              </w:rPr>
            </w:pPr>
          </w:p>
          <w:p w14:paraId="7343004A">
            <w:pPr>
              <w:pStyle w:val="6"/>
              <w:spacing w:before="65" w:line="245" w:lineRule="auto"/>
              <w:ind w:left="105" w:right="190" w:hanging="1"/>
              <w:jc w:val="both"/>
              <w:rPr>
                <w:sz w:val="20"/>
                <w:szCs w:val="20"/>
              </w:rPr>
            </w:pPr>
            <w:r>
              <w:rPr>
                <w:spacing w:val="5"/>
                <w:sz w:val="20"/>
                <w:szCs w:val="20"/>
              </w:rPr>
              <w:t>废铅</w:t>
            </w:r>
            <w:r>
              <w:rPr>
                <w:sz w:val="20"/>
                <w:szCs w:val="20"/>
              </w:rPr>
              <w:t xml:space="preserve"> </w:t>
            </w:r>
            <w:r>
              <w:rPr>
                <w:spacing w:val="4"/>
                <w:sz w:val="20"/>
                <w:szCs w:val="20"/>
              </w:rPr>
              <w:t>酸蓄</w:t>
            </w:r>
            <w:r>
              <w:rPr>
                <w:sz w:val="20"/>
                <w:szCs w:val="20"/>
              </w:rPr>
              <w:t xml:space="preserve"> </w:t>
            </w:r>
            <w:r>
              <w:rPr>
                <w:spacing w:val="4"/>
                <w:sz w:val="20"/>
                <w:szCs w:val="20"/>
              </w:rPr>
              <w:t>电池</w:t>
            </w:r>
          </w:p>
        </w:tc>
        <w:tc>
          <w:tcPr>
            <w:tcW w:w="642" w:type="dxa"/>
            <w:vAlign w:val="top"/>
          </w:tcPr>
          <w:p w14:paraId="7DAF99E6">
            <w:pPr>
              <w:spacing w:line="347" w:lineRule="auto"/>
              <w:rPr>
                <w:rFonts w:ascii="Arial"/>
                <w:sz w:val="21"/>
              </w:rPr>
            </w:pPr>
          </w:p>
          <w:p w14:paraId="0A765E6B">
            <w:pPr>
              <w:spacing w:line="347" w:lineRule="auto"/>
              <w:rPr>
                <w:rFonts w:ascii="Arial"/>
                <w:sz w:val="21"/>
              </w:rPr>
            </w:pPr>
          </w:p>
          <w:p w14:paraId="0C5FFE7E">
            <w:pPr>
              <w:pStyle w:val="6"/>
              <w:spacing w:before="65" w:line="190" w:lineRule="auto"/>
              <w:ind w:left="102"/>
              <w:rPr>
                <w:sz w:val="20"/>
                <w:szCs w:val="20"/>
              </w:rPr>
            </w:pPr>
            <w:r>
              <w:rPr>
                <w:sz w:val="20"/>
                <w:szCs w:val="20"/>
              </w:rPr>
              <w:t>HW</w:t>
            </w:r>
            <w:r>
              <w:rPr>
                <w:spacing w:val="7"/>
                <w:sz w:val="20"/>
                <w:szCs w:val="20"/>
              </w:rPr>
              <w:t>31</w:t>
            </w:r>
          </w:p>
        </w:tc>
        <w:tc>
          <w:tcPr>
            <w:tcW w:w="863" w:type="dxa"/>
            <w:vAlign w:val="top"/>
          </w:tcPr>
          <w:p w14:paraId="352D3728">
            <w:pPr>
              <w:spacing w:line="279" w:lineRule="auto"/>
              <w:rPr>
                <w:rFonts w:ascii="Arial"/>
                <w:sz w:val="21"/>
              </w:rPr>
            </w:pPr>
          </w:p>
          <w:p w14:paraId="5F40A9FA">
            <w:pPr>
              <w:spacing w:line="280" w:lineRule="auto"/>
              <w:rPr>
                <w:rFonts w:ascii="Arial"/>
                <w:sz w:val="21"/>
              </w:rPr>
            </w:pPr>
          </w:p>
          <w:p w14:paraId="6EADDC65">
            <w:pPr>
              <w:pStyle w:val="6"/>
              <w:spacing w:before="65" w:line="189" w:lineRule="auto"/>
              <w:ind w:left="109"/>
              <w:rPr>
                <w:sz w:val="20"/>
                <w:szCs w:val="20"/>
              </w:rPr>
            </w:pPr>
            <w:r>
              <w:rPr>
                <w:spacing w:val="3"/>
                <w:sz w:val="20"/>
                <w:szCs w:val="20"/>
              </w:rPr>
              <w:t>900-05</w:t>
            </w:r>
          </w:p>
          <w:p w14:paraId="58EE1A1E">
            <w:pPr>
              <w:pStyle w:val="6"/>
              <w:spacing w:before="67" w:line="190" w:lineRule="auto"/>
              <w:ind w:left="111"/>
              <w:rPr>
                <w:sz w:val="20"/>
                <w:szCs w:val="20"/>
              </w:rPr>
            </w:pPr>
            <w:r>
              <w:rPr>
                <w:spacing w:val="2"/>
                <w:sz w:val="20"/>
                <w:szCs w:val="20"/>
              </w:rPr>
              <w:t>2-31</w:t>
            </w:r>
          </w:p>
        </w:tc>
        <w:tc>
          <w:tcPr>
            <w:tcW w:w="739" w:type="dxa"/>
            <w:vAlign w:val="top"/>
          </w:tcPr>
          <w:p w14:paraId="6AA7F602">
            <w:pPr>
              <w:spacing w:line="347" w:lineRule="auto"/>
              <w:rPr>
                <w:rFonts w:ascii="Arial"/>
                <w:sz w:val="21"/>
              </w:rPr>
            </w:pPr>
          </w:p>
          <w:p w14:paraId="7BC31462">
            <w:pPr>
              <w:spacing w:line="348" w:lineRule="auto"/>
              <w:rPr>
                <w:rFonts w:ascii="Arial"/>
                <w:sz w:val="21"/>
              </w:rPr>
            </w:pPr>
          </w:p>
          <w:p w14:paraId="55F91F8C">
            <w:pPr>
              <w:pStyle w:val="6"/>
              <w:spacing w:before="65" w:line="189" w:lineRule="auto"/>
              <w:ind w:left="324"/>
              <w:rPr>
                <w:sz w:val="20"/>
                <w:szCs w:val="20"/>
              </w:rPr>
            </w:pPr>
            <w:r>
              <w:rPr>
                <w:sz w:val="20"/>
                <w:szCs w:val="20"/>
              </w:rPr>
              <w:t>3</w:t>
            </w:r>
          </w:p>
        </w:tc>
        <w:tc>
          <w:tcPr>
            <w:tcW w:w="653" w:type="dxa"/>
            <w:vMerge w:val="continue"/>
            <w:tcBorders>
              <w:top w:val="nil"/>
              <w:bottom w:val="nil"/>
            </w:tcBorders>
            <w:vAlign w:val="top"/>
          </w:tcPr>
          <w:p w14:paraId="07E8C8D0">
            <w:pPr>
              <w:rPr>
                <w:rFonts w:ascii="Arial"/>
                <w:sz w:val="21"/>
              </w:rPr>
            </w:pPr>
          </w:p>
        </w:tc>
        <w:tc>
          <w:tcPr>
            <w:tcW w:w="488" w:type="dxa"/>
            <w:textDirection w:val="tbRlV"/>
            <w:vAlign w:val="top"/>
          </w:tcPr>
          <w:p w14:paraId="6B26B1E6">
            <w:pPr>
              <w:pStyle w:val="6"/>
              <w:spacing w:before="168" w:line="216" w:lineRule="auto"/>
              <w:ind w:left="595"/>
              <w:rPr>
                <w:sz w:val="20"/>
                <w:szCs w:val="20"/>
              </w:rPr>
            </w:pPr>
            <w:r>
              <w:rPr>
                <w:spacing w:val="8"/>
                <w:sz w:val="20"/>
                <w:szCs w:val="20"/>
              </w:rPr>
              <w:t>固</w:t>
            </w:r>
            <w:r>
              <w:rPr>
                <w:spacing w:val="-35"/>
                <w:sz w:val="20"/>
                <w:szCs w:val="20"/>
              </w:rPr>
              <w:t xml:space="preserve"> </w:t>
            </w:r>
            <w:r>
              <w:rPr>
                <w:spacing w:val="8"/>
                <w:sz w:val="20"/>
                <w:szCs w:val="20"/>
              </w:rPr>
              <w:t>态</w:t>
            </w:r>
          </w:p>
        </w:tc>
        <w:tc>
          <w:tcPr>
            <w:tcW w:w="656" w:type="dxa"/>
            <w:vAlign w:val="top"/>
          </w:tcPr>
          <w:p w14:paraId="5B097358">
            <w:pPr>
              <w:pStyle w:val="6"/>
              <w:spacing w:before="186" w:line="231" w:lineRule="auto"/>
              <w:ind w:left="115"/>
              <w:rPr>
                <w:sz w:val="20"/>
                <w:szCs w:val="20"/>
              </w:rPr>
            </w:pPr>
            <w:r>
              <w:rPr>
                <w:spacing w:val="4"/>
                <w:sz w:val="20"/>
                <w:szCs w:val="20"/>
              </w:rPr>
              <w:t>铅及</w:t>
            </w:r>
          </w:p>
          <w:p w14:paraId="53066536">
            <w:pPr>
              <w:pStyle w:val="6"/>
              <w:spacing w:before="23" w:line="229" w:lineRule="auto"/>
              <w:ind w:left="116"/>
              <w:rPr>
                <w:sz w:val="20"/>
                <w:szCs w:val="20"/>
              </w:rPr>
            </w:pPr>
            <w:r>
              <w:rPr>
                <w:spacing w:val="4"/>
                <w:sz w:val="20"/>
                <w:szCs w:val="20"/>
              </w:rPr>
              <w:t>其化</w:t>
            </w:r>
          </w:p>
          <w:p w14:paraId="2E4BC4E2">
            <w:pPr>
              <w:pStyle w:val="6"/>
              <w:spacing w:before="23" w:line="231" w:lineRule="auto"/>
              <w:ind w:left="231"/>
              <w:rPr>
                <w:sz w:val="20"/>
                <w:szCs w:val="20"/>
              </w:rPr>
            </w:pPr>
            <w:r>
              <w:rPr>
                <w:sz w:val="20"/>
                <w:szCs w:val="20"/>
              </w:rPr>
              <w:t>合</w:t>
            </w:r>
          </w:p>
          <w:p w14:paraId="701A6D12">
            <w:pPr>
              <w:pStyle w:val="6"/>
              <w:spacing w:before="22"/>
              <w:ind w:left="115" w:right="125"/>
              <w:rPr>
                <w:sz w:val="20"/>
                <w:szCs w:val="20"/>
              </w:rPr>
            </w:pPr>
            <w:r>
              <w:rPr>
                <w:spacing w:val="4"/>
                <w:sz w:val="20"/>
                <w:szCs w:val="20"/>
              </w:rPr>
              <w:t>物、</w:t>
            </w:r>
            <w:r>
              <w:rPr>
                <w:sz w:val="20"/>
                <w:szCs w:val="20"/>
              </w:rPr>
              <w:t xml:space="preserve"> </w:t>
            </w:r>
            <w:r>
              <w:rPr>
                <w:spacing w:val="5"/>
                <w:sz w:val="20"/>
                <w:szCs w:val="20"/>
              </w:rPr>
              <w:t>硫酸</w:t>
            </w:r>
          </w:p>
        </w:tc>
        <w:tc>
          <w:tcPr>
            <w:tcW w:w="656" w:type="dxa"/>
            <w:vAlign w:val="top"/>
          </w:tcPr>
          <w:p w14:paraId="51961999">
            <w:pPr>
              <w:pStyle w:val="6"/>
              <w:spacing w:before="52"/>
              <w:ind w:left="117" w:right="99"/>
              <w:rPr>
                <w:sz w:val="20"/>
                <w:szCs w:val="20"/>
              </w:rPr>
            </w:pPr>
            <w:r>
              <w:rPr>
                <w:spacing w:val="16"/>
                <w:sz w:val="20"/>
                <w:szCs w:val="20"/>
              </w:rPr>
              <w:t>铅及</w:t>
            </w:r>
            <w:r>
              <w:rPr>
                <w:sz w:val="20"/>
                <w:szCs w:val="20"/>
              </w:rPr>
              <w:t xml:space="preserve"> </w:t>
            </w:r>
            <w:r>
              <w:rPr>
                <w:spacing w:val="16"/>
                <w:sz w:val="20"/>
                <w:szCs w:val="20"/>
              </w:rPr>
              <w:t>其化</w:t>
            </w:r>
          </w:p>
          <w:p w14:paraId="4711B6BD">
            <w:pPr>
              <w:pStyle w:val="6"/>
              <w:spacing w:before="22" w:line="238" w:lineRule="auto"/>
              <w:ind w:left="116" w:right="134" w:firstLine="116"/>
              <w:rPr>
                <w:sz w:val="20"/>
                <w:szCs w:val="20"/>
              </w:rPr>
            </w:pPr>
            <w:r>
              <w:rPr>
                <w:sz w:val="20"/>
                <w:szCs w:val="20"/>
              </w:rPr>
              <w:t xml:space="preserve">合  </w:t>
            </w:r>
            <w:r>
              <w:rPr>
                <w:spacing w:val="-1"/>
                <w:sz w:val="20"/>
                <w:szCs w:val="20"/>
              </w:rPr>
              <w:t>物、</w:t>
            </w:r>
            <w:r>
              <w:rPr>
                <w:sz w:val="20"/>
                <w:szCs w:val="20"/>
              </w:rPr>
              <w:t xml:space="preserve"> </w:t>
            </w:r>
            <w:r>
              <w:rPr>
                <w:spacing w:val="1"/>
                <w:sz w:val="20"/>
                <w:szCs w:val="20"/>
              </w:rPr>
              <w:t>硫</w:t>
            </w:r>
            <w:r>
              <w:rPr>
                <w:sz w:val="20"/>
                <w:szCs w:val="20"/>
              </w:rPr>
              <w:t xml:space="preserve">   </w:t>
            </w:r>
            <w:r>
              <w:rPr>
                <w:spacing w:val="1"/>
                <w:sz w:val="20"/>
                <w:szCs w:val="20"/>
              </w:rPr>
              <w:t>酸</w:t>
            </w:r>
          </w:p>
        </w:tc>
        <w:tc>
          <w:tcPr>
            <w:tcW w:w="516" w:type="dxa"/>
            <w:textDirection w:val="tbRlV"/>
            <w:vAlign w:val="top"/>
          </w:tcPr>
          <w:p w14:paraId="21AB0075">
            <w:pPr>
              <w:pStyle w:val="6"/>
              <w:spacing w:before="145" w:line="219" w:lineRule="auto"/>
              <w:ind w:left="595"/>
              <w:rPr>
                <w:sz w:val="20"/>
                <w:szCs w:val="20"/>
              </w:rPr>
            </w:pPr>
            <w:r>
              <w:rPr>
                <w:spacing w:val="8"/>
                <w:position w:val="2"/>
                <w:sz w:val="20"/>
                <w:szCs w:val="20"/>
              </w:rPr>
              <w:t>连</w:t>
            </w:r>
            <w:r>
              <w:rPr>
                <w:spacing w:val="-35"/>
                <w:position w:val="2"/>
                <w:sz w:val="20"/>
                <w:szCs w:val="20"/>
              </w:rPr>
              <w:t xml:space="preserve"> </w:t>
            </w:r>
            <w:r>
              <w:rPr>
                <w:spacing w:val="8"/>
                <w:position w:val="-2"/>
                <w:sz w:val="20"/>
                <w:szCs w:val="20"/>
              </w:rPr>
              <w:t>续</w:t>
            </w:r>
          </w:p>
        </w:tc>
        <w:tc>
          <w:tcPr>
            <w:tcW w:w="551" w:type="dxa"/>
            <w:vAlign w:val="top"/>
          </w:tcPr>
          <w:p w14:paraId="56B8BAE0">
            <w:pPr>
              <w:spacing w:line="348" w:lineRule="auto"/>
              <w:rPr>
                <w:rFonts w:ascii="Arial"/>
                <w:sz w:val="21"/>
              </w:rPr>
            </w:pPr>
          </w:p>
          <w:p w14:paraId="604C0B48">
            <w:pPr>
              <w:spacing w:line="348" w:lineRule="auto"/>
              <w:rPr>
                <w:rFonts w:ascii="Arial"/>
                <w:sz w:val="21"/>
              </w:rPr>
            </w:pPr>
          </w:p>
          <w:p w14:paraId="4DB43BEA">
            <w:pPr>
              <w:pStyle w:val="6"/>
              <w:spacing w:before="65" w:line="189" w:lineRule="auto"/>
              <w:ind w:left="119"/>
              <w:rPr>
                <w:sz w:val="20"/>
                <w:szCs w:val="20"/>
              </w:rPr>
            </w:pPr>
            <w:r>
              <w:rPr>
                <w:spacing w:val="-23"/>
                <w:sz w:val="20"/>
                <w:szCs w:val="20"/>
              </w:rPr>
              <w:t>T，C</w:t>
            </w:r>
          </w:p>
        </w:tc>
        <w:tc>
          <w:tcPr>
            <w:tcW w:w="1412" w:type="dxa"/>
            <w:tcBorders>
              <w:right w:val="single" w:color="000000" w:sz="10" w:space="0"/>
            </w:tcBorders>
            <w:vAlign w:val="top"/>
          </w:tcPr>
          <w:p w14:paraId="1866EF05">
            <w:pPr>
              <w:spacing w:line="259" w:lineRule="auto"/>
              <w:rPr>
                <w:rFonts w:ascii="Arial"/>
                <w:sz w:val="21"/>
              </w:rPr>
            </w:pPr>
          </w:p>
          <w:p w14:paraId="6C452097">
            <w:pPr>
              <w:pStyle w:val="6"/>
              <w:spacing w:before="65" w:line="245" w:lineRule="auto"/>
              <w:ind w:left="123" w:right="199" w:firstLine="5"/>
              <w:jc w:val="both"/>
              <w:rPr>
                <w:sz w:val="20"/>
                <w:szCs w:val="20"/>
              </w:rPr>
            </w:pPr>
            <w:r>
              <w:rPr>
                <w:spacing w:val="3"/>
                <w:sz w:val="20"/>
                <w:szCs w:val="20"/>
              </w:rPr>
              <w:t>暂存于</w:t>
            </w:r>
            <w:r>
              <w:rPr>
                <w:spacing w:val="-52"/>
                <w:sz w:val="20"/>
                <w:szCs w:val="20"/>
              </w:rPr>
              <w:t xml:space="preserve"> </w:t>
            </w:r>
            <w:r>
              <w:rPr>
                <w:spacing w:val="3"/>
                <w:sz w:val="20"/>
                <w:szCs w:val="20"/>
              </w:rPr>
              <w:t>2#废</w:t>
            </w:r>
            <w:r>
              <w:rPr>
                <w:sz w:val="20"/>
                <w:szCs w:val="20"/>
              </w:rPr>
              <w:t xml:space="preserve"> </w:t>
            </w:r>
            <w:r>
              <w:rPr>
                <w:spacing w:val="14"/>
                <w:sz w:val="20"/>
                <w:szCs w:val="20"/>
              </w:rPr>
              <w:t>蓄电池暂存</w:t>
            </w:r>
            <w:r>
              <w:rPr>
                <w:spacing w:val="2"/>
                <w:sz w:val="20"/>
                <w:szCs w:val="20"/>
              </w:rPr>
              <w:t xml:space="preserve"> </w:t>
            </w:r>
            <w:r>
              <w:rPr>
                <w:spacing w:val="4"/>
                <w:sz w:val="20"/>
                <w:szCs w:val="20"/>
              </w:rPr>
              <w:t>区，</w:t>
            </w:r>
            <w:r>
              <w:rPr>
                <w:spacing w:val="-48"/>
                <w:sz w:val="20"/>
                <w:szCs w:val="20"/>
              </w:rPr>
              <w:t xml:space="preserve"> </w:t>
            </w:r>
            <w:r>
              <w:rPr>
                <w:spacing w:val="4"/>
                <w:sz w:val="20"/>
                <w:szCs w:val="20"/>
              </w:rPr>
              <w:t>由有资</w:t>
            </w:r>
            <w:r>
              <w:rPr>
                <w:sz w:val="20"/>
                <w:szCs w:val="20"/>
              </w:rPr>
              <w:t xml:space="preserve"> </w:t>
            </w:r>
            <w:r>
              <w:rPr>
                <w:spacing w:val="7"/>
                <w:sz w:val="20"/>
                <w:szCs w:val="20"/>
              </w:rPr>
              <w:t>质单位处理</w:t>
            </w:r>
          </w:p>
        </w:tc>
      </w:tr>
      <w:tr w14:paraId="320FF8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72" w:hRule="atLeast"/>
        </w:trPr>
        <w:tc>
          <w:tcPr>
            <w:tcW w:w="477" w:type="dxa"/>
            <w:vMerge w:val="continue"/>
            <w:tcBorders>
              <w:top w:val="nil"/>
              <w:left w:val="single" w:color="000000" w:sz="10" w:space="0"/>
              <w:bottom w:val="single" w:color="000000" w:sz="10" w:space="0"/>
            </w:tcBorders>
            <w:vAlign w:val="top"/>
          </w:tcPr>
          <w:p w14:paraId="2E6DA182">
            <w:pPr>
              <w:rPr>
                <w:rFonts w:ascii="Arial"/>
                <w:sz w:val="21"/>
              </w:rPr>
            </w:pPr>
          </w:p>
        </w:tc>
        <w:tc>
          <w:tcPr>
            <w:tcW w:w="538" w:type="dxa"/>
            <w:vMerge w:val="continue"/>
            <w:tcBorders>
              <w:top w:val="nil"/>
              <w:bottom w:val="single" w:color="000000" w:sz="10" w:space="0"/>
            </w:tcBorders>
            <w:textDirection w:val="tbRlV"/>
            <w:vAlign w:val="top"/>
          </w:tcPr>
          <w:p w14:paraId="1EB9BB82">
            <w:pPr>
              <w:rPr>
                <w:rFonts w:ascii="Arial"/>
                <w:sz w:val="21"/>
              </w:rPr>
            </w:pPr>
          </w:p>
        </w:tc>
        <w:tc>
          <w:tcPr>
            <w:tcW w:w="711" w:type="dxa"/>
            <w:tcBorders>
              <w:bottom w:val="single" w:color="000000" w:sz="10" w:space="0"/>
            </w:tcBorders>
            <w:vAlign w:val="top"/>
          </w:tcPr>
          <w:p w14:paraId="5106C07C">
            <w:pPr>
              <w:pStyle w:val="6"/>
              <w:spacing w:before="189"/>
              <w:ind w:left="106" w:right="190"/>
              <w:rPr>
                <w:sz w:val="20"/>
                <w:szCs w:val="20"/>
              </w:rPr>
            </w:pPr>
            <w:r>
              <w:rPr>
                <w:spacing w:val="4"/>
                <w:sz w:val="20"/>
                <w:szCs w:val="20"/>
              </w:rPr>
              <w:t>制冷</w:t>
            </w:r>
            <w:r>
              <w:rPr>
                <w:sz w:val="20"/>
                <w:szCs w:val="20"/>
              </w:rPr>
              <w:t xml:space="preserve"> 剂</w:t>
            </w:r>
          </w:p>
        </w:tc>
        <w:tc>
          <w:tcPr>
            <w:tcW w:w="642" w:type="dxa"/>
            <w:tcBorders>
              <w:bottom w:val="single" w:color="000000" w:sz="10" w:space="0"/>
            </w:tcBorders>
            <w:vAlign w:val="top"/>
          </w:tcPr>
          <w:p w14:paraId="23899ED0">
            <w:pPr>
              <w:spacing w:line="293" w:lineRule="auto"/>
              <w:rPr>
                <w:rFonts w:ascii="Arial"/>
                <w:sz w:val="21"/>
              </w:rPr>
            </w:pPr>
          </w:p>
          <w:p w14:paraId="3538B05B">
            <w:pPr>
              <w:pStyle w:val="6"/>
              <w:spacing w:before="65" w:line="189" w:lineRule="auto"/>
              <w:ind w:left="102"/>
              <w:rPr>
                <w:sz w:val="20"/>
                <w:szCs w:val="20"/>
              </w:rPr>
            </w:pPr>
            <w:r>
              <w:rPr>
                <w:sz w:val="20"/>
                <w:szCs w:val="20"/>
              </w:rPr>
              <w:t>HW</w:t>
            </w:r>
            <w:r>
              <w:rPr>
                <w:spacing w:val="7"/>
                <w:sz w:val="20"/>
                <w:szCs w:val="20"/>
              </w:rPr>
              <w:t>06</w:t>
            </w:r>
          </w:p>
        </w:tc>
        <w:tc>
          <w:tcPr>
            <w:tcW w:w="863" w:type="dxa"/>
            <w:tcBorders>
              <w:bottom w:val="single" w:color="000000" w:sz="10" w:space="0"/>
            </w:tcBorders>
            <w:vAlign w:val="top"/>
          </w:tcPr>
          <w:p w14:paraId="73214610">
            <w:pPr>
              <w:pStyle w:val="6"/>
              <w:spacing w:before="223" w:line="189" w:lineRule="auto"/>
              <w:ind w:left="109"/>
              <w:rPr>
                <w:sz w:val="20"/>
                <w:szCs w:val="20"/>
              </w:rPr>
            </w:pPr>
            <w:r>
              <w:rPr>
                <w:spacing w:val="3"/>
                <w:sz w:val="20"/>
                <w:szCs w:val="20"/>
              </w:rPr>
              <w:t>900-40</w:t>
            </w:r>
          </w:p>
          <w:p w14:paraId="4F6373E5">
            <w:pPr>
              <w:pStyle w:val="6"/>
              <w:spacing w:before="68" w:line="189" w:lineRule="auto"/>
              <w:ind w:left="107"/>
              <w:rPr>
                <w:sz w:val="20"/>
                <w:szCs w:val="20"/>
              </w:rPr>
            </w:pPr>
            <w:r>
              <w:rPr>
                <w:spacing w:val="3"/>
                <w:sz w:val="20"/>
                <w:szCs w:val="20"/>
              </w:rPr>
              <w:t>4-06</w:t>
            </w:r>
          </w:p>
        </w:tc>
        <w:tc>
          <w:tcPr>
            <w:tcW w:w="739" w:type="dxa"/>
            <w:tcBorders>
              <w:bottom w:val="single" w:color="000000" w:sz="10" w:space="0"/>
            </w:tcBorders>
            <w:vAlign w:val="top"/>
          </w:tcPr>
          <w:p w14:paraId="7466C36C">
            <w:pPr>
              <w:spacing w:line="293" w:lineRule="auto"/>
              <w:rPr>
                <w:rFonts w:ascii="Arial"/>
                <w:sz w:val="21"/>
              </w:rPr>
            </w:pPr>
          </w:p>
          <w:p w14:paraId="747660C3">
            <w:pPr>
              <w:pStyle w:val="6"/>
              <w:spacing w:before="65" w:line="189" w:lineRule="auto"/>
              <w:ind w:left="164"/>
              <w:rPr>
                <w:sz w:val="20"/>
                <w:szCs w:val="20"/>
              </w:rPr>
            </w:pPr>
            <w:r>
              <w:rPr>
                <w:spacing w:val="2"/>
                <w:sz w:val="20"/>
                <w:szCs w:val="20"/>
              </w:rPr>
              <w:t>0.24</w:t>
            </w:r>
          </w:p>
        </w:tc>
        <w:tc>
          <w:tcPr>
            <w:tcW w:w="653" w:type="dxa"/>
            <w:vMerge w:val="continue"/>
            <w:tcBorders>
              <w:top w:val="nil"/>
              <w:bottom w:val="single" w:color="000000" w:sz="10" w:space="0"/>
            </w:tcBorders>
            <w:vAlign w:val="top"/>
          </w:tcPr>
          <w:p w14:paraId="03650261">
            <w:pPr>
              <w:rPr>
                <w:rFonts w:ascii="Arial"/>
                <w:sz w:val="21"/>
              </w:rPr>
            </w:pPr>
          </w:p>
        </w:tc>
        <w:tc>
          <w:tcPr>
            <w:tcW w:w="488" w:type="dxa"/>
            <w:tcBorders>
              <w:bottom w:val="single" w:color="000000" w:sz="10" w:space="0"/>
            </w:tcBorders>
            <w:textDirection w:val="tbRlV"/>
            <w:vAlign w:val="top"/>
          </w:tcPr>
          <w:p w14:paraId="042F052F">
            <w:pPr>
              <w:pStyle w:val="6"/>
              <w:spacing w:before="168" w:line="216" w:lineRule="auto"/>
              <w:ind w:left="190"/>
              <w:rPr>
                <w:sz w:val="20"/>
                <w:szCs w:val="20"/>
              </w:rPr>
            </w:pPr>
            <w:r>
              <w:rPr>
                <w:spacing w:val="8"/>
                <w:sz w:val="20"/>
                <w:szCs w:val="20"/>
              </w:rPr>
              <w:t>液</w:t>
            </w:r>
            <w:r>
              <w:rPr>
                <w:spacing w:val="-35"/>
                <w:sz w:val="20"/>
                <w:szCs w:val="20"/>
              </w:rPr>
              <w:t xml:space="preserve"> </w:t>
            </w:r>
            <w:r>
              <w:rPr>
                <w:spacing w:val="8"/>
                <w:sz w:val="20"/>
                <w:szCs w:val="20"/>
              </w:rPr>
              <w:t>态</w:t>
            </w:r>
          </w:p>
        </w:tc>
        <w:tc>
          <w:tcPr>
            <w:tcW w:w="656" w:type="dxa"/>
            <w:tcBorders>
              <w:bottom w:val="single" w:color="000000" w:sz="10" w:space="0"/>
            </w:tcBorders>
            <w:vAlign w:val="top"/>
          </w:tcPr>
          <w:p w14:paraId="7D7B238A">
            <w:pPr>
              <w:pStyle w:val="6"/>
              <w:spacing w:before="189"/>
              <w:ind w:left="116" w:right="125"/>
              <w:rPr>
                <w:sz w:val="20"/>
                <w:szCs w:val="20"/>
              </w:rPr>
            </w:pPr>
            <w:r>
              <w:rPr>
                <w:spacing w:val="4"/>
                <w:sz w:val="20"/>
                <w:szCs w:val="20"/>
              </w:rPr>
              <w:t>制冷</w:t>
            </w:r>
            <w:r>
              <w:rPr>
                <w:sz w:val="20"/>
                <w:szCs w:val="20"/>
              </w:rPr>
              <w:t xml:space="preserve"> 剂</w:t>
            </w:r>
          </w:p>
        </w:tc>
        <w:tc>
          <w:tcPr>
            <w:tcW w:w="656" w:type="dxa"/>
            <w:tcBorders>
              <w:bottom w:val="single" w:color="000000" w:sz="10" w:space="0"/>
            </w:tcBorders>
            <w:vAlign w:val="top"/>
          </w:tcPr>
          <w:p w14:paraId="3A8384E2">
            <w:pPr>
              <w:pStyle w:val="6"/>
              <w:spacing w:before="189"/>
              <w:ind w:left="118" w:right="123"/>
              <w:rPr>
                <w:sz w:val="20"/>
                <w:szCs w:val="20"/>
              </w:rPr>
            </w:pPr>
            <w:r>
              <w:rPr>
                <w:spacing w:val="4"/>
                <w:sz w:val="20"/>
                <w:szCs w:val="20"/>
              </w:rPr>
              <w:t>制冷</w:t>
            </w:r>
            <w:r>
              <w:rPr>
                <w:sz w:val="20"/>
                <w:szCs w:val="20"/>
              </w:rPr>
              <w:t xml:space="preserve"> 剂</w:t>
            </w:r>
          </w:p>
        </w:tc>
        <w:tc>
          <w:tcPr>
            <w:tcW w:w="516" w:type="dxa"/>
            <w:tcBorders>
              <w:bottom w:val="single" w:color="000000" w:sz="10" w:space="0"/>
            </w:tcBorders>
            <w:textDirection w:val="tbRlV"/>
            <w:vAlign w:val="top"/>
          </w:tcPr>
          <w:p w14:paraId="7CF1030F">
            <w:pPr>
              <w:pStyle w:val="6"/>
              <w:spacing w:before="145" w:line="219" w:lineRule="auto"/>
              <w:ind w:left="190"/>
              <w:rPr>
                <w:sz w:val="20"/>
                <w:szCs w:val="20"/>
              </w:rPr>
            </w:pPr>
            <w:r>
              <w:rPr>
                <w:spacing w:val="8"/>
                <w:position w:val="2"/>
                <w:sz w:val="20"/>
                <w:szCs w:val="20"/>
              </w:rPr>
              <w:t>连</w:t>
            </w:r>
            <w:r>
              <w:rPr>
                <w:spacing w:val="-35"/>
                <w:position w:val="2"/>
                <w:sz w:val="20"/>
                <w:szCs w:val="20"/>
              </w:rPr>
              <w:t xml:space="preserve"> </w:t>
            </w:r>
            <w:r>
              <w:rPr>
                <w:spacing w:val="8"/>
                <w:position w:val="-2"/>
                <w:sz w:val="20"/>
                <w:szCs w:val="20"/>
              </w:rPr>
              <w:t>续</w:t>
            </w:r>
          </w:p>
        </w:tc>
        <w:tc>
          <w:tcPr>
            <w:tcW w:w="551" w:type="dxa"/>
            <w:tcBorders>
              <w:bottom w:val="single" w:color="000000" w:sz="10" w:space="0"/>
            </w:tcBorders>
            <w:vAlign w:val="top"/>
          </w:tcPr>
          <w:p w14:paraId="3CB25321">
            <w:pPr>
              <w:spacing w:line="295" w:lineRule="auto"/>
              <w:rPr>
                <w:rFonts w:ascii="Arial"/>
                <w:sz w:val="21"/>
              </w:rPr>
            </w:pPr>
          </w:p>
          <w:p w14:paraId="2EB56FDD">
            <w:pPr>
              <w:pStyle w:val="6"/>
              <w:spacing w:before="65" w:line="187" w:lineRule="auto"/>
              <w:ind w:left="119"/>
              <w:rPr>
                <w:sz w:val="20"/>
                <w:szCs w:val="20"/>
              </w:rPr>
            </w:pPr>
            <w:r>
              <w:rPr>
                <w:sz w:val="20"/>
                <w:szCs w:val="20"/>
              </w:rPr>
              <w:t>T</w:t>
            </w:r>
          </w:p>
        </w:tc>
        <w:tc>
          <w:tcPr>
            <w:tcW w:w="1412" w:type="dxa"/>
            <w:tcBorders>
              <w:bottom w:val="single" w:color="000000" w:sz="10" w:space="0"/>
              <w:right w:val="single" w:color="000000" w:sz="10" w:space="0"/>
            </w:tcBorders>
            <w:vAlign w:val="top"/>
          </w:tcPr>
          <w:p w14:paraId="3C2D817A">
            <w:pPr>
              <w:pStyle w:val="6"/>
              <w:spacing w:before="55" w:line="243" w:lineRule="auto"/>
              <w:ind w:left="121" w:right="198"/>
              <w:jc w:val="both"/>
              <w:rPr>
                <w:sz w:val="20"/>
                <w:szCs w:val="20"/>
              </w:rPr>
            </w:pPr>
            <w:r>
              <w:rPr>
                <w:spacing w:val="15"/>
                <w:sz w:val="20"/>
                <w:szCs w:val="20"/>
              </w:rPr>
              <w:t>废液的专用</w:t>
            </w:r>
            <w:r>
              <w:rPr>
                <w:sz w:val="20"/>
                <w:szCs w:val="20"/>
              </w:rPr>
              <w:t xml:space="preserve"> </w:t>
            </w:r>
            <w:r>
              <w:rPr>
                <w:spacing w:val="14"/>
                <w:sz w:val="20"/>
                <w:szCs w:val="20"/>
              </w:rPr>
              <w:t>密闭油桶分</w:t>
            </w:r>
            <w:r>
              <w:rPr>
                <w:spacing w:val="3"/>
                <w:sz w:val="20"/>
                <w:szCs w:val="20"/>
              </w:rPr>
              <w:t xml:space="preserve"> </w:t>
            </w:r>
            <w:r>
              <w:rPr>
                <w:spacing w:val="12"/>
                <w:sz w:val="20"/>
                <w:szCs w:val="20"/>
              </w:rPr>
              <w:t>类暂存于3#</w:t>
            </w:r>
          </w:p>
        </w:tc>
      </w:tr>
    </w:tbl>
    <w:p w14:paraId="0A87213C">
      <w:pPr>
        <w:pStyle w:val="2"/>
        <w:spacing w:line="193" w:lineRule="exact"/>
        <w:rPr>
          <w:sz w:val="16"/>
        </w:rPr>
      </w:pPr>
    </w:p>
    <w:p w14:paraId="344F6878">
      <w:pPr>
        <w:spacing w:line="193" w:lineRule="exact"/>
        <w:rPr>
          <w:sz w:val="16"/>
          <w:szCs w:val="16"/>
        </w:rPr>
        <w:sectPr>
          <w:footerReference r:id="rId79" w:type="default"/>
          <w:pgSz w:w="11906" w:h="16839"/>
          <w:pgMar w:top="1270" w:right="1489" w:bottom="1261"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3B76C68E">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912" w:hRule="atLeast"/>
        </w:trPr>
        <w:tc>
          <w:tcPr>
            <w:tcW w:w="477" w:type="dxa"/>
            <w:tcBorders>
              <w:right w:val="single" w:color="000000" w:sz="2" w:space="0"/>
            </w:tcBorders>
            <w:vAlign w:val="top"/>
          </w:tcPr>
          <w:p w14:paraId="49ADF181">
            <w:pPr>
              <w:rPr>
                <w:rFonts w:ascii="Arial"/>
                <w:sz w:val="21"/>
              </w:rPr>
            </w:pPr>
          </w:p>
        </w:tc>
        <w:tc>
          <w:tcPr>
            <w:tcW w:w="8425" w:type="dxa"/>
            <w:tcBorders>
              <w:left w:val="single" w:color="000000" w:sz="2" w:space="0"/>
            </w:tcBorders>
            <w:vAlign w:val="top"/>
          </w:tcPr>
          <w:tbl>
            <w:tblPr>
              <w:tblStyle w:val="5"/>
              <w:tblW w:w="8218" w:type="dxa"/>
              <w:tblInd w:w="99"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27"/>
              <w:gridCol w:w="713"/>
              <w:gridCol w:w="644"/>
              <w:gridCol w:w="865"/>
              <w:gridCol w:w="741"/>
              <w:gridCol w:w="655"/>
              <w:gridCol w:w="489"/>
              <w:gridCol w:w="658"/>
              <w:gridCol w:w="658"/>
              <w:gridCol w:w="516"/>
              <w:gridCol w:w="553"/>
              <w:gridCol w:w="1299"/>
            </w:tblGrid>
            <w:tr w14:paraId="476919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01" w:hRule="atLeast"/>
              </w:trPr>
              <w:tc>
                <w:tcPr>
                  <w:tcW w:w="427" w:type="dxa"/>
                  <w:vMerge w:val="restart"/>
                  <w:tcBorders>
                    <w:top w:val="nil"/>
                    <w:left w:val="nil"/>
                    <w:bottom w:val="nil"/>
                  </w:tcBorders>
                  <w:vAlign w:val="top"/>
                </w:tcPr>
                <w:p w14:paraId="757C7E37">
                  <w:pPr>
                    <w:rPr>
                      <w:rFonts w:ascii="Arial"/>
                      <w:sz w:val="21"/>
                    </w:rPr>
                  </w:pPr>
                </w:p>
              </w:tc>
              <w:tc>
                <w:tcPr>
                  <w:tcW w:w="713" w:type="dxa"/>
                  <w:tcBorders>
                    <w:top w:val="nil"/>
                  </w:tcBorders>
                  <w:vAlign w:val="top"/>
                </w:tcPr>
                <w:p w14:paraId="31D649E5">
                  <w:pPr>
                    <w:rPr>
                      <w:rFonts w:ascii="Arial"/>
                      <w:sz w:val="21"/>
                    </w:rPr>
                  </w:pPr>
                </w:p>
              </w:tc>
              <w:tc>
                <w:tcPr>
                  <w:tcW w:w="644" w:type="dxa"/>
                  <w:tcBorders>
                    <w:top w:val="nil"/>
                  </w:tcBorders>
                  <w:vAlign w:val="top"/>
                </w:tcPr>
                <w:p w14:paraId="0612F8EF">
                  <w:pPr>
                    <w:rPr>
                      <w:rFonts w:ascii="Arial"/>
                      <w:sz w:val="21"/>
                    </w:rPr>
                  </w:pPr>
                </w:p>
              </w:tc>
              <w:tc>
                <w:tcPr>
                  <w:tcW w:w="865" w:type="dxa"/>
                  <w:tcBorders>
                    <w:top w:val="nil"/>
                  </w:tcBorders>
                  <w:vAlign w:val="top"/>
                </w:tcPr>
                <w:p w14:paraId="3C708F1B">
                  <w:pPr>
                    <w:rPr>
                      <w:rFonts w:ascii="Arial"/>
                      <w:sz w:val="21"/>
                    </w:rPr>
                  </w:pPr>
                </w:p>
              </w:tc>
              <w:tc>
                <w:tcPr>
                  <w:tcW w:w="741" w:type="dxa"/>
                  <w:tcBorders>
                    <w:top w:val="nil"/>
                  </w:tcBorders>
                  <w:vAlign w:val="top"/>
                </w:tcPr>
                <w:p w14:paraId="2740A0DB">
                  <w:pPr>
                    <w:rPr>
                      <w:rFonts w:ascii="Arial"/>
                      <w:sz w:val="21"/>
                    </w:rPr>
                  </w:pPr>
                </w:p>
              </w:tc>
              <w:tc>
                <w:tcPr>
                  <w:tcW w:w="655" w:type="dxa"/>
                  <w:vMerge w:val="restart"/>
                  <w:tcBorders>
                    <w:top w:val="nil"/>
                    <w:bottom w:val="nil"/>
                  </w:tcBorders>
                  <w:vAlign w:val="top"/>
                </w:tcPr>
                <w:p w14:paraId="000FAC5D">
                  <w:pPr>
                    <w:rPr>
                      <w:rFonts w:ascii="Arial"/>
                      <w:sz w:val="21"/>
                    </w:rPr>
                  </w:pPr>
                </w:p>
              </w:tc>
              <w:tc>
                <w:tcPr>
                  <w:tcW w:w="489" w:type="dxa"/>
                  <w:tcBorders>
                    <w:top w:val="nil"/>
                  </w:tcBorders>
                  <w:vAlign w:val="top"/>
                </w:tcPr>
                <w:p w14:paraId="20158E66">
                  <w:pPr>
                    <w:rPr>
                      <w:rFonts w:ascii="Arial"/>
                      <w:sz w:val="21"/>
                    </w:rPr>
                  </w:pPr>
                </w:p>
              </w:tc>
              <w:tc>
                <w:tcPr>
                  <w:tcW w:w="658" w:type="dxa"/>
                  <w:tcBorders>
                    <w:top w:val="nil"/>
                  </w:tcBorders>
                  <w:vAlign w:val="top"/>
                </w:tcPr>
                <w:p w14:paraId="70D74192">
                  <w:pPr>
                    <w:rPr>
                      <w:rFonts w:ascii="Arial"/>
                      <w:sz w:val="21"/>
                    </w:rPr>
                  </w:pPr>
                </w:p>
              </w:tc>
              <w:tc>
                <w:tcPr>
                  <w:tcW w:w="658" w:type="dxa"/>
                  <w:tcBorders>
                    <w:top w:val="nil"/>
                  </w:tcBorders>
                  <w:vAlign w:val="top"/>
                </w:tcPr>
                <w:p w14:paraId="58E71035">
                  <w:pPr>
                    <w:rPr>
                      <w:rFonts w:ascii="Arial"/>
                      <w:sz w:val="21"/>
                    </w:rPr>
                  </w:pPr>
                </w:p>
              </w:tc>
              <w:tc>
                <w:tcPr>
                  <w:tcW w:w="516" w:type="dxa"/>
                  <w:tcBorders>
                    <w:top w:val="nil"/>
                  </w:tcBorders>
                  <w:vAlign w:val="top"/>
                </w:tcPr>
                <w:p w14:paraId="3A62B637">
                  <w:pPr>
                    <w:rPr>
                      <w:rFonts w:ascii="Arial"/>
                      <w:sz w:val="21"/>
                    </w:rPr>
                  </w:pPr>
                </w:p>
              </w:tc>
              <w:tc>
                <w:tcPr>
                  <w:tcW w:w="553" w:type="dxa"/>
                  <w:tcBorders>
                    <w:top w:val="nil"/>
                  </w:tcBorders>
                  <w:vAlign w:val="top"/>
                </w:tcPr>
                <w:p w14:paraId="36C907FD">
                  <w:pPr>
                    <w:rPr>
                      <w:rFonts w:ascii="Arial"/>
                      <w:sz w:val="21"/>
                    </w:rPr>
                  </w:pPr>
                </w:p>
              </w:tc>
              <w:tc>
                <w:tcPr>
                  <w:tcW w:w="1299" w:type="dxa"/>
                  <w:tcBorders>
                    <w:top w:val="nil"/>
                    <w:right w:val="nil"/>
                  </w:tcBorders>
                  <w:vAlign w:val="top"/>
                </w:tcPr>
                <w:p w14:paraId="3C56390F">
                  <w:pPr>
                    <w:pStyle w:val="6"/>
                    <w:spacing w:before="42" w:line="242" w:lineRule="auto"/>
                    <w:ind w:left="113" w:right="107"/>
                    <w:jc w:val="both"/>
                    <w:rPr>
                      <w:sz w:val="20"/>
                      <w:szCs w:val="20"/>
                    </w:rPr>
                  </w:pPr>
                  <w:r>
                    <w:rPr>
                      <w:spacing w:val="15"/>
                      <w:sz w:val="20"/>
                      <w:szCs w:val="20"/>
                    </w:rPr>
                    <w:t>废矿物油暂</w:t>
                  </w:r>
                  <w:r>
                    <w:rPr>
                      <w:sz w:val="20"/>
                      <w:szCs w:val="20"/>
                    </w:rPr>
                    <w:t xml:space="preserve"> </w:t>
                  </w:r>
                  <w:r>
                    <w:rPr>
                      <w:spacing w:val="5"/>
                      <w:sz w:val="20"/>
                      <w:szCs w:val="20"/>
                    </w:rPr>
                    <w:t>存区，</w:t>
                  </w:r>
                  <w:r>
                    <w:rPr>
                      <w:spacing w:val="-51"/>
                      <w:sz w:val="20"/>
                      <w:szCs w:val="20"/>
                    </w:rPr>
                    <w:t xml:space="preserve"> </w:t>
                  </w:r>
                  <w:r>
                    <w:rPr>
                      <w:spacing w:val="5"/>
                      <w:sz w:val="20"/>
                      <w:szCs w:val="20"/>
                    </w:rPr>
                    <w:t>由有</w:t>
                  </w:r>
                  <w:r>
                    <w:rPr>
                      <w:sz w:val="20"/>
                      <w:szCs w:val="20"/>
                    </w:rPr>
                    <w:t xml:space="preserve"> </w:t>
                  </w:r>
                  <w:r>
                    <w:rPr>
                      <w:spacing w:val="15"/>
                      <w:sz w:val="20"/>
                      <w:szCs w:val="20"/>
                    </w:rPr>
                    <w:t>资质单位处</w:t>
                  </w:r>
                  <w:r>
                    <w:rPr>
                      <w:sz w:val="20"/>
                      <w:szCs w:val="20"/>
                    </w:rPr>
                    <w:t xml:space="preserve"> </w:t>
                  </w:r>
                  <w:r>
                    <w:rPr>
                      <w:spacing w:val="1"/>
                      <w:sz w:val="20"/>
                      <w:szCs w:val="20"/>
                    </w:rPr>
                    <w:t>理</w:t>
                  </w:r>
                </w:p>
              </w:tc>
            </w:tr>
            <w:tr w14:paraId="67CC91E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0" w:hRule="atLeast"/>
              </w:trPr>
              <w:tc>
                <w:tcPr>
                  <w:tcW w:w="427" w:type="dxa"/>
                  <w:vMerge w:val="continue"/>
                  <w:tcBorders>
                    <w:top w:val="nil"/>
                    <w:left w:val="nil"/>
                    <w:bottom w:val="nil"/>
                  </w:tcBorders>
                  <w:vAlign w:val="top"/>
                </w:tcPr>
                <w:p w14:paraId="2BE87AE2">
                  <w:pPr>
                    <w:rPr>
                      <w:rFonts w:ascii="Arial"/>
                      <w:sz w:val="21"/>
                    </w:rPr>
                  </w:pPr>
                </w:p>
              </w:tc>
              <w:tc>
                <w:tcPr>
                  <w:tcW w:w="713" w:type="dxa"/>
                  <w:vAlign w:val="top"/>
                </w:tcPr>
                <w:p w14:paraId="526F6326">
                  <w:pPr>
                    <w:spacing w:line="259" w:lineRule="auto"/>
                    <w:rPr>
                      <w:rFonts w:ascii="Arial"/>
                      <w:sz w:val="21"/>
                    </w:rPr>
                  </w:pPr>
                </w:p>
                <w:p w14:paraId="1088CEBA">
                  <w:pPr>
                    <w:spacing w:line="259" w:lineRule="auto"/>
                    <w:rPr>
                      <w:rFonts w:ascii="Arial"/>
                      <w:sz w:val="21"/>
                    </w:rPr>
                  </w:pPr>
                </w:p>
                <w:p w14:paraId="56FFA7E4">
                  <w:pPr>
                    <w:spacing w:line="259" w:lineRule="auto"/>
                    <w:rPr>
                      <w:rFonts w:ascii="Arial"/>
                      <w:sz w:val="21"/>
                    </w:rPr>
                  </w:pPr>
                </w:p>
                <w:p w14:paraId="6B350CED">
                  <w:pPr>
                    <w:pStyle w:val="6"/>
                    <w:spacing w:before="65" w:line="239" w:lineRule="auto"/>
                    <w:ind w:left="117" w:right="183" w:hanging="1"/>
                    <w:rPr>
                      <w:sz w:val="20"/>
                      <w:szCs w:val="20"/>
                    </w:rPr>
                  </w:pPr>
                  <w:r>
                    <w:rPr>
                      <w:spacing w:val="3"/>
                      <w:sz w:val="20"/>
                      <w:szCs w:val="20"/>
                    </w:rPr>
                    <w:t>液压</w:t>
                  </w:r>
                  <w:r>
                    <w:rPr>
                      <w:sz w:val="20"/>
                      <w:szCs w:val="20"/>
                    </w:rPr>
                    <w:t xml:space="preserve"> </w:t>
                  </w:r>
                  <w:r>
                    <w:rPr>
                      <w:spacing w:val="3"/>
                      <w:sz w:val="20"/>
                      <w:szCs w:val="20"/>
                    </w:rPr>
                    <w:t>油管</w:t>
                  </w:r>
                </w:p>
              </w:tc>
              <w:tc>
                <w:tcPr>
                  <w:tcW w:w="644" w:type="dxa"/>
                  <w:vAlign w:val="top"/>
                </w:tcPr>
                <w:p w14:paraId="7CEC9C72">
                  <w:pPr>
                    <w:spacing w:line="315" w:lineRule="auto"/>
                    <w:rPr>
                      <w:rFonts w:ascii="Arial"/>
                      <w:sz w:val="21"/>
                    </w:rPr>
                  </w:pPr>
                </w:p>
                <w:p w14:paraId="09F2ECD1">
                  <w:pPr>
                    <w:spacing w:line="315" w:lineRule="auto"/>
                    <w:rPr>
                      <w:rFonts w:ascii="Arial"/>
                      <w:sz w:val="21"/>
                    </w:rPr>
                  </w:pPr>
                </w:p>
                <w:p w14:paraId="30525099">
                  <w:pPr>
                    <w:spacing w:line="316" w:lineRule="auto"/>
                    <w:rPr>
                      <w:rFonts w:ascii="Arial"/>
                      <w:sz w:val="21"/>
                    </w:rPr>
                  </w:pPr>
                </w:p>
                <w:p w14:paraId="36571429">
                  <w:pPr>
                    <w:pStyle w:val="6"/>
                    <w:spacing w:before="65" w:line="189" w:lineRule="auto"/>
                    <w:ind w:left="109"/>
                    <w:rPr>
                      <w:sz w:val="20"/>
                      <w:szCs w:val="20"/>
                    </w:rPr>
                  </w:pPr>
                  <w:r>
                    <w:rPr>
                      <w:sz w:val="20"/>
                      <w:szCs w:val="20"/>
                    </w:rPr>
                    <w:t>HW</w:t>
                  </w:r>
                  <w:r>
                    <w:rPr>
                      <w:spacing w:val="7"/>
                      <w:sz w:val="20"/>
                      <w:szCs w:val="20"/>
                    </w:rPr>
                    <w:t>08</w:t>
                  </w:r>
                </w:p>
              </w:tc>
              <w:tc>
                <w:tcPr>
                  <w:tcW w:w="865" w:type="dxa"/>
                  <w:vAlign w:val="top"/>
                </w:tcPr>
                <w:p w14:paraId="56D1E969">
                  <w:pPr>
                    <w:spacing w:line="270" w:lineRule="auto"/>
                    <w:rPr>
                      <w:rFonts w:ascii="Arial"/>
                      <w:sz w:val="21"/>
                    </w:rPr>
                  </w:pPr>
                </w:p>
                <w:p w14:paraId="00BAB6C1">
                  <w:pPr>
                    <w:spacing w:line="270" w:lineRule="auto"/>
                    <w:rPr>
                      <w:rFonts w:ascii="Arial"/>
                      <w:sz w:val="21"/>
                    </w:rPr>
                  </w:pPr>
                </w:p>
                <w:p w14:paraId="4A39C967">
                  <w:pPr>
                    <w:spacing w:line="270" w:lineRule="auto"/>
                    <w:rPr>
                      <w:rFonts w:ascii="Arial"/>
                      <w:sz w:val="21"/>
                    </w:rPr>
                  </w:pPr>
                </w:p>
                <w:p w14:paraId="0ADEEED4">
                  <w:pPr>
                    <w:pStyle w:val="6"/>
                    <w:spacing w:before="65" w:line="189" w:lineRule="auto"/>
                    <w:ind w:left="114"/>
                    <w:rPr>
                      <w:sz w:val="20"/>
                      <w:szCs w:val="20"/>
                    </w:rPr>
                  </w:pPr>
                  <w:r>
                    <w:rPr>
                      <w:spacing w:val="3"/>
                      <w:sz w:val="20"/>
                      <w:szCs w:val="20"/>
                    </w:rPr>
                    <w:t>900-24</w:t>
                  </w:r>
                </w:p>
                <w:p w14:paraId="318B5270">
                  <w:pPr>
                    <w:pStyle w:val="6"/>
                    <w:spacing w:before="66" w:line="189" w:lineRule="auto"/>
                    <w:ind w:left="114"/>
                    <w:rPr>
                      <w:sz w:val="20"/>
                      <w:szCs w:val="20"/>
                    </w:rPr>
                  </w:pPr>
                  <w:r>
                    <w:rPr>
                      <w:spacing w:val="3"/>
                      <w:sz w:val="20"/>
                      <w:szCs w:val="20"/>
                    </w:rPr>
                    <w:t>9-08</w:t>
                  </w:r>
                </w:p>
              </w:tc>
              <w:tc>
                <w:tcPr>
                  <w:tcW w:w="741" w:type="dxa"/>
                  <w:vAlign w:val="top"/>
                </w:tcPr>
                <w:p w14:paraId="3C1229AD">
                  <w:pPr>
                    <w:spacing w:line="315" w:lineRule="auto"/>
                    <w:rPr>
                      <w:rFonts w:ascii="Arial"/>
                      <w:sz w:val="21"/>
                    </w:rPr>
                  </w:pPr>
                </w:p>
                <w:p w14:paraId="4728506B">
                  <w:pPr>
                    <w:spacing w:line="315" w:lineRule="auto"/>
                    <w:rPr>
                      <w:rFonts w:ascii="Arial"/>
                      <w:sz w:val="21"/>
                    </w:rPr>
                  </w:pPr>
                </w:p>
                <w:p w14:paraId="362C3BDE">
                  <w:pPr>
                    <w:spacing w:line="316" w:lineRule="auto"/>
                    <w:rPr>
                      <w:rFonts w:ascii="Arial"/>
                      <w:sz w:val="21"/>
                    </w:rPr>
                  </w:pPr>
                </w:p>
                <w:p w14:paraId="440C7D9D">
                  <w:pPr>
                    <w:pStyle w:val="6"/>
                    <w:spacing w:before="65" w:line="189" w:lineRule="auto"/>
                    <w:ind w:left="167"/>
                    <w:rPr>
                      <w:sz w:val="20"/>
                      <w:szCs w:val="20"/>
                    </w:rPr>
                  </w:pPr>
                  <w:r>
                    <w:rPr>
                      <w:spacing w:val="2"/>
                      <w:sz w:val="20"/>
                      <w:szCs w:val="20"/>
                    </w:rPr>
                    <w:t>0.08</w:t>
                  </w:r>
                </w:p>
              </w:tc>
              <w:tc>
                <w:tcPr>
                  <w:tcW w:w="655" w:type="dxa"/>
                  <w:vMerge w:val="continue"/>
                  <w:tcBorders>
                    <w:top w:val="nil"/>
                    <w:bottom w:val="nil"/>
                  </w:tcBorders>
                  <w:vAlign w:val="top"/>
                </w:tcPr>
                <w:p w14:paraId="4BCF9531">
                  <w:pPr>
                    <w:rPr>
                      <w:rFonts w:ascii="Arial"/>
                      <w:sz w:val="21"/>
                    </w:rPr>
                  </w:pPr>
                </w:p>
              </w:tc>
              <w:tc>
                <w:tcPr>
                  <w:tcW w:w="489" w:type="dxa"/>
                  <w:textDirection w:val="tbRlV"/>
                  <w:vAlign w:val="top"/>
                </w:tcPr>
                <w:p w14:paraId="57AFE1A3">
                  <w:pPr>
                    <w:pStyle w:val="6"/>
                    <w:spacing w:before="170" w:line="216" w:lineRule="auto"/>
                    <w:ind w:left="847"/>
                    <w:rPr>
                      <w:sz w:val="20"/>
                      <w:szCs w:val="20"/>
                    </w:rPr>
                  </w:pPr>
                  <w:r>
                    <w:rPr>
                      <w:spacing w:val="8"/>
                      <w:sz w:val="20"/>
                      <w:szCs w:val="20"/>
                    </w:rPr>
                    <w:t>固</w:t>
                  </w:r>
                  <w:r>
                    <w:rPr>
                      <w:spacing w:val="-38"/>
                      <w:sz w:val="20"/>
                      <w:szCs w:val="20"/>
                    </w:rPr>
                    <w:t xml:space="preserve"> </w:t>
                  </w:r>
                  <w:r>
                    <w:rPr>
                      <w:spacing w:val="8"/>
                      <w:sz w:val="20"/>
                      <w:szCs w:val="20"/>
                    </w:rPr>
                    <w:t>态</w:t>
                  </w:r>
                </w:p>
              </w:tc>
              <w:tc>
                <w:tcPr>
                  <w:tcW w:w="658" w:type="dxa"/>
                  <w:vAlign w:val="top"/>
                </w:tcPr>
                <w:p w14:paraId="48AC0020">
                  <w:pPr>
                    <w:spacing w:line="259" w:lineRule="auto"/>
                    <w:rPr>
                      <w:rFonts w:ascii="Arial"/>
                      <w:sz w:val="21"/>
                    </w:rPr>
                  </w:pPr>
                </w:p>
                <w:p w14:paraId="764FCEEF">
                  <w:pPr>
                    <w:spacing w:line="259" w:lineRule="auto"/>
                    <w:rPr>
                      <w:rFonts w:ascii="Arial"/>
                      <w:sz w:val="21"/>
                    </w:rPr>
                  </w:pPr>
                </w:p>
                <w:p w14:paraId="5369E5D3">
                  <w:pPr>
                    <w:spacing w:line="259" w:lineRule="auto"/>
                    <w:rPr>
                      <w:rFonts w:ascii="Arial"/>
                      <w:sz w:val="21"/>
                    </w:rPr>
                  </w:pPr>
                </w:p>
                <w:p w14:paraId="436FAC02">
                  <w:pPr>
                    <w:pStyle w:val="6"/>
                    <w:spacing w:before="65" w:line="241" w:lineRule="auto"/>
                    <w:ind w:left="116" w:right="105" w:hanging="1"/>
                    <w:rPr>
                      <w:sz w:val="20"/>
                      <w:szCs w:val="20"/>
                    </w:rPr>
                  </w:pPr>
                  <w:r>
                    <w:rPr>
                      <w:spacing w:val="15"/>
                      <w:sz w:val="20"/>
                      <w:szCs w:val="20"/>
                    </w:rPr>
                    <w:t>液压</w:t>
                  </w:r>
                  <w:r>
                    <w:rPr>
                      <w:sz w:val="20"/>
                      <w:szCs w:val="20"/>
                    </w:rPr>
                    <w:t xml:space="preserve"> 油</w:t>
                  </w:r>
                </w:p>
              </w:tc>
              <w:tc>
                <w:tcPr>
                  <w:tcW w:w="658" w:type="dxa"/>
                  <w:vAlign w:val="top"/>
                </w:tcPr>
                <w:p w14:paraId="3757CA88">
                  <w:pPr>
                    <w:spacing w:line="259" w:lineRule="auto"/>
                    <w:rPr>
                      <w:rFonts w:ascii="Arial"/>
                      <w:sz w:val="21"/>
                    </w:rPr>
                  </w:pPr>
                </w:p>
                <w:p w14:paraId="553C4CD3">
                  <w:pPr>
                    <w:spacing w:line="259" w:lineRule="auto"/>
                    <w:rPr>
                      <w:rFonts w:ascii="Arial"/>
                      <w:sz w:val="21"/>
                    </w:rPr>
                  </w:pPr>
                </w:p>
                <w:p w14:paraId="167DD3A5">
                  <w:pPr>
                    <w:spacing w:line="259" w:lineRule="auto"/>
                    <w:rPr>
                      <w:rFonts w:ascii="Arial"/>
                      <w:sz w:val="21"/>
                    </w:rPr>
                  </w:pPr>
                </w:p>
                <w:p w14:paraId="4FE69A92">
                  <w:pPr>
                    <w:pStyle w:val="6"/>
                    <w:spacing w:before="65" w:line="241" w:lineRule="auto"/>
                    <w:ind w:left="116" w:right="105" w:hanging="1"/>
                    <w:rPr>
                      <w:sz w:val="20"/>
                      <w:szCs w:val="20"/>
                    </w:rPr>
                  </w:pPr>
                  <w:r>
                    <w:rPr>
                      <w:spacing w:val="15"/>
                      <w:sz w:val="20"/>
                      <w:szCs w:val="20"/>
                    </w:rPr>
                    <w:t>液压</w:t>
                  </w:r>
                  <w:r>
                    <w:rPr>
                      <w:sz w:val="20"/>
                      <w:szCs w:val="20"/>
                    </w:rPr>
                    <w:t xml:space="preserve"> 油</w:t>
                  </w:r>
                </w:p>
              </w:tc>
              <w:tc>
                <w:tcPr>
                  <w:tcW w:w="516" w:type="dxa"/>
                  <w:textDirection w:val="tbRlV"/>
                  <w:vAlign w:val="top"/>
                </w:tcPr>
                <w:p w14:paraId="2CCEBF3D">
                  <w:pPr>
                    <w:pStyle w:val="6"/>
                    <w:spacing w:before="151" w:line="219" w:lineRule="auto"/>
                    <w:ind w:left="847"/>
                    <w:rPr>
                      <w:sz w:val="20"/>
                      <w:szCs w:val="20"/>
                    </w:rPr>
                  </w:pPr>
                  <w:r>
                    <w:rPr>
                      <w:spacing w:val="8"/>
                      <w:position w:val="2"/>
                      <w:sz w:val="20"/>
                      <w:szCs w:val="20"/>
                    </w:rPr>
                    <w:t>连</w:t>
                  </w:r>
                  <w:r>
                    <w:rPr>
                      <w:spacing w:val="-38"/>
                      <w:position w:val="2"/>
                      <w:sz w:val="20"/>
                      <w:szCs w:val="20"/>
                    </w:rPr>
                    <w:t xml:space="preserve"> </w:t>
                  </w:r>
                  <w:r>
                    <w:rPr>
                      <w:spacing w:val="8"/>
                      <w:position w:val="-2"/>
                      <w:sz w:val="20"/>
                      <w:szCs w:val="20"/>
                    </w:rPr>
                    <w:t>续</w:t>
                  </w:r>
                </w:p>
              </w:tc>
              <w:tc>
                <w:tcPr>
                  <w:tcW w:w="553" w:type="dxa"/>
                  <w:vAlign w:val="top"/>
                </w:tcPr>
                <w:p w14:paraId="47EF5448">
                  <w:pPr>
                    <w:spacing w:line="304" w:lineRule="auto"/>
                    <w:rPr>
                      <w:rFonts w:ascii="Arial"/>
                      <w:sz w:val="21"/>
                    </w:rPr>
                  </w:pPr>
                </w:p>
                <w:p w14:paraId="4D745F3C">
                  <w:pPr>
                    <w:spacing w:line="304" w:lineRule="auto"/>
                    <w:rPr>
                      <w:rFonts w:ascii="Arial"/>
                      <w:sz w:val="21"/>
                    </w:rPr>
                  </w:pPr>
                </w:p>
                <w:p w14:paraId="1EC97EAC">
                  <w:pPr>
                    <w:spacing w:line="305" w:lineRule="auto"/>
                    <w:rPr>
                      <w:rFonts w:ascii="Arial"/>
                      <w:sz w:val="21"/>
                    </w:rPr>
                  </w:pPr>
                </w:p>
                <w:p w14:paraId="68DCD3EC">
                  <w:pPr>
                    <w:pStyle w:val="6"/>
                    <w:spacing w:before="65" w:line="264" w:lineRule="exact"/>
                    <w:ind w:left="113"/>
                    <w:rPr>
                      <w:sz w:val="20"/>
                      <w:szCs w:val="20"/>
                    </w:rPr>
                  </w:pPr>
                  <w:r>
                    <w:rPr>
                      <w:spacing w:val="-19"/>
                      <w:position w:val="1"/>
                      <w:sz w:val="20"/>
                      <w:szCs w:val="20"/>
                    </w:rPr>
                    <w:t>T、I</w:t>
                  </w:r>
                </w:p>
              </w:tc>
              <w:tc>
                <w:tcPr>
                  <w:tcW w:w="1299" w:type="dxa"/>
                  <w:tcBorders>
                    <w:right w:val="nil"/>
                  </w:tcBorders>
                  <w:vAlign w:val="top"/>
                </w:tcPr>
                <w:p w14:paraId="40629B56">
                  <w:pPr>
                    <w:pStyle w:val="6"/>
                    <w:spacing w:before="29" w:line="247" w:lineRule="auto"/>
                    <w:ind w:left="113" w:right="107" w:firstLine="3"/>
                    <w:jc w:val="both"/>
                    <w:rPr>
                      <w:sz w:val="20"/>
                      <w:szCs w:val="20"/>
                    </w:rPr>
                  </w:pPr>
                  <w:r>
                    <w:rPr>
                      <w:spacing w:val="14"/>
                      <w:sz w:val="20"/>
                      <w:szCs w:val="20"/>
                    </w:rPr>
                    <w:t>危险废物专</w:t>
                  </w:r>
                  <w:r>
                    <w:rPr>
                      <w:sz w:val="20"/>
                      <w:szCs w:val="20"/>
                    </w:rPr>
                    <w:t xml:space="preserve"> </w:t>
                  </w:r>
                  <w:r>
                    <w:rPr>
                      <w:spacing w:val="15"/>
                      <w:sz w:val="20"/>
                      <w:szCs w:val="20"/>
                    </w:rPr>
                    <w:t>用塑料收集</w:t>
                  </w:r>
                  <w:r>
                    <w:rPr>
                      <w:sz w:val="20"/>
                      <w:szCs w:val="20"/>
                    </w:rPr>
                    <w:t xml:space="preserve"> </w:t>
                  </w:r>
                  <w:r>
                    <w:rPr>
                      <w:spacing w:val="15"/>
                      <w:sz w:val="20"/>
                      <w:szCs w:val="20"/>
                    </w:rPr>
                    <w:t>桶，分类暂</w:t>
                  </w:r>
                  <w:r>
                    <w:rPr>
                      <w:sz w:val="20"/>
                      <w:szCs w:val="20"/>
                    </w:rPr>
                    <w:t xml:space="preserve"> </w:t>
                  </w:r>
                  <w:r>
                    <w:rPr>
                      <w:spacing w:val="2"/>
                      <w:sz w:val="20"/>
                      <w:szCs w:val="20"/>
                    </w:rPr>
                    <w:t>存于</w:t>
                  </w:r>
                  <w:r>
                    <w:rPr>
                      <w:spacing w:val="-41"/>
                      <w:sz w:val="20"/>
                      <w:szCs w:val="20"/>
                    </w:rPr>
                    <w:t xml:space="preserve"> </w:t>
                  </w:r>
                  <w:r>
                    <w:rPr>
                      <w:spacing w:val="2"/>
                      <w:sz w:val="20"/>
                      <w:szCs w:val="20"/>
                    </w:rPr>
                    <w:t>1#其他</w:t>
                  </w:r>
                  <w:r>
                    <w:rPr>
                      <w:sz w:val="20"/>
                      <w:szCs w:val="20"/>
                    </w:rPr>
                    <w:t xml:space="preserve"> </w:t>
                  </w:r>
                  <w:r>
                    <w:rPr>
                      <w:spacing w:val="15"/>
                      <w:sz w:val="20"/>
                      <w:szCs w:val="20"/>
                    </w:rPr>
                    <w:t>危险废物暂</w:t>
                  </w:r>
                  <w:r>
                    <w:rPr>
                      <w:sz w:val="20"/>
                      <w:szCs w:val="20"/>
                    </w:rPr>
                    <w:t xml:space="preserve"> </w:t>
                  </w:r>
                  <w:r>
                    <w:rPr>
                      <w:spacing w:val="5"/>
                      <w:sz w:val="20"/>
                      <w:szCs w:val="20"/>
                    </w:rPr>
                    <w:t>存区，</w:t>
                  </w:r>
                  <w:r>
                    <w:rPr>
                      <w:spacing w:val="-51"/>
                      <w:sz w:val="20"/>
                      <w:szCs w:val="20"/>
                    </w:rPr>
                    <w:t xml:space="preserve"> </w:t>
                  </w:r>
                  <w:r>
                    <w:rPr>
                      <w:spacing w:val="5"/>
                      <w:sz w:val="20"/>
                      <w:szCs w:val="20"/>
                    </w:rPr>
                    <w:t>由有</w:t>
                  </w:r>
                  <w:r>
                    <w:rPr>
                      <w:sz w:val="20"/>
                      <w:szCs w:val="20"/>
                    </w:rPr>
                    <w:t xml:space="preserve"> </w:t>
                  </w:r>
                  <w:r>
                    <w:rPr>
                      <w:spacing w:val="15"/>
                      <w:sz w:val="20"/>
                      <w:szCs w:val="20"/>
                    </w:rPr>
                    <w:t>资质单位处</w:t>
                  </w:r>
                  <w:r>
                    <w:rPr>
                      <w:sz w:val="20"/>
                      <w:szCs w:val="20"/>
                    </w:rPr>
                    <w:t xml:space="preserve"> </w:t>
                  </w:r>
                  <w:r>
                    <w:rPr>
                      <w:spacing w:val="1"/>
                      <w:sz w:val="20"/>
                      <w:szCs w:val="20"/>
                    </w:rPr>
                    <w:t>理</w:t>
                  </w:r>
                </w:p>
              </w:tc>
            </w:tr>
            <w:tr w14:paraId="3AC736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51" w:hRule="atLeast"/>
              </w:trPr>
              <w:tc>
                <w:tcPr>
                  <w:tcW w:w="427" w:type="dxa"/>
                  <w:vMerge w:val="continue"/>
                  <w:tcBorders>
                    <w:top w:val="nil"/>
                    <w:left w:val="nil"/>
                  </w:tcBorders>
                  <w:vAlign w:val="top"/>
                </w:tcPr>
                <w:p w14:paraId="5E6E7D8F">
                  <w:pPr>
                    <w:rPr>
                      <w:rFonts w:ascii="Arial"/>
                      <w:sz w:val="21"/>
                    </w:rPr>
                  </w:pPr>
                </w:p>
              </w:tc>
              <w:tc>
                <w:tcPr>
                  <w:tcW w:w="713" w:type="dxa"/>
                  <w:vAlign w:val="top"/>
                </w:tcPr>
                <w:p w14:paraId="24E97496">
                  <w:pPr>
                    <w:spacing w:line="304" w:lineRule="auto"/>
                    <w:rPr>
                      <w:rFonts w:ascii="Arial"/>
                      <w:sz w:val="21"/>
                    </w:rPr>
                  </w:pPr>
                </w:p>
                <w:p w14:paraId="68741033">
                  <w:pPr>
                    <w:spacing w:line="305" w:lineRule="auto"/>
                    <w:rPr>
                      <w:rFonts w:ascii="Arial"/>
                      <w:sz w:val="21"/>
                    </w:rPr>
                  </w:pPr>
                </w:p>
                <w:p w14:paraId="1DCB3B1C">
                  <w:pPr>
                    <w:spacing w:line="305" w:lineRule="auto"/>
                    <w:rPr>
                      <w:rFonts w:ascii="Arial"/>
                      <w:sz w:val="21"/>
                    </w:rPr>
                  </w:pPr>
                </w:p>
                <w:p w14:paraId="35B5BC8C">
                  <w:pPr>
                    <w:pStyle w:val="6"/>
                    <w:spacing w:before="65" w:line="241" w:lineRule="auto"/>
                    <w:ind w:left="114" w:right="183"/>
                    <w:rPr>
                      <w:sz w:val="20"/>
                      <w:szCs w:val="20"/>
                    </w:rPr>
                  </w:pPr>
                  <w:r>
                    <w:rPr>
                      <w:spacing w:val="4"/>
                      <w:sz w:val="20"/>
                      <w:szCs w:val="20"/>
                    </w:rPr>
                    <w:t>催化</w:t>
                  </w:r>
                  <w:r>
                    <w:rPr>
                      <w:sz w:val="20"/>
                      <w:szCs w:val="20"/>
                    </w:rPr>
                    <w:t xml:space="preserve"> 器</w:t>
                  </w:r>
                </w:p>
              </w:tc>
              <w:tc>
                <w:tcPr>
                  <w:tcW w:w="644" w:type="dxa"/>
                  <w:vAlign w:val="top"/>
                </w:tcPr>
                <w:p w14:paraId="6CAD9B21">
                  <w:pPr>
                    <w:spacing w:line="270" w:lineRule="auto"/>
                    <w:rPr>
                      <w:rFonts w:ascii="Arial"/>
                      <w:sz w:val="21"/>
                    </w:rPr>
                  </w:pPr>
                </w:p>
                <w:p w14:paraId="2450AF50">
                  <w:pPr>
                    <w:spacing w:line="270" w:lineRule="auto"/>
                    <w:rPr>
                      <w:rFonts w:ascii="Arial"/>
                      <w:sz w:val="21"/>
                    </w:rPr>
                  </w:pPr>
                </w:p>
                <w:p w14:paraId="1ED072FB">
                  <w:pPr>
                    <w:spacing w:line="271" w:lineRule="auto"/>
                    <w:rPr>
                      <w:rFonts w:ascii="Arial"/>
                      <w:sz w:val="21"/>
                    </w:rPr>
                  </w:pPr>
                </w:p>
                <w:p w14:paraId="71301071">
                  <w:pPr>
                    <w:spacing w:line="271" w:lineRule="auto"/>
                    <w:rPr>
                      <w:rFonts w:ascii="Arial"/>
                      <w:sz w:val="21"/>
                    </w:rPr>
                  </w:pPr>
                </w:p>
                <w:p w14:paraId="0E5B4547">
                  <w:pPr>
                    <w:pStyle w:val="6"/>
                    <w:spacing w:before="65" w:line="189" w:lineRule="auto"/>
                    <w:ind w:left="109"/>
                    <w:rPr>
                      <w:sz w:val="20"/>
                      <w:szCs w:val="20"/>
                    </w:rPr>
                  </w:pPr>
                  <w:r>
                    <w:rPr>
                      <w:sz w:val="20"/>
                      <w:szCs w:val="20"/>
                    </w:rPr>
                    <w:t>HW</w:t>
                  </w:r>
                  <w:r>
                    <w:rPr>
                      <w:spacing w:val="7"/>
                      <w:sz w:val="20"/>
                      <w:szCs w:val="20"/>
                    </w:rPr>
                    <w:t>50</w:t>
                  </w:r>
                </w:p>
              </w:tc>
              <w:tc>
                <w:tcPr>
                  <w:tcW w:w="865" w:type="dxa"/>
                  <w:vAlign w:val="top"/>
                </w:tcPr>
                <w:p w14:paraId="568B86AE">
                  <w:pPr>
                    <w:spacing w:line="315" w:lineRule="auto"/>
                    <w:rPr>
                      <w:rFonts w:ascii="Arial"/>
                      <w:sz w:val="21"/>
                    </w:rPr>
                  </w:pPr>
                </w:p>
                <w:p w14:paraId="14BD8105">
                  <w:pPr>
                    <w:spacing w:line="315" w:lineRule="auto"/>
                    <w:rPr>
                      <w:rFonts w:ascii="Arial"/>
                      <w:sz w:val="21"/>
                    </w:rPr>
                  </w:pPr>
                </w:p>
                <w:p w14:paraId="63DAD489">
                  <w:pPr>
                    <w:spacing w:line="316" w:lineRule="auto"/>
                    <w:rPr>
                      <w:rFonts w:ascii="Arial"/>
                      <w:sz w:val="21"/>
                    </w:rPr>
                  </w:pPr>
                </w:p>
                <w:p w14:paraId="356EEF32">
                  <w:pPr>
                    <w:pStyle w:val="6"/>
                    <w:spacing w:before="65" w:line="189" w:lineRule="auto"/>
                    <w:ind w:left="114"/>
                    <w:rPr>
                      <w:sz w:val="20"/>
                      <w:szCs w:val="20"/>
                    </w:rPr>
                  </w:pPr>
                  <w:r>
                    <w:rPr>
                      <w:spacing w:val="3"/>
                      <w:sz w:val="20"/>
                      <w:szCs w:val="20"/>
                    </w:rPr>
                    <w:t>900-04</w:t>
                  </w:r>
                </w:p>
                <w:p w14:paraId="018026D9">
                  <w:pPr>
                    <w:pStyle w:val="6"/>
                    <w:spacing w:before="66" w:line="189" w:lineRule="auto"/>
                    <w:ind w:left="114"/>
                    <w:rPr>
                      <w:sz w:val="20"/>
                      <w:szCs w:val="20"/>
                    </w:rPr>
                  </w:pPr>
                  <w:r>
                    <w:rPr>
                      <w:spacing w:val="3"/>
                      <w:sz w:val="20"/>
                      <w:szCs w:val="20"/>
                    </w:rPr>
                    <w:t>9-50</w:t>
                  </w:r>
                </w:p>
              </w:tc>
              <w:tc>
                <w:tcPr>
                  <w:tcW w:w="741" w:type="dxa"/>
                  <w:vAlign w:val="top"/>
                </w:tcPr>
                <w:p w14:paraId="438F5792">
                  <w:pPr>
                    <w:spacing w:line="270" w:lineRule="auto"/>
                    <w:rPr>
                      <w:rFonts w:ascii="Arial"/>
                      <w:sz w:val="21"/>
                    </w:rPr>
                  </w:pPr>
                </w:p>
                <w:p w14:paraId="14CB0A8A">
                  <w:pPr>
                    <w:spacing w:line="270" w:lineRule="auto"/>
                    <w:rPr>
                      <w:rFonts w:ascii="Arial"/>
                      <w:sz w:val="21"/>
                    </w:rPr>
                  </w:pPr>
                </w:p>
                <w:p w14:paraId="59071ACA">
                  <w:pPr>
                    <w:spacing w:line="271" w:lineRule="auto"/>
                    <w:rPr>
                      <w:rFonts w:ascii="Arial"/>
                      <w:sz w:val="21"/>
                    </w:rPr>
                  </w:pPr>
                </w:p>
                <w:p w14:paraId="29F05059">
                  <w:pPr>
                    <w:spacing w:line="271" w:lineRule="auto"/>
                    <w:rPr>
                      <w:rFonts w:ascii="Arial"/>
                      <w:sz w:val="21"/>
                    </w:rPr>
                  </w:pPr>
                </w:p>
                <w:p w14:paraId="36F397AB">
                  <w:pPr>
                    <w:pStyle w:val="6"/>
                    <w:spacing w:before="65" w:line="189" w:lineRule="auto"/>
                    <w:ind w:left="114"/>
                    <w:rPr>
                      <w:sz w:val="20"/>
                      <w:szCs w:val="20"/>
                    </w:rPr>
                  </w:pPr>
                  <w:r>
                    <w:rPr>
                      <w:spacing w:val="2"/>
                      <w:sz w:val="20"/>
                      <w:szCs w:val="20"/>
                    </w:rPr>
                    <w:t>0.08</w:t>
                  </w:r>
                </w:p>
              </w:tc>
              <w:tc>
                <w:tcPr>
                  <w:tcW w:w="655" w:type="dxa"/>
                  <w:vMerge w:val="continue"/>
                  <w:tcBorders>
                    <w:top w:val="nil"/>
                  </w:tcBorders>
                  <w:vAlign w:val="top"/>
                </w:tcPr>
                <w:p w14:paraId="49C81F2B">
                  <w:pPr>
                    <w:rPr>
                      <w:rFonts w:ascii="Arial"/>
                      <w:sz w:val="21"/>
                    </w:rPr>
                  </w:pPr>
                </w:p>
              </w:tc>
              <w:tc>
                <w:tcPr>
                  <w:tcW w:w="489" w:type="dxa"/>
                  <w:textDirection w:val="tbRlV"/>
                  <w:vAlign w:val="top"/>
                </w:tcPr>
                <w:p w14:paraId="53230F1D">
                  <w:pPr>
                    <w:pStyle w:val="6"/>
                    <w:spacing w:before="170" w:line="216" w:lineRule="auto"/>
                    <w:ind w:left="984"/>
                    <w:rPr>
                      <w:sz w:val="20"/>
                      <w:szCs w:val="20"/>
                    </w:rPr>
                  </w:pPr>
                  <w:r>
                    <w:rPr>
                      <w:spacing w:val="8"/>
                      <w:sz w:val="20"/>
                      <w:szCs w:val="20"/>
                    </w:rPr>
                    <w:t>固</w:t>
                  </w:r>
                  <w:r>
                    <w:rPr>
                      <w:spacing w:val="-38"/>
                      <w:sz w:val="20"/>
                      <w:szCs w:val="20"/>
                    </w:rPr>
                    <w:t xml:space="preserve"> </w:t>
                  </w:r>
                  <w:r>
                    <w:rPr>
                      <w:spacing w:val="8"/>
                      <w:sz w:val="20"/>
                      <w:szCs w:val="20"/>
                    </w:rPr>
                    <w:t>态</w:t>
                  </w:r>
                </w:p>
              </w:tc>
              <w:tc>
                <w:tcPr>
                  <w:tcW w:w="658" w:type="dxa"/>
                  <w:vAlign w:val="top"/>
                </w:tcPr>
                <w:p w14:paraId="7E545E94">
                  <w:pPr>
                    <w:pStyle w:val="6"/>
                    <w:spacing w:before="32" w:line="247" w:lineRule="auto"/>
                    <w:ind w:left="114" w:right="105"/>
                    <w:rPr>
                      <w:sz w:val="20"/>
                      <w:szCs w:val="20"/>
                    </w:rPr>
                  </w:pPr>
                  <w:r>
                    <w:rPr>
                      <w:spacing w:val="16"/>
                      <w:sz w:val="20"/>
                      <w:szCs w:val="20"/>
                    </w:rPr>
                    <w:t>铅等</w:t>
                  </w:r>
                  <w:r>
                    <w:rPr>
                      <w:sz w:val="20"/>
                      <w:szCs w:val="20"/>
                    </w:rPr>
                    <w:t xml:space="preserve"> </w:t>
                  </w:r>
                  <w:r>
                    <w:rPr>
                      <w:spacing w:val="16"/>
                      <w:sz w:val="20"/>
                      <w:szCs w:val="20"/>
                    </w:rPr>
                    <w:t>重金</w:t>
                  </w:r>
                  <w:r>
                    <w:rPr>
                      <w:sz w:val="20"/>
                      <w:szCs w:val="20"/>
                    </w:rPr>
                    <w:t xml:space="preserve"> </w:t>
                  </w:r>
                  <w:r>
                    <w:rPr>
                      <w:spacing w:val="-7"/>
                      <w:sz w:val="20"/>
                      <w:szCs w:val="20"/>
                    </w:rPr>
                    <w:t>属</w:t>
                  </w:r>
                  <w:r>
                    <w:rPr>
                      <w:spacing w:val="-54"/>
                      <w:sz w:val="20"/>
                      <w:szCs w:val="20"/>
                    </w:rPr>
                    <w:t xml:space="preserve"> </w:t>
                  </w:r>
                  <w:r>
                    <w:rPr>
                      <w:spacing w:val="-7"/>
                      <w:sz w:val="20"/>
                      <w:szCs w:val="20"/>
                    </w:rPr>
                    <w:t>、</w:t>
                  </w:r>
                  <w:r>
                    <w:rPr>
                      <w:sz w:val="20"/>
                      <w:szCs w:val="20"/>
                    </w:rPr>
                    <w:t xml:space="preserve"> </w:t>
                  </w:r>
                  <w:r>
                    <w:rPr>
                      <w:spacing w:val="16"/>
                      <w:sz w:val="20"/>
                      <w:szCs w:val="20"/>
                    </w:rPr>
                    <w:t>有机</w:t>
                  </w:r>
                  <w:r>
                    <w:rPr>
                      <w:sz w:val="20"/>
                      <w:szCs w:val="20"/>
                    </w:rPr>
                    <w:t xml:space="preserve"> </w:t>
                  </w:r>
                  <w:r>
                    <w:rPr>
                      <w:spacing w:val="16"/>
                      <w:sz w:val="20"/>
                      <w:szCs w:val="20"/>
                    </w:rPr>
                    <w:t>污染</w:t>
                  </w:r>
                  <w:r>
                    <w:rPr>
                      <w:sz w:val="20"/>
                      <w:szCs w:val="20"/>
                    </w:rPr>
                    <w:t xml:space="preserve"> </w:t>
                  </w:r>
                  <w:r>
                    <w:rPr>
                      <w:spacing w:val="-7"/>
                      <w:sz w:val="20"/>
                      <w:szCs w:val="20"/>
                    </w:rPr>
                    <w:t>物</w:t>
                  </w:r>
                  <w:r>
                    <w:rPr>
                      <w:spacing w:val="-54"/>
                      <w:sz w:val="20"/>
                      <w:szCs w:val="20"/>
                    </w:rPr>
                    <w:t xml:space="preserve"> </w:t>
                  </w:r>
                  <w:r>
                    <w:rPr>
                      <w:spacing w:val="-7"/>
                      <w:sz w:val="20"/>
                      <w:szCs w:val="20"/>
                    </w:rPr>
                    <w:t>、</w:t>
                  </w:r>
                  <w:r>
                    <w:rPr>
                      <w:sz w:val="20"/>
                      <w:szCs w:val="20"/>
                    </w:rPr>
                    <w:t xml:space="preserve"> </w:t>
                  </w:r>
                  <w:r>
                    <w:rPr>
                      <w:spacing w:val="16"/>
                      <w:sz w:val="20"/>
                      <w:szCs w:val="20"/>
                    </w:rPr>
                    <w:t>石棉</w:t>
                  </w:r>
                  <w:r>
                    <w:rPr>
                      <w:sz w:val="20"/>
                      <w:szCs w:val="20"/>
                    </w:rPr>
                    <w:t xml:space="preserve"> </w:t>
                  </w:r>
                  <w:r>
                    <w:rPr>
                      <w:spacing w:val="16"/>
                      <w:sz w:val="20"/>
                      <w:szCs w:val="20"/>
                    </w:rPr>
                    <w:t>纤维</w:t>
                  </w:r>
                  <w:r>
                    <w:rPr>
                      <w:sz w:val="20"/>
                      <w:szCs w:val="20"/>
                    </w:rPr>
                    <w:t xml:space="preserve"> </w:t>
                  </w:r>
                  <w:r>
                    <w:rPr>
                      <w:spacing w:val="4"/>
                      <w:sz w:val="20"/>
                      <w:szCs w:val="20"/>
                    </w:rPr>
                    <w:t>毡等</w:t>
                  </w:r>
                </w:p>
              </w:tc>
              <w:tc>
                <w:tcPr>
                  <w:tcW w:w="658" w:type="dxa"/>
                  <w:vAlign w:val="top"/>
                </w:tcPr>
                <w:p w14:paraId="7F677284">
                  <w:pPr>
                    <w:pStyle w:val="6"/>
                    <w:spacing w:before="32" w:line="247" w:lineRule="auto"/>
                    <w:ind w:left="113" w:right="105"/>
                    <w:rPr>
                      <w:sz w:val="20"/>
                      <w:szCs w:val="20"/>
                    </w:rPr>
                  </w:pPr>
                  <w:r>
                    <w:rPr>
                      <w:spacing w:val="16"/>
                      <w:sz w:val="20"/>
                      <w:szCs w:val="20"/>
                    </w:rPr>
                    <w:t>铅等</w:t>
                  </w:r>
                  <w:r>
                    <w:rPr>
                      <w:sz w:val="20"/>
                      <w:szCs w:val="20"/>
                    </w:rPr>
                    <w:t xml:space="preserve"> </w:t>
                  </w:r>
                  <w:r>
                    <w:rPr>
                      <w:spacing w:val="16"/>
                      <w:sz w:val="20"/>
                      <w:szCs w:val="20"/>
                    </w:rPr>
                    <w:t>重金</w:t>
                  </w:r>
                  <w:r>
                    <w:rPr>
                      <w:sz w:val="20"/>
                      <w:szCs w:val="20"/>
                    </w:rPr>
                    <w:t xml:space="preserve"> </w:t>
                  </w:r>
                  <w:r>
                    <w:rPr>
                      <w:spacing w:val="-7"/>
                      <w:sz w:val="20"/>
                      <w:szCs w:val="20"/>
                    </w:rPr>
                    <w:t>属</w:t>
                  </w:r>
                  <w:r>
                    <w:rPr>
                      <w:spacing w:val="-54"/>
                      <w:sz w:val="20"/>
                      <w:szCs w:val="20"/>
                    </w:rPr>
                    <w:t xml:space="preserve"> </w:t>
                  </w:r>
                  <w:r>
                    <w:rPr>
                      <w:spacing w:val="-7"/>
                      <w:sz w:val="20"/>
                      <w:szCs w:val="20"/>
                    </w:rPr>
                    <w:t>、</w:t>
                  </w:r>
                  <w:r>
                    <w:rPr>
                      <w:sz w:val="20"/>
                      <w:szCs w:val="20"/>
                    </w:rPr>
                    <w:t xml:space="preserve"> </w:t>
                  </w:r>
                  <w:r>
                    <w:rPr>
                      <w:spacing w:val="16"/>
                      <w:sz w:val="20"/>
                      <w:szCs w:val="20"/>
                    </w:rPr>
                    <w:t>有机</w:t>
                  </w:r>
                  <w:r>
                    <w:rPr>
                      <w:sz w:val="20"/>
                      <w:szCs w:val="20"/>
                    </w:rPr>
                    <w:t xml:space="preserve"> </w:t>
                  </w:r>
                  <w:r>
                    <w:rPr>
                      <w:spacing w:val="16"/>
                      <w:sz w:val="20"/>
                      <w:szCs w:val="20"/>
                    </w:rPr>
                    <w:t>污染</w:t>
                  </w:r>
                  <w:r>
                    <w:rPr>
                      <w:sz w:val="20"/>
                      <w:szCs w:val="20"/>
                    </w:rPr>
                    <w:t xml:space="preserve"> </w:t>
                  </w:r>
                  <w:r>
                    <w:rPr>
                      <w:spacing w:val="-7"/>
                      <w:sz w:val="20"/>
                      <w:szCs w:val="20"/>
                    </w:rPr>
                    <w:t>物</w:t>
                  </w:r>
                  <w:r>
                    <w:rPr>
                      <w:spacing w:val="-54"/>
                      <w:sz w:val="20"/>
                      <w:szCs w:val="20"/>
                    </w:rPr>
                    <w:t xml:space="preserve"> </w:t>
                  </w:r>
                  <w:r>
                    <w:rPr>
                      <w:spacing w:val="-7"/>
                      <w:sz w:val="20"/>
                      <w:szCs w:val="20"/>
                    </w:rPr>
                    <w:t>、</w:t>
                  </w:r>
                  <w:r>
                    <w:rPr>
                      <w:sz w:val="20"/>
                      <w:szCs w:val="20"/>
                    </w:rPr>
                    <w:t xml:space="preserve"> </w:t>
                  </w:r>
                  <w:r>
                    <w:rPr>
                      <w:spacing w:val="16"/>
                      <w:sz w:val="20"/>
                      <w:szCs w:val="20"/>
                    </w:rPr>
                    <w:t>石棉</w:t>
                  </w:r>
                  <w:r>
                    <w:rPr>
                      <w:sz w:val="20"/>
                      <w:szCs w:val="20"/>
                    </w:rPr>
                    <w:t xml:space="preserve"> </w:t>
                  </w:r>
                  <w:r>
                    <w:rPr>
                      <w:spacing w:val="16"/>
                      <w:sz w:val="20"/>
                      <w:szCs w:val="20"/>
                    </w:rPr>
                    <w:t>纤维</w:t>
                  </w:r>
                  <w:r>
                    <w:rPr>
                      <w:sz w:val="20"/>
                      <w:szCs w:val="20"/>
                    </w:rPr>
                    <w:t xml:space="preserve"> </w:t>
                  </w:r>
                  <w:r>
                    <w:rPr>
                      <w:spacing w:val="4"/>
                      <w:sz w:val="20"/>
                      <w:szCs w:val="20"/>
                    </w:rPr>
                    <w:t>毡等</w:t>
                  </w:r>
                </w:p>
              </w:tc>
              <w:tc>
                <w:tcPr>
                  <w:tcW w:w="516" w:type="dxa"/>
                  <w:textDirection w:val="tbRlV"/>
                  <w:vAlign w:val="top"/>
                </w:tcPr>
                <w:p w14:paraId="4A3DF153">
                  <w:pPr>
                    <w:pStyle w:val="6"/>
                    <w:spacing w:before="196" w:line="216" w:lineRule="auto"/>
                    <w:ind w:left="984"/>
                    <w:rPr>
                      <w:sz w:val="20"/>
                      <w:szCs w:val="20"/>
                    </w:rPr>
                  </w:pPr>
                  <w:r>
                    <w:rPr>
                      <w:spacing w:val="8"/>
                      <w:sz w:val="20"/>
                      <w:szCs w:val="20"/>
                    </w:rPr>
                    <w:t>连</w:t>
                  </w:r>
                  <w:r>
                    <w:rPr>
                      <w:spacing w:val="-38"/>
                      <w:sz w:val="20"/>
                      <w:szCs w:val="20"/>
                    </w:rPr>
                    <w:t xml:space="preserve"> </w:t>
                  </w:r>
                  <w:r>
                    <w:rPr>
                      <w:spacing w:val="8"/>
                      <w:sz w:val="20"/>
                      <w:szCs w:val="20"/>
                    </w:rPr>
                    <w:t>续</w:t>
                  </w:r>
                </w:p>
              </w:tc>
              <w:tc>
                <w:tcPr>
                  <w:tcW w:w="553" w:type="dxa"/>
                  <w:vAlign w:val="top"/>
                </w:tcPr>
                <w:p w14:paraId="21655D66">
                  <w:pPr>
                    <w:spacing w:line="271" w:lineRule="auto"/>
                    <w:rPr>
                      <w:rFonts w:ascii="Arial"/>
                      <w:sz w:val="21"/>
                    </w:rPr>
                  </w:pPr>
                </w:p>
                <w:p w14:paraId="25B79425">
                  <w:pPr>
                    <w:spacing w:line="271" w:lineRule="auto"/>
                    <w:rPr>
                      <w:rFonts w:ascii="Arial"/>
                      <w:sz w:val="21"/>
                    </w:rPr>
                  </w:pPr>
                </w:p>
                <w:p w14:paraId="32F72572">
                  <w:pPr>
                    <w:spacing w:line="271" w:lineRule="auto"/>
                    <w:rPr>
                      <w:rFonts w:ascii="Arial"/>
                      <w:sz w:val="21"/>
                    </w:rPr>
                  </w:pPr>
                </w:p>
                <w:p w14:paraId="1A8BAF72">
                  <w:pPr>
                    <w:spacing w:line="271" w:lineRule="auto"/>
                    <w:rPr>
                      <w:rFonts w:ascii="Arial"/>
                      <w:sz w:val="21"/>
                    </w:rPr>
                  </w:pPr>
                </w:p>
                <w:p w14:paraId="275BD43D">
                  <w:pPr>
                    <w:pStyle w:val="6"/>
                    <w:spacing w:before="65" w:line="187" w:lineRule="auto"/>
                    <w:ind w:left="113"/>
                    <w:rPr>
                      <w:sz w:val="20"/>
                      <w:szCs w:val="20"/>
                    </w:rPr>
                  </w:pPr>
                  <w:r>
                    <w:rPr>
                      <w:sz w:val="20"/>
                      <w:szCs w:val="20"/>
                    </w:rPr>
                    <w:t>T</w:t>
                  </w:r>
                </w:p>
              </w:tc>
              <w:tc>
                <w:tcPr>
                  <w:tcW w:w="1299" w:type="dxa"/>
                  <w:tcBorders>
                    <w:right w:val="nil"/>
                  </w:tcBorders>
                  <w:vAlign w:val="top"/>
                </w:tcPr>
                <w:p w14:paraId="20AA8852">
                  <w:pPr>
                    <w:pStyle w:val="6"/>
                    <w:spacing w:before="172" w:line="249" w:lineRule="auto"/>
                    <w:ind w:left="113" w:right="107" w:firstLine="3"/>
                    <w:jc w:val="both"/>
                    <w:rPr>
                      <w:sz w:val="20"/>
                      <w:szCs w:val="20"/>
                    </w:rPr>
                  </w:pPr>
                  <w:r>
                    <w:rPr>
                      <w:spacing w:val="14"/>
                      <w:sz w:val="20"/>
                      <w:szCs w:val="20"/>
                    </w:rPr>
                    <w:t>危险废物专</w:t>
                  </w:r>
                  <w:r>
                    <w:rPr>
                      <w:sz w:val="20"/>
                      <w:szCs w:val="20"/>
                    </w:rPr>
                    <w:t xml:space="preserve"> </w:t>
                  </w:r>
                  <w:r>
                    <w:rPr>
                      <w:spacing w:val="15"/>
                      <w:sz w:val="20"/>
                      <w:szCs w:val="20"/>
                    </w:rPr>
                    <w:t>用塑料收集</w:t>
                  </w:r>
                  <w:r>
                    <w:rPr>
                      <w:sz w:val="20"/>
                      <w:szCs w:val="20"/>
                    </w:rPr>
                    <w:t xml:space="preserve"> </w:t>
                  </w:r>
                  <w:r>
                    <w:rPr>
                      <w:spacing w:val="15"/>
                      <w:sz w:val="20"/>
                      <w:szCs w:val="20"/>
                    </w:rPr>
                    <w:t>桶，分类暂</w:t>
                  </w:r>
                  <w:r>
                    <w:rPr>
                      <w:sz w:val="20"/>
                      <w:szCs w:val="20"/>
                    </w:rPr>
                    <w:t xml:space="preserve"> </w:t>
                  </w:r>
                  <w:r>
                    <w:rPr>
                      <w:spacing w:val="2"/>
                      <w:sz w:val="20"/>
                      <w:szCs w:val="20"/>
                    </w:rPr>
                    <w:t>存于</w:t>
                  </w:r>
                  <w:r>
                    <w:rPr>
                      <w:spacing w:val="-41"/>
                      <w:sz w:val="20"/>
                      <w:szCs w:val="20"/>
                    </w:rPr>
                    <w:t xml:space="preserve"> </w:t>
                  </w:r>
                  <w:r>
                    <w:rPr>
                      <w:spacing w:val="2"/>
                      <w:sz w:val="20"/>
                      <w:szCs w:val="20"/>
                    </w:rPr>
                    <w:t>1#其他</w:t>
                  </w:r>
                  <w:r>
                    <w:rPr>
                      <w:sz w:val="20"/>
                      <w:szCs w:val="20"/>
                    </w:rPr>
                    <w:t xml:space="preserve"> </w:t>
                  </w:r>
                  <w:r>
                    <w:rPr>
                      <w:spacing w:val="15"/>
                      <w:sz w:val="20"/>
                      <w:szCs w:val="20"/>
                    </w:rPr>
                    <w:t>危险废物暂</w:t>
                  </w:r>
                  <w:r>
                    <w:rPr>
                      <w:sz w:val="20"/>
                      <w:szCs w:val="20"/>
                    </w:rPr>
                    <w:t xml:space="preserve"> </w:t>
                  </w:r>
                  <w:r>
                    <w:rPr>
                      <w:spacing w:val="5"/>
                      <w:sz w:val="20"/>
                      <w:szCs w:val="20"/>
                    </w:rPr>
                    <w:t>存区，</w:t>
                  </w:r>
                  <w:r>
                    <w:rPr>
                      <w:spacing w:val="-51"/>
                      <w:sz w:val="20"/>
                      <w:szCs w:val="20"/>
                    </w:rPr>
                    <w:t xml:space="preserve"> </w:t>
                  </w:r>
                  <w:r>
                    <w:rPr>
                      <w:spacing w:val="5"/>
                      <w:sz w:val="20"/>
                      <w:szCs w:val="20"/>
                    </w:rPr>
                    <w:t>由有</w:t>
                  </w:r>
                  <w:r>
                    <w:rPr>
                      <w:sz w:val="20"/>
                      <w:szCs w:val="20"/>
                    </w:rPr>
                    <w:t xml:space="preserve"> </w:t>
                  </w:r>
                  <w:r>
                    <w:rPr>
                      <w:spacing w:val="15"/>
                      <w:sz w:val="20"/>
                      <w:szCs w:val="20"/>
                    </w:rPr>
                    <w:t>资质单位处</w:t>
                  </w:r>
                  <w:r>
                    <w:rPr>
                      <w:sz w:val="20"/>
                      <w:szCs w:val="20"/>
                    </w:rPr>
                    <w:t xml:space="preserve"> </w:t>
                  </w:r>
                  <w:r>
                    <w:rPr>
                      <w:spacing w:val="1"/>
                      <w:sz w:val="20"/>
                      <w:szCs w:val="20"/>
                    </w:rPr>
                    <w:t>理</w:t>
                  </w:r>
                </w:p>
              </w:tc>
            </w:tr>
            <w:tr w14:paraId="3547C3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0" w:hRule="atLeast"/>
              </w:trPr>
              <w:tc>
                <w:tcPr>
                  <w:tcW w:w="427" w:type="dxa"/>
                  <w:tcBorders>
                    <w:left w:val="nil"/>
                  </w:tcBorders>
                  <w:textDirection w:val="tbRlV"/>
                  <w:vAlign w:val="top"/>
                </w:tcPr>
                <w:p w14:paraId="7802F8F2">
                  <w:pPr>
                    <w:pStyle w:val="6"/>
                    <w:spacing w:before="106" w:line="217" w:lineRule="auto"/>
                    <w:ind w:left="577"/>
                    <w:rPr>
                      <w:sz w:val="20"/>
                      <w:szCs w:val="20"/>
                    </w:rPr>
                  </w:pPr>
                  <w:r>
                    <w:rPr>
                      <w:spacing w:val="8"/>
                      <w:sz w:val="20"/>
                      <w:szCs w:val="20"/>
                    </w:rPr>
                    <w:t>废</w:t>
                  </w:r>
                  <w:r>
                    <w:rPr>
                      <w:spacing w:val="-37"/>
                      <w:sz w:val="20"/>
                      <w:szCs w:val="20"/>
                    </w:rPr>
                    <w:t xml:space="preserve"> </w:t>
                  </w:r>
                  <w:r>
                    <w:rPr>
                      <w:spacing w:val="8"/>
                      <w:sz w:val="20"/>
                      <w:szCs w:val="20"/>
                    </w:rPr>
                    <w:t>气</w:t>
                  </w:r>
                  <w:r>
                    <w:rPr>
                      <w:spacing w:val="-36"/>
                      <w:sz w:val="20"/>
                      <w:szCs w:val="20"/>
                    </w:rPr>
                    <w:t xml:space="preserve"> </w:t>
                  </w:r>
                  <w:r>
                    <w:rPr>
                      <w:spacing w:val="8"/>
                      <w:sz w:val="20"/>
                      <w:szCs w:val="20"/>
                    </w:rPr>
                    <w:t>治</w:t>
                  </w:r>
                  <w:r>
                    <w:rPr>
                      <w:spacing w:val="-37"/>
                      <w:sz w:val="20"/>
                      <w:szCs w:val="20"/>
                    </w:rPr>
                    <w:t xml:space="preserve"> </w:t>
                  </w:r>
                  <w:r>
                    <w:rPr>
                      <w:spacing w:val="8"/>
                      <w:sz w:val="20"/>
                      <w:szCs w:val="20"/>
                    </w:rPr>
                    <w:t>理</w:t>
                  </w:r>
                </w:p>
              </w:tc>
              <w:tc>
                <w:tcPr>
                  <w:tcW w:w="713" w:type="dxa"/>
                  <w:vAlign w:val="top"/>
                </w:tcPr>
                <w:p w14:paraId="77D8D8F9">
                  <w:pPr>
                    <w:spacing w:line="259" w:lineRule="auto"/>
                    <w:rPr>
                      <w:rFonts w:ascii="Arial"/>
                      <w:sz w:val="21"/>
                    </w:rPr>
                  </w:pPr>
                </w:p>
                <w:p w14:paraId="6DE05A46">
                  <w:pPr>
                    <w:spacing w:line="260" w:lineRule="auto"/>
                    <w:rPr>
                      <w:rFonts w:ascii="Arial"/>
                      <w:sz w:val="21"/>
                    </w:rPr>
                  </w:pPr>
                </w:p>
                <w:p w14:paraId="4BD8E62B">
                  <w:pPr>
                    <w:spacing w:line="260" w:lineRule="auto"/>
                    <w:rPr>
                      <w:rFonts w:ascii="Arial"/>
                      <w:sz w:val="21"/>
                    </w:rPr>
                  </w:pPr>
                </w:p>
                <w:p w14:paraId="56357A21">
                  <w:pPr>
                    <w:pStyle w:val="6"/>
                    <w:spacing w:before="65"/>
                    <w:ind w:left="116" w:right="183" w:hanging="3"/>
                    <w:rPr>
                      <w:sz w:val="20"/>
                      <w:szCs w:val="20"/>
                    </w:rPr>
                  </w:pPr>
                  <w:r>
                    <w:rPr>
                      <w:spacing w:val="5"/>
                      <w:sz w:val="20"/>
                      <w:szCs w:val="20"/>
                    </w:rPr>
                    <w:t>废活</w:t>
                  </w:r>
                  <w:r>
                    <w:rPr>
                      <w:sz w:val="20"/>
                      <w:szCs w:val="20"/>
                    </w:rPr>
                    <w:t xml:space="preserve"> </w:t>
                  </w:r>
                  <w:r>
                    <w:rPr>
                      <w:spacing w:val="3"/>
                      <w:sz w:val="20"/>
                      <w:szCs w:val="20"/>
                    </w:rPr>
                    <w:t>性碳</w:t>
                  </w:r>
                </w:p>
              </w:tc>
              <w:tc>
                <w:tcPr>
                  <w:tcW w:w="644" w:type="dxa"/>
                  <w:vAlign w:val="top"/>
                </w:tcPr>
                <w:p w14:paraId="1C0C5339">
                  <w:pPr>
                    <w:spacing w:line="315" w:lineRule="auto"/>
                    <w:rPr>
                      <w:rFonts w:ascii="Arial"/>
                      <w:sz w:val="21"/>
                    </w:rPr>
                  </w:pPr>
                </w:p>
                <w:p w14:paraId="6BFEB656">
                  <w:pPr>
                    <w:spacing w:line="315" w:lineRule="auto"/>
                    <w:rPr>
                      <w:rFonts w:ascii="Arial"/>
                      <w:sz w:val="21"/>
                    </w:rPr>
                  </w:pPr>
                </w:p>
                <w:p w14:paraId="1356337D">
                  <w:pPr>
                    <w:spacing w:line="316" w:lineRule="auto"/>
                    <w:rPr>
                      <w:rFonts w:ascii="Arial"/>
                      <w:sz w:val="21"/>
                    </w:rPr>
                  </w:pPr>
                </w:p>
                <w:p w14:paraId="56E6586F">
                  <w:pPr>
                    <w:pStyle w:val="6"/>
                    <w:spacing w:before="65" w:line="189" w:lineRule="auto"/>
                    <w:ind w:left="109"/>
                    <w:rPr>
                      <w:sz w:val="20"/>
                      <w:szCs w:val="20"/>
                    </w:rPr>
                  </w:pPr>
                  <w:r>
                    <w:rPr>
                      <w:sz w:val="20"/>
                      <w:szCs w:val="20"/>
                    </w:rPr>
                    <w:t>HW</w:t>
                  </w:r>
                  <w:r>
                    <w:rPr>
                      <w:spacing w:val="7"/>
                      <w:sz w:val="20"/>
                      <w:szCs w:val="20"/>
                    </w:rPr>
                    <w:t>49</w:t>
                  </w:r>
                </w:p>
              </w:tc>
              <w:tc>
                <w:tcPr>
                  <w:tcW w:w="865" w:type="dxa"/>
                  <w:vAlign w:val="top"/>
                </w:tcPr>
                <w:p w14:paraId="2DA7217B">
                  <w:pPr>
                    <w:spacing w:line="270" w:lineRule="auto"/>
                    <w:rPr>
                      <w:rFonts w:ascii="Arial"/>
                      <w:sz w:val="21"/>
                    </w:rPr>
                  </w:pPr>
                </w:p>
                <w:p w14:paraId="2B74873E">
                  <w:pPr>
                    <w:spacing w:line="270" w:lineRule="auto"/>
                    <w:rPr>
                      <w:rFonts w:ascii="Arial"/>
                      <w:sz w:val="21"/>
                    </w:rPr>
                  </w:pPr>
                </w:p>
                <w:p w14:paraId="1B43F943">
                  <w:pPr>
                    <w:spacing w:line="271" w:lineRule="auto"/>
                    <w:rPr>
                      <w:rFonts w:ascii="Arial"/>
                      <w:sz w:val="21"/>
                    </w:rPr>
                  </w:pPr>
                </w:p>
                <w:p w14:paraId="1C49AE42">
                  <w:pPr>
                    <w:pStyle w:val="6"/>
                    <w:spacing w:before="65" w:line="189" w:lineRule="auto"/>
                    <w:ind w:left="114"/>
                    <w:rPr>
                      <w:sz w:val="20"/>
                      <w:szCs w:val="20"/>
                    </w:rPr>
                  </w:pPr>
                  <w:r>
                    <w:rPr>
                      <w:spacing w:val="3"/>
                      <w:sz w:val="20"/>
                      <w:szCs w:val="20"/>
                    </w:rPr>
                    <w:t>900-03</w:t>
                  </w:r>
                </w:p>
                <w:p w14:paraId="575CB867">
                  <w:pPr>
                    <w:pStyle w:val="6"/>
                    <w:spacing w:before="68" w:line="189" w:lineRule="auto"/>
                    <w:ind w:left="114"/>
                    <w:rPr>
                      <w:sz w:val="20"/>
                      <w:szCs w:val="20"/>
                    </w:rPr>
                  </w:pPr>
                  <w:r>
                    <w:rPr>
                      <w:spacing w:val="3"/>
                      <w:sz w:val="20"/>
                      <w:szCs w:val="20"/>
                    </w:rPr>
                    <w:t>9-49</w:t>
                  </w:r>
                </w:p>
              </w:tc>
              <w:tc>
                <w:tcPr>
                  <w:tcW w:w="741" w:type="dxa"/>
                  <w:vAlign w:val="top"/>
                </w:tcPr>
                <w:p w14:paraId="0620534B">
                  <w:pPr>
                    <w:spacing w:line="315" w:lineRule="auto"/>
                    <w:rPr>
                      <w:rFonts w:ascii="Arial"/>
                      <w:sz w:val="21"/>
                    </w:rPr>
                  </w:pPr>
                </w:p>
                <w:p w14:paraId="2A3E2A73">
                  <w:pPr>
                    <w:spacing w:line="316" w:lineRule="auto"/>
                    <w:rPr>
                      <w:rFonts w:ascii="Arial"/>
                      <w:sz w:val="21"/>
                    </w:rPr>
                  </w:pPr>
                </w:p>
                <w:p w14:paraId="4BC413BB">
                  <w:pPr>
                    <w:spacing w:line="316" w:lineRule="auto"/>
                    <w:rPr>
                      <w:rFonts w:ascii="Arial"/>
                      <w:sz w:val="21"/>
                    </w:rPr>
                  </w:pPr>
                </w:p>
                <w:p w14:paraId="557850BC">
                  <w:pPr>
                    <w:pStyle w:val="6"/>
                    <w:spacing w:before="65" w:line="189" w:lineRule="auto"/>
                    <w:ind w:left="114"/>
                    <w:rPr>
                      <w:sz w:val="20"/>
                      <w:szCs w:val="20"/>
                    </w:rPr>
                  </w:pPr>
                  <w:r>
                    <w:rPr>
                      <w:spacing w:val="2"/>
                      <w:sz w:val="20"/>
                      <w:szCs w:val="20"/>
                    </w:rPr>
                    <w:t>0.084</w:t>
                  </w:r>
                </w:p>
              </w:tc>
              <w:tc>
                <w:tcPr>
                  <w:tcW w:w="655" w:type="dxa"/>
                  <w:vAlign w:val="top"/>
                </w:tcPr>
                <w:p w14:paraId="66A40BCB">
                  <w:pPr>
                    <w:spacing w:line="322" w:lineRule="auto"/>
                    <w:rPr>
                      <w:rFonts w:ascii="Arial"/>
                      <w:sz w:val="21"/>
                    </w:rPr>
                  </w:pPr>
                </w:p>
                <w:p w14:paraId="71AB5220">
                  <w:pPr>
                    <w:spacing w:line="323" w:lineRule="auto"/>
                    <w:rPr>
                      <w:rFonts w:ascii="Arial"/>
                      <w:sz w:val="21"/>
                    </w:rPr>
                  </w:pPr>
                </w:p>
                <w:p w14:paraId="05BB7E0D">
                  <w:pPr>
                    <w:pStyle w:val="6"/>
                    <w:spacing w:before="65" w:line="243" w:lineRule="auto"/>
                    <w:ind w:left="115" w:right="127" w:hanging="3"/>
                    <w:jc w:val="both"/>
                    <w:rPr>
                      <w:sz w:val="20"/>
                      <w:szCs w:val="20"/>
                    </w:rPr>
                  </w:pPr>
                  <w:r>
                    <w:rPr>
                      <w:spacing w:val="5"/>
                      <w:sz w:val="20"/>
                      <w:szCs w:val="20"/>
                    </w:rPr>
                    <w:t>废气</w:t>
                  </w:r>
                  <w:r>
                    <w:rPr>
                      <w:sz w:val="20"/>
                      <w:szCs w:val="20"/>
                    </w:rPr>
                    <w:t xml:space="preserve"> </w:t>
                  </w:r>
                  <w:r>
                    <w:rPr>
                      <w:spacing w:val="3"/>
                      <w:sz w:val="20"/>
                      <w:szCs w:val="20"/>
                    </w:rPr>
                    <w:t>治理</w:t>
                  </w:r>
                  <w:r>
                    <w:rPr>
                      <w:sz w:val="20"/>
                      <w:szCs w:val="20"/>
                    </w:rPr>
                    <w:t xml:space="preserve"> </w:t>
                  </w:r>
                  <w:r>
                    <w:rPr>
                      <w:spacing w:val="3"/>
                      <w:sz w:val="20"/>
                      <w:szCs w:val="20"/>
                    </w:rPr>
                    <w:t>工序</w:t>
                  </w:r>
                </w:p>
              </w:tc>
              <w:tc>
                <w:tcPr>
                  <w:tcW w:w="489" w:type="dxa"/>
                  <w:textDirection w:val="tbRlV"/>
                  <w:vAlign w:val="top"/>
                </w:tcPr>
                <w:p w14:paraId="4DCBB9F3">
                  <w:pPr>
                    <w:pStyle w:val="6"/>
                    <w:spacing w:before="170" w:line="216" w:lineRule="auto"/>
                    <w:ind w:left="848"/>
                    <w:rPr>
                      <w:sz w:val="20"/>
                      <w:szCs w:val="20"/>
                    </w:rPr>
                  </w:pPr>
                  <w:r>
                    <w:rPr>
                      <w:spacing w:val="8"/>
                      <w:sz w:val="20"/>
                      <w:szCs w:val="20"/>
                    </w:rPr>
                    <w:t>固</w:t>
                  </w:r>
                  <w:r>
                    <w:rPr>
                      <w:spacing w:val="-36"/>
                      <w:sz w:val="20"/>
                      <w:szCs w:val="20"/>
                    </w:rPr>
                    <w:t xml:space="preserve"> </w:t>
                  </w:r>
                  <w:r>
                    <w:rPr>
                      <w:spacing w:val="8"/>
                      <w:sz w:val="20"/>
                      <w:szCs w:val="20"/>
                    </w:rPr>
                    <w:t>态</w:t>
                  </w:r>
                </w:p>
              </w:tc>
              <w:tc>
                <w:tcPr>
                  <w:tcW w:w="658" w:type="dxa"/>
                  <w:vAlign w:val="top"/>
                </w:tcPr>
                <w:p w14:paraId="0CE55F55">
                  <w:pPr>
                    <w:spacing w:line="305" w:lineRule="auto"/>
                    <w:rPr>
                      <w:rFonts w:ascii="Arial"/>
                      <w:sz w:val="21"/>
                    </w:rPr>
                  </w:pPr>
                </w:p>
                <w:p w14:paraId="5B405A2F">
                  <w:pPr>
                    <w:spacing w:line="305" w:lineRule="auto"/>
                    <w:rPr>
                      <w:rFonts w:ascii="Arial"/>
                      <w:sz w:val="21"/>
                    </w:rPr>
                  </w:pPr>
                </w:p>
                <w:p w14:paraId="7B8B944C">
                  <w:pPr>
                    <w:spacing w:line="305" w:lineRule="auto"/>
                    <w:rPr>
                      <w:rFonts w:ascii="Arial"/>
                      <w:sz w:val="21"/>
                    </w:rPr>
                  </w:pPr>
                </w:p>
                <w:p w14:paraId="7F8469B4">
                  <w:pPr>
                    <w:pStyle w:val="6"/>
                    <w:spacing w:before="65" w:line="227" w:lineRule="auto"/>
                    <w:ind w:left="117"/>
                    <w:rPr>
                      <w:sz w:val="20"/>
                      <w:szCs w:val="20"/>
                    </w:rPr>
                  </w:pPr>
                  <w:r>
                    <w:rPr>
                      <w:spacing w:val="3"/>
                      <w:sz w:val="20"/>
                      <w:szCs w:val="20"/>
                    </w:rPr>
                    <w:t>油类</w:t>
                  </w:r>
                </w:p>
              </w:tc>
              <w:tc>
                <w:tcPr>
                  <w:tcW w:w="658" w:type="dxa"/>
                  <w:vAlign w:val="top"/>
                </w:tcPr>
                <w:p w14:paraId="277BD594">
                  <w:pPr>
                    <w:spacing w:line="305" w:lineRule="auto"/>
                    <w:rPr>
                      <w:rFonts w:ascii="Arial"/>
                      <w:sz w:val="21"/>
                    </w:rPr>
                  </w:pPr>
                </w:p>
                <w:p w14:paraId="51C3DB0F">
                  <w:pPr>
                    <w:spacing w:line="305" w:lineRule="auto"/>
                    <w:rPr>
                      <w:rFonts w:ascii="Arial"/>
                      <w:sz w:val="21"/>
                    </w:rPr>
                  </w:pPr>
                </w:p>
                <w:p w14:paraId="7E128493">
                  <w:pPr>
                    <w:spacing w:line="305" w:lineRule="auto"/>
                    <w:rPr>
                      <w:rFonts w:ascii="Arial"/>
                      <w:sz w:val="21"/>
                    </w:rPr>
                  </w:pPr>
                </w:p>
                <w:p w14:paraId="4AE3EB0C">
                  <w:pPr>
                    <w:pStyle w:val="6"/>
                    <w:spacing w:before="65" w:line="227" w:lineRule="auto"/>
                    <w:ind w:left="116"/>
                    <w:rPr>
                      <w:sz w:val="20"/>
                      <w:szCs w:val="20"/>
                    </w:rPr>
                  </w:pPr>
                  <w:r>
                    <w:rPr>
                      <w:spacing w:val="3"/>
                      <w:sz w:val="20"/>
                      <w:szCs w:val="20"/>
                    </w:rPr>
                    <w:t>油类</w:t>
                  </w:r>
                </w:p>
              </w:tc>
              <w:tc>
                <w:tcPr>
                  <w:tcW w:w="516" w:type="dxa"/>
                  <w:textDirection w:val="tbRlV"/>
                  <w:vAlign w:val="top"/>
                </w:tcPr>
                <w:p w14:paraId="4B7A446F">
                  <w:pPr>
                    <w:pStyle w:val="6"/>
                    <w:spacing w:before="197" w:line="208" w:lineRule="auto"/>
                    <w:ind w:left="848"/>
                    <w:rPr>
                      <w:sz w:val="20"/>
                      <w:szCs w:val="20"/>
                    </w:rPr>
                  </w:pPr>
                  <w:r>
                    <w:rPr>
                      <w:spacing w:val="8"/>
                      <w:sz w:val="20"/>
                      <w:szCs w:val="20"/>
                    </w:rPr>
                    <w:t>间</w:t>
                  </w:r>
                  <w:r>
                    <w:rPr>
                      <w:spacing w:val="-36"/>
                      <w:sz w:val="20"/>
                      <w:szCs w:val="20"/>
                    </w:rPr>
                    <w:t xml:space="preserve"> </w:t>
                  </w:r>
                  <w:r>
                    <w:rPr>
                      <w:spacing w:val="8"/>
                      <w:sz w:val="20"/>
                      <w:szCs w:val="20"/>
                    </w:rPr>
                    <w:t>断</w:t>
                  </w:r>
                </w:p>
              </w:tc>
              <w:tc>
                <w:tcPr>
                  <w:tcW w:w="553" w:type="dxa"/>
                  <w:vAlign w:val="top"/>
                </w:tcPr>
                <w:p w14:paraId="49C85EBB">
                  <w:pPr>
                    <w:spacing w:line="316" w:lineRule="auto"/>
                    <w:rPr>
                      <w:rFonts w:ascii="Arial"/>
                      <w:sz w:val="21"/>
                    </w:rPr>
                  </w:pPr>
                </w:p>
                <w:p w14:paraId="3587FC3B">
                  <w:pPr>
                    <w:spacing w:line="316" w:lineRule="auto"/>
                    <w:rPr>
                      <w:rFonts w:ascii="Arial"/>
                      <w:sz w:val="21"/>
                    </w:rPr>
                  </w:pPr>
                </w:p>
                <w:p w14:paraId="3A7F75AC">
                  <w:pPr>
                    <w:spacing w:line="317" w:lineRule="auto"/>
                    <w:rPr>
                      <w:rFonts w:ascii="Arial"/>
                      <w:sz w:val="21"/>
                    </w:rPr>
                  </w:pPr>
                </w:p>
                <w:p w14:paraId="17E3943D">
                  <w:pPr>
                    <w:pStyle w:val="6"/>
                    <w:spacing w:before="65" w:line="187" w:lineRule="auto"/>
                    <w:ind w:left="113"/>
                    <w:rPr>
                      <w:sz w:val="20"/>
                      <w:szCs w:val="20"/>
                    </w:rPr>
                  </w:pPr>
                  <w:r>
                    <w:rPr>
                      <w:sz w:val="20"/>
                      <w:szCs w:val="20"/>
                    </w:rPr>
                    <w:t>T</w:t>
                  </w:r>
                </w:p>
              </w:tc>
              <w:tc>
                <w:tcPr>
                  <w:tcW w:w="1299" w:type="dxa"/>
                  <w:tcBorders>
                    <w:right w:val="nil"/>
                  </w:tcBorders>
                  <w:vAlign w:val="top"/>
                </w:tcPr>
                <w:p w14:paraId="3049CE9C">
                  <w:pPr>
                    <w:pStyle w:val="6"/>
                    <w:spacing w:before="38" w:line="246" w:lineRule="auto"/>
                    <w:ind w:left="113" w:right="107" w:firstLine="3"/>
                    <w:jc w:val="both"/>
                    <w:rPr>
                      <w:sz w:val="20"/>
                      <w:szCs w:val="20"/>
                    </w:rPr>
                  </w:pPr>
                  <w:r>
                    <w:rPr>
                      <w:spacing w:val="14"/>
                      <w:sz w:val="20"/>
                      <w:szCs w:val="20"/>
                    </w:rPr>
                    <w:t>危险废物专</w:t>
                  </w:r>
                  <w:r>
                    <w:rPr>
                      <w:sz w:val="20"/>
                      <w:szCs w:val="20"/>
                    </w:rPr>
                    <w:t xml:space="preserve"> </w:t>
                  </w:r>
                  <w:r>
                    <w:rPr>
                      <w:spacing w:val="15"/>
                      <w:sz w:val="20"/>
                      <w:szCs w:val="20"/>
                    </w:rPr>
                    <w:t>用塑料收集</w:t>
                  </w:r>
                  <w:r>
                    <w:rPr>
                      <w:sz w:val="20"/>
                      <w:szCs w:val="20"/>
                    </w:rPr>
                    <w:t xml:space="preserve"> </w:t>
                  </w:r>
                  <w:r>
                    <w:rPr>
                      <w:spacing w:val="15"/>
                      <w:sz w:val="20"/>
                      <w:szCs w:val="20"/>
                    </w:rPr>
                    <w:t>桶，分类暂</w:t>
                  </w:r>
                  <w:r>
                    <w:rPr>
                      <w:sz w:val="20"/>
                      <w:szCs w:val="20"/>
                    </w:rPr>
                    <w:t xml:space="preserve"> </w:t>
                  </w:r>
                  <w:r>
                    <w:rPr>
                      <w:spacing w:val="2"/>
                      <w:sz w:val="20"/>
                      <w:szCs w:val="20"/>
                    </w:rPr>
                    <w:t>存于</w:t>
                  </w:r>
                  <w:r>
                    <w:rPr>
                      <w:spacing w:val="-41"/>
                      <w:sz w:val="20"/>
                      <w:szCs w:val="20"/>
                    </w:rPr>
                    <w:t xml:space="preserve"> </w:t>
                  </w:r>
                  <w:r>
                    <w:rPr>
                      <w:spacing w:val="2"/>
                      <w:sz w:val="20"/>
                      <w:szCs w:val="20"/>
                    </w:rPr>
                    <w:t>1#其他</w:t>
                  </w:r>
                  <w:r>
                    <w:rPr>
                      <w:sz w:val="20"/>
                      <w:szCs w:val="20"/>
                    </w:rPr>
                    <w:t xml:space="preserve"> </w:t>
                  </w:r>
                  <w:r>
                    <w:rPr>
                      <w:spacing w:val="15"/>
                      <w:sz w:val="20"/>
                      <w:szCs w:val="20"/>
                    </w:rPr>
                    <w:t>危险废物暂</w:t>
                  </w:r>
                  <w:r>
                    <w:rPr>
                      <w:sz w:val="20"/>
                      <w:szCs w:val="20"/>
                    </w:rPr>
                    <w:t xml:space="preserve"> </w:t>
                  </w:r>
                  <w:r>
                    <w:rPr>
                      <w:spacing w:val="5"/>
                      <w:sz w:val="20"/>
                      <w:szCs w:val="20"/>
                    </w:rPr>
                    <w:t>存区，</w:t>
                  </w:r>
                  <w:r>
                    <w:rPr>
                      <w:spacing w:val="-51"/>
                      <w:sz w:val="20"/>
                      <w:szCs w:val="20"/>
                    </w:rPr>
                    <w:t xml:space="preserve"> </w:t>
                  </w:r>
                  <w:r>
                    <w:rPr>
                      <w:spacing w:val="5"/>
                      <w:sz w:val="20"/>
                      <w:szCs w:val="20"/>
                    </w:rPr>
                    <w:t>由有</w:t>
                  </w:r>
                  <w:r>
                    <w:rPr>
                      <w:sz w:val="20"/>
                      <w:szCs w:val="20"/>
                    </w:rPr>
                    <w:t xml:space="preserve"> </w:t>
                  </w:r>
                  <w:r>
                    <w:rPr>
                      <w:spacing w:val="15"/>
                      <w:sz w:val="20"/>
                      <w:szCs w:val="20"/>
                    </w:rPr>
                    <w:t>资质单位处</w:t>
                  </w:r>
                  <w:r>
                    <w:rPr>
                      <w:sz w:val="20"/>
                      <w:szCs w:val="20"/>
                    </w:rPr>
                    <w:t xml:space="preserve"> </w:t>
                  </w:r>
                  <w:r>
                    <w:rPr>
                      <w:spacing w:val="1"/>
                      <w:sz w:val="20"/>
                      <w:szCs w:val="20"/>
                    </w:rPr>
                    <w:t>理</w:t>
                  </w:r>
                </w:p>
              </w:tc>
            </w:tr>
            <w:tr w14:paraId="29700B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84" w:hRule="atLeast"/>
              </w:trPr>
              <w:tc>
                <w:tcPr>
                  <w:tcW w:w="427" w:type="dxa"/>
                  <w:tcBorders>
                    <w:left w:val="nil"/>
                  </w:tcBorders>
                  <w:textDirection w:val="tbRlV"/>
                  <w:vAlign w:val="top"/>
                </w:tcPr>
                <w:p w14:paraId="22C5F5DB">
                  <w:pPr>
                    <w:pStyle w:val="6"/>
                    <w:spacing w:before="107" w:line="216" w:lineRule="auto"/>
                    <w:ind w:left="578"/>
                    <w:rPr>
                      <w:sz w:val="20"/>
                      <w:szCs w:val="20"/>
                    </w:rPr>
                  </w:pPr>
                  <w:r>
                    <w:rPr>
                      <w:spacing w:val="8"/>
                      <w:sz w:val="20"/>
                      <w:szCs w:val="20"/>
                    </w:rPr>
                    <w:t>运</w:t>
                  </w:r>
                  <w:r>
                    <w:rPr>
                      <w:spacing w:val="-37"/>
                      <w:sz w:val="20"/>
                      <w:szCs w:val="20"/>
                    </w:rPr>
                    <w:t xml:space="preserve"> </w:t>
                  </w:r>
                  <w:r>
                    <w:rPr>
                      <w:spacing w:val="8"/>
                      <w:sz w:val="20"/>
                      <w:szCs w:val="20"/>
                    </w:rPr>
                    <w:t>行</w:t>
                  </w:r>
                  <w:r>
                    <w:rPr>
                      <w:spacing w:val="-38"/>
                      <w:sz w:val="20"/>
                      <w:szCs w:val="20"/>
                    </w:rPr>
                    <w:t xml:space="preserve"> </w:t>
                  </w:r>
                  <w:r>
                    <w:rPr>
                      <w:spacing w:val="8"/>
                      <w:sz w:val="20"/>
                      <w:szCs w:val="20"/>
                    </w:rPr>
                    <w:t>维</w:t>
                  </w:r>
                  <w:r>
                    <w:rPr>
                      <w:spacing w:val="-35"/>
                      <w:sz w:val="20"/>
                      <w:szCs w:val="20"/>
                    </w:rPr>
                    <w:t xml:space="preserve"> </w:t>
                  </w:r>
                  <w:r>
                    <w:rPr>
                      <w:spacing w:val="8"/>
                      <w:sz w:val="20"/>
                      <w:szCs w:val="20"/>
                    </w:rPr>
                    <w:t>护</w:t>
                  </w:r>
                </w:p>
              </w:tc>
              <w:tc>
                <w:tcPr>
                  <w:tcW w:w="713" w:type="dxa"/>
                  <w:vAlign w:val="top"/>
                </w:tcPr>
                <w:p w14:paraId="7C5A33A8">
                  <w:pPr>
                    <w:pStyle w:val="6"/>
                    <w:spacing w:before="305" w:line="239" w:lineRule="auto"/>
                    <w:ind w:left="114" w:right="183"/>
                    <w:rPr>
                      <w:sz w:val="20"/>
                      <w:szCs w:val="20"/>
                    </w:rPr>
                  </w:pPr>
                  <w:r>
                    <w:rPr>
                      <w:spacing w:val="4"/>
                      <w:sz w:val="20"/>
                      <w:szCs w:val="20"/>
                    </w:rPr>
                    <w:t>含油</w:t>
                  </w:r>
                  <w:r>
                    <w:rPr>
                      <w:sz w:val="20"/>
                      <w:szCs w:val="20"/>
                    </w:rPr>
                    <w:t xml:space="preserve"> 抹</w:t>
                  </w:r>
                </w:p>
                <w:p w14:paraId="3FBA0F01">
                  <w:pPr>
                    <w:pStyle w:val="6"/>
                    <w:spacing w:before="26" w:line="245" w:lineRule="auto"/>
                    <w:ind w:left="114" w:right="183"/>
                    <w:rPr>
                      <w:sz w:val="20"/>
                      <w:szCs w:val="20"/>
                    </w:rPr>
                  </w:pPr>
                  <w:r>
                    <w:rPr>
                      <w:spacing w:val="4"/>
                      <w:sz w:val="20"/>
                      <w:szCs w:val="20"/>
                    </w:rPr>
                    <w:t>布、</w:t>
                  </w:r>
                  <w:r>
                    <w:rPr>
                      <w:sz w:val="20"/>
                      <w:szCs w:val="20"/>
                    </w:rPr>
                    <w:t xml:space="preserve"> </w:t>
                  </w:r>
                  <w:r>
                    <w:rPr>
                      <w:spacing w:val="4"/>
                      <w:sz w:val="20"/>
                      <w:szCs w:val="20"/>
                    </w:rPr>
                    <w:t>拖布</w:t>
                  </w:r>
                  <w:r>
                    <w:rPr>
                      <w:sz w:val="20"/>
                      <w:szCs w:val="20"/>
                    </w:rPr>
                    <w:t xml:space="preserve"> </w:t>
                  </w:r>
                  <w:r>
                    <w:rPr>
                      <w:spacing w:val="4"/>
                      <w:sz w:val="20"/>
                      <w:szCs w:val="20"/>
                    </w:rPr>
                    <w:t>和手</w:t>
                  </w:r>
                  <w:r>
                    <w:rPr>
                      <w:sz w:val="20"/>
                      <w:szCs w:val="20"/>
                    </w:rPr>
                    <w:t xml:space="preserve"> 套</w:t>
                  </w:r>
                </w:p>
              </w:tc>
              <w:tc>
                <w:tcPr>
                  <w:tcW w:w="644" w:type="dxa"/>
                  <w:vAlign w:val="top"/>
                </w:tcPr>
                <w:p w14:paraId="70D5A92C">
                  <w:pPr>
                    <w:spacing w:line="315" w:lineRule="auto"/>
                    <w:rPr>
                      <w:rFonts w:ascii="Arial"/>
                      <w:sz w:val="21"/>
                    </w:rPr>
                  </w:pPr>
                </w:p>
                <w:p w14:paraId="36BCD45D">
                  <w:pPr>
                    <w:spacing w:line="316" w:lineRule="auto"/>
                    <w:rPr>
                      <w:rFonts w:ascii="Arial"/>
                      <w:sz w:val="21"/>
                    </w:rPr>
                  </w:pPr>
                </w:p>
                <w:p w14:paraId="58524DD5">
                  <w:pPr>
                    <w:spacing w:line="316" w:lineRule="auto"/>
                    <w:rPr>
                      <w:rFonts w:ascii="Arial"/>
                      <w:sz w:val="21"/>
                    </w:rPr>
                  </w:pPr>
                </w:p>
                <w:p w14:paraId="42E50D77">
                  <w:pPr>
                    <w:pStyle w:val="6"/>
                    <w:spacing w:before="65" w:line="189" w:lineRule="auto"/>
                    <w:ind w:left="109"/>
                    <w:rPr>
                      <w:sz w:val="20"/>
                      <w:szCs w:val="20"/>
                    </w:rPr>
                  </w:pPr>
                  <w:r>
                    <w:rPr>
                      <w:sz w:val="20"/>
                      <w:szCs w:val="20"/>
                    </w:rPr>
                    <w:t>HW</w:t>
                  </w:r>
                  <w:r>
                    <w:rPr>
                      <w:spacing w:val="7"/>
                      <w:sz w:val="20"/>
                      <w:szCs w:val="20"/>
                    </w:rPr>
                    <w:t>49</w:t>
                  </w:r>
                </w:p>
              </w:tc>
              <w:tc>
                <w:tcPr>
                  <w:tcW w:w="865" w:type="dxa"/>
                  <w:vAlign w:val="top"/>
                </w:tcPr>
                <w:p w14:paraId="5C79FE54">
                  <w:pPr>
                    <w:spacing w:line="270" w:lineRule="auto"/>
                    <w:rPr>
                      <w:rFonts w:ascii="Arial"/>
                      <w:sz w:val="21"/>
                    </w:rPr>
                  </w:pPr>
                </w:p>
                <w:p w14:paraId="5D1C271C">
                  <w:pPr>
                    <w:spacing w:line="270" w:lineRule="auto"/>
                    <w:rPr>
                      <w:rFonts w:ascii="Arial"/>
                      <w:sz w:val="21"/>
                    </w:rPr>
                  </w:pPr>
                </w:p>
                <w:p w14:paraId="6573ED55">
                  <w:pPr>
                    <w:spacing w:line="271" w:lineRule="auto"/>
                    <w:rPr>
                      <w:rFonts w:ascii="Arial"/>
                      <w:sz w:val="21"/>
                    </w:rPr>
                  </w:pPr>
                </w:p>
                <w:p w14:paraId="7E2C81CC">
                  <w:pPr>
                    <w:pStyle w:val="6"/>
                    <w:spacing w:before="65" w:line="189" w:lineRule="auto"/>
                    <w:ind w:left="114"/>
                    <w:rPr>
                      <w:sz w:val="20"/>
                      <w:szCs w:val="20"/>
                    </w:rPr>
                  </w:pPr>
                  <w:r>
                    <w:rPr>
                      <w:spacing w:val="3"/>
                      <w:sz w:val="20"/>
                      <w:szCs w:val="20"/>
                    </w:rPr>
                    <w:t>900-04</w:t>
                  </w:r>
                </w:p>
                <w:p w14:paraId="794FBDBA">
                  <w:pPr>
                    <w:pStyle w:val="6"/>
                    <w:spacing w:before="66" w:line="189" w:lineRule="auto"/>
                    <w:ind w:left="129"/>
                    <w:rPr>
                      <w:sz w:val="20"/>
                      <w:szCs w:val="20"/>
                    </w:rPr>
                  </w:pPr>
                  <w:r>
                    <w:rPr>
                      <w:spacing w:val="-1"/>
                      <w:sz w:val="20"/>
                      <w:szCs w:val="20"/>
                    </w:rPr>
                    <w:t>1-49</w:t>
                  </w:r>
                </w:p>
              </w:tc>
              <w:tc>
                <w:tcPr>
                  <w:tcW w:w="741" w:type="dxa"/>
                  <w:vAlign w:val="top"/>
                </w:tcPr>
                <w:p w14:paraId="0D653EB7">
                  <w:pPr>
                    <w:spacing w:line="315" w:lineRule="auto"/>
                    <w:rPr>
                      <w:rFonts w:ascii="Arial"/>
                      <w:sz w:val="21"/>
                    </w:rPr>
                  </w:pPr>
                </w:p>
                <w:p w14:paraId="2DA84B8D">
                  <w:pPr>
                    <w:spacing w:line="316" w:lineRule="auto"/>
                    <w:rPr>
                      <w:rFonts w:ascii="Arial"/>
                      <w:sz w:val="21"/>
                    </w:rPr>
                  </w:pPr>
                </w:p>
                <w:p w14:paraId="490C7F48">
                  <w:pPr>
                    <w:spacing w:line="316" w:lineRule="auto"/>
                    <w:rPr>
                      <w:rFonts w:ascii="Arial"/>
                      <w:sz w:val="21"/>
                    </w:rPr>
                  </w:pPr>
                </w:p>
                <w:p w14:paraId="775A194C">
                  <w:pPr>
                    <w:pStyle w:val="6"/>
                    <w:spacing w:before="65" w:line="189" w:lineRule="auto"/>
                    <w:ind w:left="128"/>
                    <w:rPr>
                      <w:sz w:val="20"/>
                      <w:szCs w:val="20"/>
                    </w:rPr>
                  </w:pPr>
                  <w:r>
                    <w:rPr>
                      <w:sz w:val="20"/>
                      <w:szCs w:val="20"/>
                    </w:rPr>
                    <w:t>1</w:t>
                  </w:r>
                </w:p>
              </w:tc>
              <w:tc>
                <w:tcPr>
                  <w:tcW w:w="655" w:type="dxa"/>
                  <w:vAlign w:val="top"/>
                </w:tcPr>
                <w:p w14:paraId="7FF1C0DB">
                  <w:pPr>
                    <w:spacing w:line="259" w:lineRule="auto"/>
                    <w:rPr>
                      <w:rFonts w:ascii="Arial"/>
                      <w:sz w:val="21"/>
                    </w:rPr>
                  </w:pPr>
                </w:p>
                <w:p w14:paraId="25BE1458">
                  <w:pPr>
                    <w:spacing w:line="260" w:lineRule="auto"/>
                    <w:rPr>
                      <w:rFonts w:ascii="Arial"/>
                      <w:sz w:val="21"/>
                    </w:rPr>
                  </w:pPr>
                </w:p>
                <w:p w14:paraId="7D64FD83">
                  <w:pPr>
                    <w:spacing w:line="260" w:lineRule="auto"/>
                    <w:rPr>
                      <w:rFonts w:ascii="Arial"/>
                      <w:sz w:val="21"/>
                    </w:rPr>
                  </w:pPr>
                </w:p>
                <w:p w14:paraId="6AE8C61A">
                  <w:pPr>
                    <w:pStyle w:val="6"/>
                    <w:spacing w:before="65" w:line="239" w:lineRule="auto"/>
                    <w:ind w:left="116" w:right="107" w:hanging="3"/>
                    <w:rPr>
                      <w:sz w:val="20"/>
                      <w:szCs w:val="20"/>
                    </w:rPr>
                  </w:pPr>
                  <w:r>
                    <w:rPr>
                      <w:spacing w:val="14"/>
                      <w:sz w:val="20"/>
                      <w:szCs w:val="20"/>
                    </w:rPr>
                    <w:t>运行</w:t>
                  </w:r>
                  <w:r>
                    <w:rPr>
                      <w:sz w:val="20"/>
                      <w:szCs w:val="20"/>
                    </w:rPr>
                    <w:t xml:space="preserve"> </w:t>
                  </w:r>
                  <w:r>
                    <w:rPr>
                      <w:spacing w:val="3"/>
                      <w:sz w:val="20"/>
                      <w:szCs w:val="20"/>
                    </w:rPr>
                    <w:t>维护</w:t>
                  </w:r>
                </w:p>
              </w:tc>
              <w:tc>
                <w:tcPr>
                  <w:tcW w:w="489" w:type="dxa"/>
                  <w:textDirection w:val="tbRlV"/>
                  <w:vAlign w:val="top"/>
                </w:tcPr>
                <w:p w14:paraId="7587BC82">
                  <w:pPr>
                    <w:pStyle w:val="6"/>
                    <w:spacing w:before="170" w:line="216" w:lineRule="auto"/>
                    <w:ind w:left="849"/>
                    <w:rPr>
                      <w:sz w:val="20"/>
                      <w:szCs w:val="20"/>
                    </w:rPr>
                  </w:pPr>
                  <w:r>
                    <w:rPr>
                      <w:spacing w:val="8"/>
                      <w:sz w:val="20"/>
                      <w:szCs w:val="20"/>
                    </w:rPr>
                    <w:t>固</w:t>
                  </w:r>
                  <w:r>
                    <w:rPr>
                      <w:spacing w:val="-38"/>
                      <w:sz w:val="20"/>
                      <w:szCs w:val="20"/>
                    </w:rPr>
                    <w:t xml:space="preserve"> </w:t>
                  </w:r>
                  <w:r>
                    <w:rPr>
                      <w:spacing w:val="8"/>
                      <w:sz w:val="20"/>
                      <w:szCs w:val="20"/>
                    </w:rPr>
                    <w:t>态</w:t>
                  </w:r>
                </w:p>
              </w:tc>
              <w:tc>
                <w:tcPr>
                  <w:tcW w:w="658" w:type="dxa"/>
                  <w:vAlign w:val="top"/>
                </w:tcPr>
                <w:p w14:paraId="3963769B">
                  <w:pPr>
                    <w:spacing w:line="321" w:lineRule="auto"/>
                    <w:rPr>
                      <w:rFonts w:ascii="Arial"/>
                      <w:sz w:val="21"/>
                    </w:rPr>
                  </w:pPr>
                </w:p>
                <w:p w14:paraId="6ED68681">
                  <w:pPr>
                    <w:spacing w:line="322" w:lineRule="auto"/>
                    <w:rPr>
                      <w:rFonts w:ascii="Arial"/>
                      <w:sz w:val="21"/>
                    </w:rPr>
                  </w:pPr>
                </w:p>
                <w:p w14:paraId="6B31613B">
                  <w:pPr>
                    <w:pStyle w:val="6"/>
                    <w:spacing w:before="65" w:line="228" w:lineRule="auto"/>
                    <w:ind w:left="114"/>
                    <w:rPr>
                      <w:sz w:val="20"/>
                      <w:szCs w:val="20"/>
                    </w:rPr>
                  </w:pPr>
                  <w:r>
                    <w:rPr>
                      <w:sz w:val="20"/>
                      <w:szCs w:val="20"/>
                    </w:rPr>
                    <w:t>柴</w:t>
                  </w:r>
                </w:p>
                <w:p w14:paraId="200F33F9">
                  <w:pPr>
                    <w:pStyle w:val="6"/>
                    <w:spacing w:before="26" w:line="238" w:lineRule="auto"/>
                    <w:ind w:left="113" w:right="129" w:firstLine="4"/>
                    <w:rPr>
                      <w:sz w:val="20"/>
                      <w:szCs w:val="20"/>
                    </w:rPr>
                  </w:pPr>
                  <w:r>
                    <w:rPr>
                      <w:spacing w:val="3"/>
                      <w:sz w:val="20"/>
                      <w:szCs w:val="20"/>
                    </w:rPr>
                    <w:t>油、</w:t>
                  </w:r>
                  <w:r>
                    <w:rPr>
                      <w:sz w:val="20"/>
                      <w:szCs w:val="20"/>
                    </w:rPr>
                    <w:t xml:space="preserve"> </w:t>
                  </w:r>
                  <w:r>
                    <w:rPr>
                      <w:spacing w:val="5"/>
                      <w:sz w:val="20"/>
                      <w:szCs w:val="20"/>
                    </w:rPr>
                    <w:t>机油</w:t>
                  </w:r>
                </w:p>
              </w:tc>
              <w:tc>
                <w:tcPr>
                  <w:tcW w:w="658" w:type="dxa"/>
                  <w:vAlign w:val="top"/>
                </w:tcPr>
                <w:p w14:paraId="686E5AE7">
                  <w:pPr>
                    <w:spacing w:line="321" w:lineRule="auto"/>
                    <w:rPr>
                      <w:rFonts w:ascii="Arial"/>
                      <w:sz w:val="21"/>
                    </w:rPr>
                  </w:pPr>
                </w:p>
                <w:p w14:paraId="1F5AEFD8">
                  <w:pPr>
                    <w:spacing w:line="322" w:lineRule="auto"/>
                    <w:rPr>
                      <w:rFonts w:ascii="Arial"/>
                      <w:sz w:val="21"/>
                    </w:rPr>
                  </w:pPr>
                </w:p>
                <w:p w14:paraId="219E8106">
                  <w:pPr>
                    <w:pStyle w:val="6"/>
                    <w:spacing w:before="65" w:line="228" w:lineRule="auto"/>
                    <w:ind w:left="113"/>
                    <w:rPr>
                      <w:sz w:val="20"/>
                      <w:szCs w:val="20"/>
                    </w:rPr>
                  </w:pPr>
                  <w:r>
                    <w:rPr>
                      <w:sz w:val="20"/>
                      <w:szCs w:val="20"/>
                    </w:rPr>
                    <w:t>柴</w:t>
                  </w:r>
                </w:p>
                <w:p w14:paraId="201DFD97">
                  <w:pPr>
                    <w:pStyle w:val="6"/>
                    <w:spacing w:before="26" w:line="238" w:lineRule="auto"/>
                    <w:ind w:left="112" w:right="129" w:firstLine="4"/>
                    <w:rPr>
                      <w:sz w:val="20"/>
                      <w:szCs w:val="20"/>
                    </w:rPr>
                  </w:pPr>
                  <w:r>
                    <w:rPr>
                      <w:spacing w:val="3"/>
                      <w:sz w:val="20"/>
                      <w:szCs w:val="20"/>
                    </w:rPr>
                    <w:t>油、</w:t>
                  </w:r>
                  <w:r>
                    <w:rPr>
                      <w:sz w:val="20"/>
                      <w:szCs w:val="20"/>
                    </w:rPr>
                    <w:t xml:space="preserve"> </w:t>
                  </w:r>
                  <w:r>
                    <w:rPr>
                      <w:spacing w:val="5"/>
                      <w:sz w:val="20"/>
                      <w:szCs w:val="20"/>
                    </w:rPr>
                    <w:t>机油</w:t>
                  </w:r>
                </w:p>
              </w:tc>
              <w:tc>
                <w:tcPr>
                  <w:tcW w:w="516" w:type="dxa"/>
                  <w:textDirection w:val="tbRlV"/>
                  <w:vAlign w:val="top"/>
                </w:tcPr>
                <w:p w14:paraId="0E1A2554">
                  <w:pPr>
                    <w:pStyle w:val="6"/>
                    <w:spacing w:before="197" w:line="208" w:lineRule="auto"/>
                    <w:ind w:left="849"/>
                    <w:rPr>
                      <w:sz w:val="20"/>
                      <w:szCs w:val="20"/>
                    </w:rPr>
                  </w:pPr>
                  <w:r>
                    <w:rPr>
                      <w:spacing w:val="8"/>
                      <w:sz w:val="20"/>
                      <w:szCs w:val="20"/>
                    </w:rPr>
                    <w:t>间</w:t>
                  </w:r>
                  <w:r>
                    <w:rPr>
                      <w:spacing w:val="-38"/>
                      <w:sz w:val="20"/>
                      <w:szCs w:val="20"/>
                    </w:rPr>
                    <w:t xml:space="preserve"> </w:t>
                  </w:r>
                  <w:r>
                    <w:rPr>
                      <w:spacing w:val="8"/>
                      <w:sz w:val="20"/>
                      <w:szCs w:val="20"/>
                    </w:rPr>
                    <w:t>断</w:t>
                  </w:r>
                </w:p>
              </w:tc>
              <w:tc>
                <w:tcPr>
                  <w:tcW w:w="553" w:type="dxa"/>
                  <w:vAlign w:val="top"/>
                </w:tcPr>
                <w:p w14:paraId="3F42B59B">
                  <w:pPr>
                    <w:spacing w:line="316" w:lineRule="auto"/>
                    <w:rPr>
                      <w:rFonts w:ascii="Arial"/>
                      <w:sz w:val="21"/>
                    </w:rPr>
                  </w:pPr>
                </w:p>
                <w:p w14:paraId="5C89ABAC">
                  <w:pPr>
                    <w:spacing w:line="316" w:lineRule="auto"/>
                    <w:rPr>
                      <w:rFonts w:ascii="Arial"/>
                      <w:sz w:val="21"/>
                    </w:rPr>
                  </w:pPr>
                </w:p>
                <w:p w14:paraId="107ED4BF">
                  <w:pPr>
                    <w:spacing w:line="317" w:lineRule="auto"/>
                    <w:rPr>
                      <w:rFonts w:ascii="Arial"/>
                      <w:sz w:val="21"/>
                    </w:rPr>
                  </w:pPr>
                </w:p>
                <w:p w14:paraId="18995AD2">
                  <w:pPr>
                    <w:pStyle w:val="6"/>
                    <w:spacing w:before="65" w:line="187" w:lineRule="auto"/>
                    <w:ind w:left="113"/>
                    <w:rPr>
                      <w:sz w:val="20"/>
                      <w:szCs w:val="20"/>
                    </w:rPr>
                  </w:pPr>
                  <w:r>
                    <w:rPr>
                      <w:sz w:val="20"/>
                      <w:szCs w:val="20"/>
                    </w:rPr>
                    <w:t>T</w:t>
                  </w:r>
                </w:p>
              </w:tc>
              <w:tc>
                <w:tcPr>
                  <w:tcW w:w="1299" w:type="dxa"/>
                  <w:tcBorders>
                    <w:right w:val="nil"/>
                  </w:tcBorders>
                  <w:vAlign w:val="top"/>
                </w:tcPr>
                <w:p w14:paraId="2CFFE911">
                  <w:pPr>
                    <w:pStyle w:val="6"/>
                    <w:spacing w:before="33" w:line="247" w:lineRule="auto"/>
                    <w:ind w:left="113" w:right="107" w:firstLine="3"/>
                    <w:jc w:val="both"/>
                    <w:rPr>
                      <w:sz w:val="20"/>
                      <w:szCs w:val="20"/>
                    </w:rPr>
                  </w:pPr>
                  <w:r>
                    <w:rPr>
                      <w:spacing w:val="14"/>
                      <w:sz w:val="20"/>
                      <w:szCs w:val="20"/>
                    </w:rPr>
                    <w:t>危险废物专</w:t>
                  </w:r>
                  <w:r>
                    <w:rPr>
                      <w:sz w:val="20"/>
                      <w:szCs w:val="20"/>
                    </w:rPr>
                    <w:t xml:space="preserve"> </w:t>
                  </w:r>
                  <w:r>
                    <w:rPr>
                      <w:spacing w:val="15"/>
                      <w:sz w:val="20"/>
                      <w:szCs w:val="20"/>
                    </w:rPr>
                    <w:t>用塑料收集</w:t>
                  </w:r>
                  <w:r>
                    <w:rPr>
                      <w:sz w:val="20"/>
                      <w:szCs w:val="20"/>
                    </w:rPr>
                    <w:t xml:space="preserve"> </w:t>
                  </w:r>
                  <w:r>
                    <w:rPr>
                      <w:spacing w:val="15"/>
                      <w:sz w:val="20"/>
                      <w:szCs w:val="20"/>
                    </w:rPr>
                    <w:t>桶，分类暂</w:t>
                  </w:r>
                  <w:r>
                    <w:rPr>
                      <w:sz w:val="20"/>
                      <w:szCs w:val="20"/>
                    </w:rPr>
                    <w:t xml:space="preserve"> </w:t>
                  </w:r>
                  <w:r>
                    <w:rPr>
                      <w:spacing w:val="2"/>
                      <w:sz w:val="20"/>
                      <w:szCs w:val="20"/>
                    </w:rPr>
                    <w:t>存于</w:t>
                  </w:r>
                  <w:r>
                    <w:rPr>
                      <w:spacing w:val="-41"/>
                      <w:sz w:val="20"/>
                      <w:szCs w:val="20"/>
                    </w:rPr>
                    <w:t xml:space="preserve"> </w:t>
                  </w:r>
                  <w:r>
                    <w:rPr>
                      <w:spacing w:val="2"/>
                      <w:sz w:val="20"/>
                      <w:szCs w:val="20"/>
                    </w:rPr>
                    <w:t>1#其他</w:t>
                  </w:r>
                  <w:r>
                    <w:rPr>
                      <w:sz w:val="20"/>
                      <w:szCs w:val="20"/>
                    </w:rPr>
                    <w:t xml:space="preserve"> </w:t>
                  </w:r>
                  <w:r>
                    <w:rPr>
                      <w:spacing w:val="15"/>
                      <w:sz w:val="20"/>
                      <w:szCs w:val="20"/>
                    </w:rPr>
                    <w:t>危险废物暂</w:t>
                  </w:r>
                  <w:r>
                    <w:rPr>
                      <w:sz w:val="20"/>
                      <w:szCs w:val="20"/>
                    </w:rPr>
                    <w:t xml:space="preserve"> </w:t>
                  </w:r>
                  <w:r>
                    <w:rPr>
                      <w:spacing w:val="5"/>
                      <w:sz w:val="20"/>
                      <w:szCs w:val="20"/>
                    </w:rPr>
                    <w:t>存区，</w:t>
                  </w:r>
                  <w:r>
                    <w:rPr>
                      <w:spacing w:val="-51"/>
                      <w:sz w:val="20"/>
                      <w:szCs w:val="20"/>
                    </w:rPr>
                    <w:t xml:space="preserve"> </w:t>
                  </w:r>
                  <w:r>
                    <w:rPr>
                      <w:spacing w:val="5"/>
                      <w:sz w:val="20"/>
                      <w:szCs w:val="20"/>
                    </w:rPr>
                    <w:t>由有</w:t>
                  </w:r>
                  <w:r>
                    <w:rPr>
                      <w:sz w:val="20"/>
                      <w:szCs w:val="20"/>
                    </w:rPr>
                    <w:t xml:space="preserve"> </w:t>
                  </w:r>
                  <w:r>
                    <w:rPr>
                      <w:spacing w:val="15"/>
                      <w:sz w:val="20"/>
                      <w:szCs w:val="20"/>
                    </w:rPr>
                    <w:t>资质单位处</w:t>
                  </w:r>
                  <w:r>
                    <w:rPr>
                      <w:sz w:val="20"/>
                      <w:szCs w:val="20"/>
                    </w:rPr>
                    <w:t xml:space="preserve"> </w:t>
                  </w:r>
                  <w:r>
                    <w:rPr>
                      <w:spacing w:val="1"/>
                      <w:sz w:val="20"/>
                      <w:szCs w:val="20"/>
                    </w:rPr>
                    <w:t>理</w:t>
                  </w:r>
                </w:p>
              </w:tc>
            </w:tr>
          </w:tbl>
          <w:p w14:paraId="5061B208">
            <w:pPr>
              <w:pStyle w:val="6"/>
              <w:spacing w:before="35" w:line="219" w:lineRule="auto"/>
              <w:ind w:left="596"/>
            </w:pPr>
            <w:r>
              <w:rPr>
                <w:spacing w:val="-2"/>
              </w:rPr>
              <w:t>（3）危险废物贮存分析</w:t>
            </w:r>
          </w:p>
          <w:p w14:paraId="74181110">
            <w:pPr>
              <w:pStyle w:val="6"/>
              <w:spacing w:before="182" w:line="352" w:lineRule="auto"/>
              <w:ind w:left="103" w:right="16" w:firstLine="480"/>
              <w:jc w:val="both"/>
            </w:pPr>
            <w:r>
              <w:rPr>
                <w:spacing w:val="-1"/>
              </w:rPr>
              <w:t>根据《危险废物贮存污染控制标准》（GB18597-2023）中</w:t>
            </w:r>
            <w:r>
              <w:rPr>
                <w:spacing w:val="-32"/>
              </w:rPr>
              <w:t xml:space="preserve"> </w:t>
            </w:r>
            <w:r>
              <w:rPr>
                <w:spacing w:val="-1"/>
              </w:rPr>
              <w:t>8.3.5 规定，贮</w:t>
            </w:r>
            <w:r>
              <w:t xml:space="preserve"> 存库应及时清运，贮存的危险废物实时贮存量不应超过</w:t>
            </w:r>
            <w:r>
              <w:rPr>
                <w:spacing w:val="-35"/>
              </w:rPr>
              <w:t xml:space="preserve"> </w:t>
            </w:r>
            <w:r>
              <w:t>3</w:t>
            </w:r>
            <w:r>
              <w:rPr>
                <w:spacing w:val="-37"/>
              </w:rPr>
              <w:t xml:space="preserve"> </w:t>
            </w:r>
            <w:r>
              <w:t xml:space="preserve">吨。本项目年产生的 </w:t>
            </w:r>
            <w:r>
              <w:rPr>
                <w:spacing w:val="-2"/>
              </w:rPr>
              <w:t>危险废物总量约</w:t>
            </w:r>
            <w:r>
              <w:rPr>
                <w:spacing w:val="-48"/>
              </w:rPr>
              <w:t xml:space="preserve"> </w:t>
            </w:r>
            <w:r>
              <w:rPr>
                <w:spacing w:val="-2"/>
              </w:rPr>
              <w:t>25.284t/a，项目实时产生的危险废</w:t>
            </w:r>
            <w:r>
              <w:rPr>
                <w:spacing w:val="-3"/>
              </w:rPr>
              <w:t>物为</w:t>
            </w:r>
            <w:r>
              <w:rPr>
                <w:spacing w:val="-48"/>
              </w:rPr>
              <w:t xml:space="preserve"> </w:t>
            </w:r>
            <w:r>
              <w:rPr>
                <w:spacing w:val="-3"/>
              </w:rPr>
              <w:t>0.08t，项目最大储存</w:t>
            </w:r>
            <w:r>
              <w:t xml:space="preserve"> </w:t>
            </w:r>
            <w:r>
              <w:rPr>
                <w:spacing w:val="-6"/>
              </w:rPr>
              <w:t>量为</w:t>
            </w:r>
            <w:r>
              <w:rPr>
                <w:spacing w:val="-46"/>
              </w:rPr>
              <w:t xml:space="preserve"> </w:t>
            </w:r>
            <w:r>
              <w:rPr>
                <w:spacing w:val="-6"/>
              </w:rPr>
              <w:t>3t，危险废物周转周期为</w:t>
            </w:r>
            <w:r>
              <w:rPr>
                <w:spacing w:val="-32"/>
              </w:rPr>
              <w:t xml:space="preserve"> </w:t>
            </w:r>
            <w:r>
              <w:rPr>
                <w:spacing w:val="-6"/>
              </w:rPr>
              <w:t>1</w:t>
            </w:r>
            <w:r>
              <w:rPr>
                <w:spacing w:val="-51"/>
              </w:rPr>
              <w:t xml:space="preserve"> </w:t>
            </w:r>
            <w:r>
              <w:rPr>
                <w:spacing w:val="-6"/>
              </w:rPr>
              <w:t>个月，本项目危险废物贮存库的</w:t>
            </w:r>
            <w:r>
              <w:rPr>
                <w:spacing w:val="-7"/>
              </w:rPr>
              <w:t>贮存能力可行。</w:t>
            </w:r>
          </w:p>
        </w:tc>
      </w:tr>
    </w:tbl>
    <w:p w14:paraId="0558A122">
      <w:pPr>
        <w:pStyle w:val="2"/>
      </w:pPr>
    </w:p>
    <w:p w14:paraId="22A87ED7">
      <w:pPr>
        <w:sectPr>
          <w:footerReference r:id="rId80"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6CE608CE">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30" w:hRule="atLeast"/>
        </w:trPr>
        <w:tc>
          <w:tcPr>
            <w:tcW w:w="477" w:type="dxa"/>
            <w:tcBorders>
              <w:right w:val="single" w:color="000000" w:sz="2" w:space="0"/>
            </w:tcBorders>
            <w:vAlign w:val="top"/>
          </w:tcPr>
          <w:p w14:paraId="09AEFEDF">
            <w:pPr>
              <w:rPr>
                <w:rFonts w:ascii="Arial"/>
                <w:sz w:val="21"/>
              </w:rPr>
            </w:pPr>
          </w:p>
        </w:tc>
        <w:tc>
          <w:tcPr>
            <w:tcW w:w="8425" w:type="dxa"/>
            <w:tcBorders>
              <w:left w:val="single" w:color="000000" w:sz="2" w:space="0"/>
            </w:tcBorders>
            <w:vAlign w:val="top"/>
          </w:tcPr>
          <w:p w14:paraId="3B9F6467">
            <w:pPr>
              <w:pStyle w:val="6"/>
              <w:spacing w:before="100" w:line="219" w:lineRule="auto"/>
              <w:ind w:left="1318"/>
            </w:pPr>
            <w:r>
              <w:rPr>
                <w:b/>
                <w:bCs/>
                <w:spacing w:val="-2"/>
              </w:rPr>
              <w:t>表</w:t>
            </w:r>
            <w:r>
              <w:rPr>
                <w:spacing w:val="-54"/>
              </w:rPr>
              <w:t xml:space="preserve"> </w:t>
            </w:r>
            <w:r>
              <w:rPr>
                <w:rFonts w:ascii="Times New Roman" w:hAnsi="Times New Roman" w:eastAsia="Times New Roman" w:cs="Times New Roman"/>
                <w:b/>
                <w:bCs/>
                <w:spacing w:val="-2"/>
              </w:rPr>
              <w:t xml:space="preserve">4-11    </w:t>
            </w:r>
            <w:r>
              <w:rPr>
                <w:b/>
                <w:bCs/>
                <w:spacing w:val="-2"/>
              </w:rPr>
              <w:t>建设项目危险废物贮存场所（</w:t>
            </w:r>
            <w:r>
              <w:rPr>
                <w:b/>
                <w:bCs/>
                <w:spacing w:val="-3"/>
              </w:rPr>
              <w:t>设施）基本情况</w:t>
            </w:r>
          </w:p>
          <w:p w14:paraId="436D75B8">
            <w:pPr>
              <w:spacing w:line="68" w:lineRule="exact"/>
            </w:pPr>
          </w:p>
          <w:tbl>
            <w:tblPr>
              <w:tblStyle w:val="5"/>
              <w:tblW w:w="8134"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40"/>
              <w:gridCol w:w="849"/>
              <w:gridCol w:w="1550"/>
              <w:gridCol w:w="596"/>
              <w:gridCol w:w="468"/>
              <w:gridCol w:w="3601"/>
              <w:gridCol w:w="341"/>
              <w:gridCol w:w="389"/>
            </w:tblGrid>
            <w:tr w14:paraId="19D9426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2" w:hRule="atLeast"/>
              </w:trPr>
              <w:tc>
                <w:tcPr>
                  <w:tcW w:w="340" w:type="dxa"/>
                  <w:tcBorders>
                    <w:top w:val="single" w:color="000000" w:sz="10" w:space="0"/>
                    <w:left w:val="nil"/>
                  </w:tcBorders>
                  <w:textDirection w:val="tbRlV"/>
                  <w:vAlign w:val="top"/>
                </w:tcPr>
                <w:p w14:paraId="6F3313C7">
                  <w:pPr>
                    <w:pStyle w:val="6"/>
                    <w:spacing w:before="19" w:line="218" w:lineRule="auto"/>
                    <w:ind w:left="369"/>
                    <w:rPr>
                      <w:sz w:val="20"/>
                      <w:szCs w:val="20"/>
                    </w:rPr>
                  </w:pPr>
                  <w:r>
                    <w:rPr>
                      <w:spacing w:val="6"/>
                      <w:sz w:val="20"/>
                      <w:szCs w:val="20"/>
                    </w:rPr>
                    <w:t>序 号</w:t>
                  </w:r>
                </w:p>
              </w:tc>
              <w:tc>
                <w:tcPr>
                  <w:tcW w:w="849" w:type="dxa"/>
                  <w:tcBorders>
                    <w:top w:val="single" w:color="000000" w:sz="10" w:space="0"/>
                  </w:tcBorders>
                  <w:vAlign w:val="top"/>
                </w:tcPr>
                <w:p w14:paraId="4AC20355">
                  <w:pPr>
                    <w:pStyle w:val="6"/>
                    <w:spacing w:before="57" w:line="279" w:lineRule="auto"/>
                    <w:ind w:left="115" w:right="107"/>
                    <w:jc w:val="both"/>
                    <w:rPr>
                      <w:sz w:val="20"/>
                      <w:szCs w:val="20"/>
                    </w:rPr>
                  </w:pPr>
                  <w:r>
                    <w:rPr>
                      <w:spacing w:val="6"/>
                      <w:sz w:val="20"/>
                      <w:szCs w:val="20"/>
                    </w:rPr>
                    <w:t>贮存场</w:t>
                  </w:r>
                  <w:r>
                    <w:rPr>
                      <w:sz w:val="20"/>
                      <w:szCs w:val="20"/>
                    </w:rPr>
                    <w:t xml:space="preserve"> </w:t>
                  </w:r>
                  <w:r>
                    <w:rPr>
                      <w:spacing w:val="6"/>
                      <w:sz w:val="20"/>
                      <w:szCs w:val="20"/>
                    </w:rPr>
                    <w:t>所（设</w:t>
                  </w:r>
                  <w:r>
                    <w:rPr>
                      <w:spacing w:val="1"/>
                      <w:sz w:val="20"/>
                      <w:szCs w:val="20"/>
                    </w:rPr>
                    <w:t xml:space="preserve"> </w:t>
                  </w:r>
                  <w:r>
                    <w:rPr>
                      <w:spacing w:val="36"/>
                      <w:w w:val="108"/>
                      <w:sz w:val="20"/>
                      <w:szCs w:val="20"/>
                    </w:rPr>
                    <w:t>施）</w:t>
                  </w:r>
                </w:p>
                <w:p w14:paraId="2EEE06FE">
                  <w:pPr>
                    <w:pStyle w:val="6"/>
                    <w:spacing w:before="28" w:line="230" w:lineRule="auto"/>
                    <w:ind w:left="221"/>
                    <w:rPr>
                      <w:sz w:val="20"/>
                      <w:szCs w:val="20"/>
                    </w:rPr>
                  </w:pPr>
                  <w:r>
                    <w:rPr>
                      <w:spacing w:val="3"/>
                      <w:sz w:val="20"/>
                      <w:szCs w:val="20"/>
                    </w:rPr>
                    <w:t>名称</w:t>
                  </w:r>
                </w:p>
              </w:tc>
              <w:tc>
                <w:tcPr>
                  <w:tcW w:w="1550" w:type="dxa"/>
                  <w:tcBorders>
                    <w:top w:val="single" w:color="000000" w:sz="10" w:space="0"/>
                  </w:tcBorders>
                  <w:vAlign w:val="top"/>
                </w:tcPr>
                <w:p w14:paraId="3B1A3D51">
                  <w:pPr>
                    <w:spacing w:line="457" w:lineRule="auto"/>
                    <w:rPr>
                      <w:rFonts w:ascii="Arial"/>
                      <w:sz w:val="21"/>
                    </w:rPr>
                  </w:pPr>
                </w:p>
                <w:p w14:paraId="017D804E">
                  <w:pPr>
                    <w:pStyle w:val="6"/>
                    <w:spacing w:before="65" w:line="228" w:lineRule="auto"/>
                    <w:ind w:left="152"/>
                    <w:rPr>
                      <w:sz w:val="20"/>
                      <w:szCs w:val="20"/>
                    </w:rPr>
                  </w:pPr>
                  <w:r>
                    <w:rPr>
                      <w:spacing w:val="7"/>
                      <w:sz w:val="20"/>
                      <w:szCs w:val="20"/>
                    </w:rPr>
                    <w:t>危险废物名称</w:t>
                  </w:r>
                </w:p>
              </w:tc>
              <w:tc>
                <w:tcPr>
                  <w:tcW w:w="596" w:type="dxa"/>
                  <w:tcBorders>
                    <w:top w:val="single" w:color="000000" w:sz="10" w:space="0"/>
                  </w:tcBorders>
                  <w:textDirection w:val="tbRlV"/>
                  <w:vAlign w:val="top"/>
                </w:tcPr>
                <w:p w14:paraId="77CDB695">
                  <w:pPr>
                    <w:pStyle w:val="6"/>
                    <w:spacing w:before="192" w:line="218" w:lineRule="auto"/>
                    <w:ind w:left="369"/>
                    <w:rPr>
                      <w:sz w:val="20"/>
                      <w:szCs w:val="20"/>
                    </w:rPr>
                  </w:pPr>
                  <w:r>
                    <w:rPr>
                      <w:spacing w:val="6"/>
                      <w:sz w:val="20"/>
                      <w:szCs w:val="20"/>
                    </w:rPr>
                    <w:t>位 置</w:t>
                  </w:r>
                </w:p>
              </w:tc>
              <w:tc>
                <w:tcPr>
                  <w:tcW w:w="468" w:type="dxa"/>
                  <w:tcBorders>
                    <w:top w:val="single" w:color="000000" w:sz="10" w:space="0"/>
                  </w:tcBorders>
                  <w:textDirection w:val="tbRlV"/>
                  <w:vAlign w:val="top"/>
                </w:tcPr>
                <w:p w14:paraId="74989952">
                  <w:pPr>
                    <w:pStyle w:val="6"/>
                    <w:spacing w:before="127" w:line="207" w:lineRule="auto"/>
                    <w:ind w:left="57"/>
                    <w:rPr>
                      <w:sz w:val="20"/>
                      <w:szCs w:val="20"/>
                    </w:rPr>
                  </w:pPr>
                  <w:r>
                    <w:rPr>
                      <w:spacing w:val="6"/>
                      <w:position w:val="1"/>
                      <w:sz w:val="20"/>
                      <w:szCs w:val="20"/>
                    </w:rPr>
                    <w:t xml:space="preserve">占 </w:t>
                  </w:r>
                  <w:r>
                    <w:rPr>
                      <w:spacing w:val="6"/>
                      <w:sz w:val="20"/>
                      <w:szCs w:val="20"/>
                    </w:rPr>
                    <w:t>地 面 积</w:t>
                  </w:r>
                </w:p>
              </w:tc>
              <w:tc>
                <w:tcPr>
                  <w:tcW w:w="3601" w:type="dxa"/>
                  <w:tcBorders>
                    <w:top w:val="single" w:color="000000" w:sz="10" w:space="0"/>
                  </w:tcBorders>
                  <w:vAlign w:val="top"/>
                </w:tcPr>
                <w:p w14:paraId="1A610D84">
                  <w:pPr>
                    <w:spacing w:line="457" w:lineRule="auto"/>
                    <w:rPr>
                      <w:rFonts w:ascii="Arial"/>
                      <w:sz w:val="21"/>
                    </w:rPr>
                  </w:pPr>
                </w:p>
                <w:p w14:paraId="46DA1D22">
                  <w:pPr>
                    <w:pStyle w:val="6"/>
                    <w:spacing w:before="65" w:line="228" w:lineRule="auto"/>
                    <w:ind w:left="1386"/>
                    <w:rPr>
                      <w:sz w:val="20"/>
                      <w:szCs w:val="20"/>
                    </w:rPr>
                  </w:pPr>
                  <w:r>
                    <w:rPr>
                      <w:spacing w:val="7"/>
                      <w:sz w:val="20"/>
                      <w:szCs w:val="20"/>
                    </w:rPr>
                    <w:t>贮存方式</w:t>
                  </w:r>
                </w:p>
              </w:tc>
              <w:tc>
                <w:tcPr>
                  <w:tcW w:w="341" w:type="dxa"/>
                  <w:tcBorders>
                    <w:top w:val="single" w:color="000000" w:sz="10" w:space="0"/>
                  </w:tcBorders>
                  <w:textDirection w:val="tbRlV"/>
                  <w:vAlign w:val="top"/>
                </w:tcPr>
                <w:p w14:paraId="2A13F870">
                  <w:pPr>
                    <w:pStyle w:val="6"/>
                    <w:spacing w:before="20" w:line="216" w:lineRule="auto"/>
                    <w:ind w:left="57"/>
                    <w:rPr>
                      <w:sz w:val="20"/>
                      <w:szCs w:val="20"/>
                    </w:rPr>
                  </w:pPr>
                  <w:r>
                    <w:rPr>
                      <w:spacing w:val="6"/>
                      <w:sz w:val="20"/>
                      <w:szCs w:val="20"/>
                    </w:rPr>
                    <w:t>贮 存 能 力</w:t>
                  </w:r>
                </w:p>
              </w:tc>
              <w:tc>
                <w:tcPr>
                  <w:tcW w:w="389" w:type="dxa"/>
                  <w:tcBorders>
                    <w:top w:val="single" w:color="000000" w:sz="10" w:space="0"/>
                    <w:right w:val="nil"/>
                  </w:tcBorders>
                  <w:textDirection w:val="tbRlV"/>
                  <w:vAlign w:val="top"/>
                </w:tcPr>
                <w:p w14:paraId="7E12BC77">
                  <w:pPr>
                    <w:pStyle w:val="6"/>
                    <w:spacing w:before="71" w:line="216" w:lineRule="auto"/>
                    <w:ind w:left="57"/>
                    <w:rPr>
                      <w:sz w:val="20"/>
                      <w:szCs w:val="20"/>
                    </w:rPr>
                  </w:pPr>
                  <w:r>
                    <w:rPr>
                      <w:spacing w:val="6"/>
                      <w:sz w:val="20"/>
                      <w:szCs w:val="20"/>
                    </w:rPr>
                    <w:t>贮 存 周 期</w:t>
                  </w:r>
                </w:p>
              </w:tc>
            </w:tr>
            <w:tr w14:paraId="012ACE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6" w:hRule="atLeast"/>
              </w:trPr>
              <w:tc>
                <w:tcPr>
                  <w:tcW w:w="340" w:type="dxa"/>
                  <w:tcBorders>
                    <w:left w:val="nil"/>
                  </w:tcBorders>
                  <w:vAlign w:val="top"/>
                </w:tcPr>
                <w:p w14:paraId="2D4D505A">
                  <w:pPr>
                    <w:spacing w:line="346" w:lineRule="auto"/>
                    <w:rPr>
                      <w:rFonts w:ascii="Arial"/>
                      <w:sz w:val="21"/>
                    </w:rPr>
                  </w:pPr>
                </w:p>
                <w:p w14:paraId="3CB3BA9C">
                  <w:pPr>
                    <w:spacing w:before="57" w:line="195" w:lineRule="auto"/>
                    <w:ind w:left="14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849" w:type="dxa"/>
                  <w:vAlign w:val="top"/>
                </w:tcPr>
                <w:p w14:paraId="584DF90C">
                  <w:pPr>
                    <w:pStyle w:val="6"/>
                    <w:spacing w:before="58" w:line="267" w:lineRule="auto"/>
                    <w:ind w:left="115" w:right="107" w:firstLine="4"/>
                    <w:jc w:val="both"/>
                    <w:rPr>
                      <w:sz w:val="20"/>
                      <w:szCs w:val="20"/>
                    </w:rPr>
                  </w:pPr>
                  <w:r>
                    <w:rPr>
                      <w:spacing w:val="3"/>
                      <w:sz w:val="20"/>
                      <w:szCs w:val="20"/>
                    </w:rPr>
                    <w:t>3#废矿</w:t>
                  </w:r>
                  <w:r>
                    <w:rPr>
                      <w:spacing w:val="1"/>
                      <w:sz w:val="20"/>
                      <w:szCs w:val="20"/>
                    </w:rPr>
                    <w:t xml:space="preserve"> </w:t>
                  </w:r>
                  <w:r>
                    <w:rPr>
                      <w:spacing w:val="6"/>
                      <w:sz w:val="20"/>
                      <w:szCs w:val="20"/>
                    </w:rPr>
                    <w:t>物油暂</w:t>
                  </w:r>
                  <w:r>
                    <w:rPr>
                      <w:spacing w:val="1"/>
                      <w:sz w:val="20"/>
                      <w:szCs w:val="20"/>
                    </w:rPr>
                    <w:t xml:space="preserve"> </w:t>
                  </w:r>
                  <w:r>
                    <w:rPr>
                      <w:spacing w:val="24"/>
                      <w:w w:val="116"/>
                      <w:sz w:val="20"/>
                      <w:szCs w:val="20"/>
                    </w:rPr>
                    <w:t>存区</w:t>
                  </w:r>
                </w:p>
              </w:tc>
              <w:tc>
                <w:tcPr>
                  <w:tcW w:w="1550" w:type="dxa"/>
                  <w:vAlign w:val="top"/>
                </w:tcPr>
                <w:p w14:paraId="7D435FAB">
                  <w:pPr>
                    <w:pStyle w:val="6"/>
                    <w:spacing w:before="213" w:line="273" w:lineRule="auto"/>
                    <w:ind w:left="675" w:right="145" w:hanging="527"/>
                    <w:rPr>
                      <w:sz w:val="20"/>
                      <w:szCs w:val="20"/>
                    </w:rPr>
                  </w:pPr>
                  <w:r>
                    <w:rPr>
                      <w:spacing w:val="8"/>
                      <w:sz w:val="20"/>
                      <w:szCs w:val="20"/>
                    </w:rPr>
                    <w:t>废油液、制冷</w:t>
                  </w:r>
                  <w:r>
                    <w:rPr>
                      <w:spacing w:val="1"/>
                      <w:sz w:val="20"/>
                      <w:szCs w:val="20"/>
                    </w:rPr>
                    <w:t xml:space="preserve"> </w:t>
                  </w:r>
                  <w:r>
                    <w:rPr>
                      <w:sz w:val="20"/>
                      <w:szCs w:val="20"/>
                    </w:rPr>
                    <w:t>剂</w:t>
                  </w:r>
                </w:p>
              </w:tc>
              <w:tc>
                <w:tcPr>
                  <w:tcW w:w="596" w:type="dxa"/>
                  <w:vMerge w:val="restart"/>
                  <w:tcBorders>
                    <w:bottom w:val="nil"/>
                  </w:tcBorders>
                  <w:textDirection w:val="tbRlV"/>
                  <w:vAlign w:val="top"/>
                </w:tcPr>
                <w:p w14:paraId="1B09F90E">
                  <w:pPr>
                    <w:pStyle w:val="6"/>
                    <w:spacing w:before="192" w:line="217" w:lineRule="auto"/>
                    <w:ind w:left="1159"/>
                    <w:rPr>
                      <w:sz w:val="20"/>
                      <w:szCs w:val="20"/>
                    </w:rPr>
                  </w:pPr>
                  <w:r>
                    <w:rPr>
                      <w:spacing w:val="6"/>
                      <w:sz w:val="20"/>
                      <w:szCs w:val="20"/>
                    </w:rPr>
                    <w:t>拆 解 车 间 南 侧</w:t>
                  </w:r>
                </w:p>
              </w:tc>
              <w:tc>
                <w:tcPr>
                  <w:tcW w:w="468" w:type="dxa"/>
                  <w:vAlign w:val="top"/>
                </w:tcPr>
                <w:p w14:paraId="1F23A1F2">
                  <w:pPr>
                    <w:pStyle w:val="6"/>
                    <w:spacing w:before="247" w:line="303" w:lineRule="auto"/>
                    <w:ind w:left="155" w:right="126" w:hanging="18"/>
                    <w:rPr>
                      <w:sz w:val="10"/>
                      <w:szCs w:val="10"/>
                    </w:rPr>
                  </w:pPr>
                  <w:r>
                    <w:rPr>
                      <w:spacing w:val="-1"/>
                      <w:sz w:val="20"/>
                      <w:szCs w:val="20"/>
                    </w:rPr>
                    <w:t>20</w:t>
                  </w:r>
                  <w:r>
                    <w:rPr>
                      <w:sz w:val="20"/>
                      <w:szCs w:val="20"/>
                    </w:rPr>
                    <w:t xml:space="preserve"> </w:t>
                  </w:r>
                  <w:r>
                    <w:rPr>
                      <w:spacing w:val="1"/>
                      <w:position w:val="-1"/>
                      <w:sz w:val="20"/>
                      <w:szCs w:val="20"/>
                    </w:rPr>
                    <w:t>m</w:t>
                  </w:r>
                  <w:r>
                    <w:rPr>
                      <w:spacing w:val="1"/>
                      <w:position w:val="9"/>
                      <w:sz w:val="10"/>
                      <w:szCs w:val="10"/>
                    </w:rPr>
                    <w:t>2</w:t>
                  </w:r>
                </w:p>
              </w:tc>
              <w:tc>
                <w:tcPr>
                  <w:tcW w:w="3601" w:type="dxa"/>
                  <w:vAlign w:val="top"/>
                </w:tcPr>
                <w:p w14:paraId="66B4F810">
                  <w:pPr>
                    <w:pStyle w:val="6"/>
                    <w:spacing w:before="58" w:line="267" w:lineRule="auto"/>
                    <w:ind w:left="114" w:right="106" w:firstLine="16"/>
                    <w:jc w:val="both"/>
                    <w:rPr>
                      <w:sz w:val="20"/>
                      <w:szCs w:val="20"/>
                    </w:rPr>
                  </w:pPr>
                  <w:r>
                    <w:rPr>
                      <w:spacing w:val="9"/>
                      <w:sz w:val="20"/>
                      <w:szCs w:val="20"/>
                    </w:rPr>
                    <w:t>带盖密闭塑料桶，底设托盘，区内导</w:t>
                  </w:r>
                  <w:r>
                    <w:rPr>
                      <w:spacing w:val="1"/>
                      <w:sz w:val="20"/>
                      <w:szCs w:val="20"/>
                    </w:rPr>
                    <w:t xml:space="preserve"> </w:t>
                  </w:r>
                  <w:r>
                    <w:rPr>
                      <w:spacing w:val="4"/>
                      <w:sz w:val="20"/>
                      <w:szCs w:val="20"/>
                    </w:rPr>
                    <w:t>流槽和紧急收集池，收集池</w:t>
                  </w:r>
                  <w:r>
                    <w:rPr>
                      <w:spacing w:val="-19"/>
                      <w:sz w:val="20"/>
                      <w:szCs w:val="20"/>
                    </w:rPr>
                    <w:t xml:space="preserve"> </w:t>
                  </w:r>
                  <w:r>
                    <w:rPr>
                      <w:rFonts w:ascii="Times New Roman" w:hAnsi="Times New Roman" w:eastAsia="Times New Roman" w:cs="Times New Roman"/>
                      <w:spacing w:val="4"/>
                      <w:sz w:val="20"/>
                      <w:szCs w:val="20"/>
                    </w:rPr>
                    <w:t>10m</w:t>
                  </w:r>
                  <w:r>
                    <w:rPr>
                      <w:rFonts w:ascii="Times New Roman" w:hAnsi="Times New Roman" w:eastAsia="Times New Roman" w:cs="Times New Roman"/>
                      <w:spacing w:val="4"/>
                      <w:position w:val="6"/>
                      <w:sz w:val="13"/>
                      <w:szCs w:val="13"/>
                    </w:rPr>
                    <w:t>3</w:t>
                  </w:r>
                  <w:r>
                    <w:rPr>
                      <w:spacing w:val="4"/>
                      <w:sz w:val="20"/>
                      <w:szCs w:val="20"/>
                    </w:rPr>
                    <w:t>，采</w:t>
                  </w:r>
                  <w:r>
                    <w:rPr>
                      <w:sz w:val="20"/>
                      <w:szCs w:val="20"/>
                    </w:rPr>
                    <w:t xml:space="preserve"> </w:t>
                  </w:r>
                  <w:r>
                    <w:rPr>
                      <w:spacing w:val="11"/>
                      <w:sz w:val="20"/>
                      <w:szCs w:val="20"/>
                    </w:rPr>
                    <w:t>用防渗层</w:t>
                  </w:r>
                  <w:r>
                    <w:rPr>
                      <w:spacing w:val="-34"/>
                      <w:sz w:val="20"/>
                      <w:szCs w:val="20"/>
                    </w:rPr>
                    <w:t xml:space="preserve"> </w:t>
                  </w:r>
                  <w:r>
                    <w:rPr>
                      <w:rFonts w:ascii="Times New Roman" w:hAnsi="Times New Roman" w:eastAsia="Times New Roman" w:cs="Times New Roman"/>
                      <w:spacing w:val="11"/>
                      <w:sz w:val="20"/>
                      <w:szCs w:val="20"/>
                    </w:rPr>
                    <w:t>2.0</w:t>
                  </w:r>
                  <w:r>
                    <w:rPr>
                      <w:rFonts w:ascii="Times New Roman" w:hAnsi="Times New Roman" w:eastAsia="Times New Roman" w:cs="Times New Roman"/>
                      <w:sz w:val="20"/>
                      <w:szCs w:val="20"/>
                    </w:rPr>
                    <w:t>mm</w:t>
                  </w:r>
                  <w:r>
                    <w:rPr>
                      <w:rFonts w:ascii="Times New Roman" w:hAnsi="Times New Roman" w:eastAsia="Times New Roman" w:cs="Times New Roman"/>
                      <w:spacing w:val="11"/>
                      <w:sz w:val="20"/>
                      <w:szCs w:val="20"/>
                    </w:rPr>
                    <w:t xml:space="preserve">  </w:t>
                  </w:r>
                  <w:r>
                    <w:rPr>
                      <w:spacing w:val="11"/>
                      <w:sz w:val="20"/>
                      <w:szCs w:val="20"/>
                    </w:rPr>
                    <w:t>厚高密度聚乙烯膜</w:t>
                  </w:r>
                </w:p>
              </w:tc>
              <w:tc>
                <w:tcPr>
                  <w:tcW w:w="341" w:type="dxa"/>
                  <w:vAlign w:val="top"/>
                </w:tcPr>
                <w:p w14:paraId="5E0CFE36">
                  <w:pPr>
                    <w:spacing w:before="250" w:line="325" w:lineRule="auto"/>
                    <w:ind w:left="139" w:right="115"/>
                    <w:rPr>
                      <w:rFonts w:ascii="Times New Roman" w:hAnsi="Times New Roman" w:eastAsia="Times New Roman" w:cs="Times New Roman"/>
                      <w:sz w:val="20"/>
                      <w:szCs w:val="20"/>
                    </w:rPr>
                  </w:pPr>
                  <w:r>
                    <w:rPr>
                      <w:rFonts w:ascii="Times New Roman" w:hAnsi="Times New Roman" w:eastAsia="Times New Roman" w:cs="Times New Roman"/>
                      <w:spacing w:val="-20"/>
                      <w:sz w:val="20"/>
                      <w:szCs w:val="20"/>
                    </w:rPr>
                    <w:t>1</w:t>
                  </w:r>
                  <w:r>
                    <w:rPr>
                      <w:rFonts w:ascii="Times New Roman" w:hAnsi="Times New Roman" w:eastAsia="Times New Roman" w:cs="Times New Roman"/>
                      <w:sz w:val="20"/>
                      <w:szCs w:val="20"/>
                    </w:rPr>
                    <w:t xml:space="preserve"> t</w:t>
                  </w:r>
                </w:p>
              </w:tc>
              <w:tc>
                <w:tcPr>
                  <w:tcW w:w="389" w:type="dxa"/>
                  <w:tcBorders>
                    <w:right w:val="nil"/>
                  </w:tcBorders>
                  <w:vAlign w:val="top"/>
                </w:tcPr>
                <w:p w14:paraId="3C6E38BC">
                  <w:pPr>
                    <w:pStyle w:val="6"/>
                    <w:spacing w:before="94" w:line="266" w:lineRule="auto"/>
                    <w:ind w:left="114" w:right="71" w:firstLine="76"/>
                    <w:jc w:val="both"/>
                    <w:rPr>
                      <w:sz w:val="20"/>
                      <w:szCs w:val="20"/>
                    </w:rPr>
                  </w:pPr>
                  <w:r>
                    <w:rPr>
                      <w:rFonts w:ascii="Times New Roman" w:hAnsi="Times New Roman" w:eastAsia="Times New Roman" w:cs="Times New Roman"/>
                      <w:spacing w:val="-20"/>
                      <w:sz w:val="20"/>
                      <w:szCs w:val="20"/>
                    </w:rPr>
                    <w:t>1</w:t>
                  </w:r>
                  <w:r>
                    <w:rPr>
                      <w:rFonts w:ascii="Times New Roman" w:hAnsi="Times New Roman" w:eastAsia="Times New Roman" w:cs="Times New Roman"/>
                      <w:sz w:val="20"/>
                      <w:szCs w:val="20"/>
                    </w:rPr>
                    <w:t xml:space="preserve">  </w:t>
                  </w:r>
                  <w:r>
                    <w:rPr>
                      <w:sz w:val="20"/>
                      <w:szCs w:val="20"/>
                    </w:rPr>
                    <w:t>个 月</w:t>
                  </w:r>
                </w:p>
              </w:tc>
            </w:tr>
            <w:tr w14:paraId="70C2BA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47" w:hRule="atLeast"/>
              </w:trPr>
              <w:tc>
                <w:tcPr>
                  <w:tcW w:w="340" w:type="dxa"/>
                  <w:tcBorders>
                    <w:left w:val="nil"/>
                  </w:tcBorders>
                  <w:vAlign w:val="top"/>
                </w:tcPr>
                <w:p w14:paraId="1EB4797D">
                  <w:pPr>
                    <w:spacing w:line="252" w:lineRule="auto"/>
                    <w:rPr>
                      <w:rFonts w:ascii="Arial"/>
                      <w:sz w:val="21"/>
                    </w:rPr>
                  </w:pPr>
                </w:p>
                <w:p w14:paraId="1B3B1512">
                  <w:pPr>
                    <w:spacing w:line="253" w:lineRule="auto"/>
                    <w:rPr>
                      <w:rFonts w:ascii="Arial"/>
                      <w:sz w:val="21"/>
                    </w:rPr>
                  </w:pPr>
                </w:p>
                <w:p w14:paraId="35FB0F07">
                  <w:pPr>
                    <w:spacing w:before="58" w:line="195" w:lineRule="auto"/>
                    <w:ind w:left="120"/>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849" w:type="dxa"/>
                  <w:vAlign w:val="top"/>
                </w:tcPr>
                <w:p w14:paraId="04D5AA7C">
                  <w:pPr>
                    <w:pStyle w:val="6"/>
                    <w:spacing w:before="219" w:line="278" w:lineRule="auto"/>
                    <w:ind w:left="138" w:right="107" w:hanging="21"/>
                    <w:jc w:val="both"/>
                    <w:rPr>
                      <w:sz w:val="20"/>
                      <w:szCs w:val="20"/>
                    </w:rPr>
                  </w:pPr>
                  <w:r>
                    <w:rPr>
                      <w:spacing w:val="3"/>
                      <w:sz w:val="20"/>
                      <w:szCs w:val="20"/>
                    </w:rPr>
                    <w:t>2#废蓄</w:t>
                  </w:r>
                  <w:r>
                    <w:rPr>
                      <w:spacing w:val="2"/>
                      <w:sz w:val="20"/>
                      <w:szCs w:val="20"/>
                    </w:rPr>
                    <w:t xml:space="preserve"> </w:t>
                  </w:r>
                  <w:r>
                    <w:rPr>
                      <w:spacing w:val="-2"/>
                      <w:sz w:val="20"/>
                      <w:szCs w:val="20"/>
                    </w:rPr>
                    <w:t>电池暂</w:t>
                  </w:r>
                  <w:r>
                    <w:rPr>
                      <w:spacing w:val="1"/>
                      <w:sz w:val="20"/>
                      <w:szCs w:val="20"/>
                    </w:rPr>
                    <w:t xml:space="preserve"> </w:t>
                  </w:r>
                  <w:r>
                    <w:rPr>
                      <w:spacing w:val="44"/>
                      <w:sz w:val="20"/>
                      <w:szCs w:val="20"/>
                    </w:rPr>
                    <w:t>存区</w:t>
                  </w:r>
                </w:p>
              </w:tc>
              <w:tc>
                <w:tcPr>
                  <w:tcW w:w="1550" w:type="dxa"/>
                  <w:vAlign w:val="top"/>
                </w:tcPr>
                <w:p w14:paraId="23E7A039">
                  <w:pPr>
                    <w:spacing w:line="462" w:lineRule="auto"/>
                    <w:rPr>
                      <w:rFonts w:ascii="Arial"/>
                      <w:sz w:val="21"/>
                    </w:rPr>
                  </w:pPr>
                </w:p>
                <w:p w14:paraId="090323DA">
                  <w:pPr>
                    <w:pStyle w:val="6"/>
                    <w:spacing w:before="65" w:line="228" w:lineRule="auto"/>
                    <w:ind w:left="148"/>
                    <w:rPr>
                      <w:sz w:val="20"/>
                      <w:szCs w:val="20"/>
                    </w:rPr>
                  </w:pPr>
                  <w:r>
                    <w:rPr>
                      <w:spacing w:val="8"/>
                      <w:sz w:val="20"/>
                      <w:szCs w:val="20"/>
                    </w:rPr>
                    <w:t>废铅酸蓄电池</w:t>
                  </w:r>
                </w:p>
              </w:tc>
              <w:tc>
                <w:tcPr>
                  <w:tcW w:w="596" w:type="dxa"/>
                  <w:vMerge w:val="continue"/>
                  <w:tcBorders>
                    <w:top w:val="nil"/>
                    <w:bottom w:val="nil"/>
                  </w:tcBorders>
                  <w:textDirection w:val="tbRlV"/>
                  <w:vAlign w:val="top"/>
                </w:tcPr>
                <w:p w14:paraId="440820BA">
                  <w:pPr>
                    <w:rPr>
                      <w:rFonts w:ascii="Arial"/>
                      <w:sz w:val="21"/>
                    </w:rPr>
                  </w:pPr>
                </w:p>
              </w:tc>
              <w:tc>
                <w:tcPr>
                  <w:tcW w:w="468" w:type="dxa"/>
                  <w:vAlign w:val="top"/>
                </w:tcPr>
                <w:p w14:paraId="128649E1">
                  <w:pPr>
                    <w:spacing w:line="340" w:lineRule="auto"/>
                    <w:rPr>
                      <w:rFonts w:ascii="Arial"/>
                      <w:sz w:val="21"/>
                    </w:rPr>
                  </w:pPr>
                </w:p>
                <w:p w14:paraId="205F042C">
                  <w:pPr>
                    <w:pStyle w:val="6"/>
                    <w:spacing w:before="65" w:line="303" w:lineRule="auto"/>
                    <w:ind w:left="155" w:right="126" w:hanging="18"/>
                    <w:rPr>
                      <w:sz w:val="10"/>
                      <w:szCs w:val="10"/>
                    </w:rPr>
                  </w:pPr>
                  <w:r>
                    <w:rPr>
                      <w:spacing w:val="-1"/>
                      <w:sz w:val="20"/>
                      <w:szCs w:val="20"/>
                    </w:rPr>
                    <w:t>20</w:t>
                  </w:r>
                  <w:r>
                    <w:rPr>
                      <w:sz w:val="20"/>
                      <w:szCs w:val="20"/>
                    </w:rPr>
                    <w:t xml:space="preserve"> </w:t>
                  </w:r>
                  <w:r>
                    <w:rPr>
                      <w:spacing w:val="1"/>
                      <w:position w:val="-1"/>
                      <w:sz w:val="20"/>
                      <w:szCs w:val="20"/>
                    </w:rPr>
                    <w:t>m</w:t>
                  </w:r>
                  <w:r>
                    <w:rPr>
                      <w:spacing w:val="1"/>
                      <w:position w:val="9"/>
                      <w:sz w:val="10"/>
                      <w:szCs w:val="10"/>
                    </w:rPr>
                    <w:t>2</w:t>
                  </w:r>
                </w:p>
              </w:tc>
              <w:tc>
                <w:tcPr>
                  <w:tcW w:w="3601" w:type="dxa"/>
                  <w:vAlign w:val="top"/>
                </w:tcPr>
                <w:p w14:paraId="12112C8C">
                  <w:pPr>
                    <w:pStyle w:val="6"/>
                    <w:spacing w:before="62" w:line="221" w:lineRule="auto"/>
                    <w:ind w:left="111"/>
                    <w:rPr>
                      <w:sz w:val="20"/>
                      <w:szCs w:val="20"/>
                    </w:rPr>
                  </w:pPr>
                  <w:r>
                    <w:rPr>
                      <w:spacing w:val="8"/>
                      <w:sz w:val="20"/>
                      <w:szCs w:val="20"/>
                    </w:rPr>
                    <w:t>置于防腐蚀周转箱</w:t>
                  </w:r>
                  <w:r>
                    <w:rPr>
                      <w:rFonts w:ascii="Times New Roman" w:hAnsi="Times New Roman" w:eastAsia="Times New Roman" w:cs="Times New Roman"/>
                      <w:spacing w:val="8"/>
                      <w:sz w:val="20"/>
                      <w:szCs w:val="20"/>
                    </w:rPr>
                    <w:t>(</w:t>
                  </w:r>
                  <w:r>
                    <w:rPr>
                      <w:spacing w:val="8"/>
                      <w:sz w:val="20"/>
                      <w:szCs w:val="20"/>
                    </w:rPr>
                    <w:t>箱内附有托盘</w:t>
                  </w:r>
                  <w:r>
                    <w:rPr>
                      <w:spacing w:val="6"/>
                      <w:sz w:val="20"/>
                      <w:szCs w:val="20"/>
                    </w:rPr>
                    <w:t>），</w:t>
                  </w:r>
                </w:p>
                <w:p w14:paraId="3D27F04C">
                  <w:pPr>
                    <w:pStyle w:val="6"/>
                    <w:spacing w:before="72" w:line="228" w:lineRule="auto"/>
                    <w:ind w:left="140"/>
                    <w:rPr>
                      <w:sz w:val="20"/>
                      <w:szCs w:val="20"/>
                    </w:rPr>
                  </w:pPr>
                  <w:r>
                    <w:rPr>
                      <w:spacing w:val="8"/>
                      <w:sz w:val="20"/>
                      <w:szCs w:val="20"/>
                    </w:rPr>
                    <w:t>区周边设导流槽和紧急收集池，收集</w:t>
                  </w:r>
                </w:p>
                <w:p w14:paraId="31052ABD">
                  <w:pPr>
                    <w:pStyle w:val="6"/>
                    <w:spacing w:before="65" w:line="254" w:lineRule="auto"/>
                    <w:ind w:left="1277" w:right="130" w:hanging="1143"/>
                    <w:rPr>
                      <w:sz w:val="20"/>
                      <w:szCs w:val="20"/>
                    </w:rPr>
                  </w:pPr>
                  <w:r>
                    <w:rPr>
                      <w:spacing w:val="4"/>
                      <w:sz w:val="20"/>
                      <w:szCs w:val="20"/>
                    </w:rPr>
                    <w:t>池</w:t>
                  </w:r>
                  <w:r>
                    <w:rPr>
                      <w:spacing w:val="-12"/>
                      <w:sz w:val="20"/>
                      <w:szCs w:val="20"/>
                    </w:rPr>
                    <w:t xml:space="preserve"> </w:t>
                  </w:r>
                  <w:r>
                    <w:rPr>
                      <w:rFonts w:ascii="Times New Roman" w:hAnsi="Times New Roman" w:eastAsia="Times New Roman" w:cs="Times New Roman"/>
                      <w:spacing w:val="4"/>
                      <w:sz w:val="20"/>
                      <w:szCs w:val="20"/>
                    </w:rPr>
                    <w:t>10m</w:t>
                  </w:r>
                  <w:r>
                    <w:rPr>
                      <w:rFonts w:ascii="Times New Roman" w:hAnsi="Times New Roman" w:eastAsia="Times New Roman" w:cs="Times New Roman"/>
                      <w:spacing w:val="4"/>
                      <w:position w:val="6"/>
                      <w:sz w:val="13"/>
                      <w:szCs w:val="13"/>
                    </w:rPr>
                    <w:t>3</w:t>
                  </w:r>
                  <w:r>
                    <w:rPr>
                      <w:rFonts w:ascii="Times New Roman" w:hAnsi="Times New Roman" w:eastAsia="Times New Roman" w:cs="Times New Roman"/>
                      <w:spacing w:val="-9"/>
                      <w:position w:val="6"/>
                      <w:sz w:val="13"/>
                      <w:szCs w:val="13"/>
                    </w:rPr>
                    <w:t xml:space="preserve"> </w:t>
                  </w:r>
                  <w:r>
                    <w:rPr>
                      <w:spacing w:val="4"/>
                      <w:sz w:val="20"/>
                      <w:szCs w:val="20"/>
                    </w:rPr>
                    <w:t>，采用防渗层</w:t>
                  </w:r>
                  <w:r>
                    <w:rPr>
                      <w:spacing w:val="-40"/>
                      <w:sz w:val="20"/>
                      <w:szCs w:val="20"/>
                    </w:rPr>
                    <w:t xml:space="preserve"> </w:t>
                  </w:r>
                  <w:r>
                    <w:rPr>
                      <w:rFonts w:ascii="Times New Roman" w:hAnsi="Times New Roman" w:eastAsia="Times New Roman" w:cs="Times New Roman"/>
                      <w:spacing w:val="4"/>
                      <w:sz w:val="20"/>
                      <w:szCs w:val="20"/>
                    </w:rPr>
                    <w:t>2.0</w:t>
                  </w:r>
                  <w:r>
                    <w:rPr>
                      <w:rFonts w:ascii="Times New Roman" w:hAnsi="Times New Roman" w:eastAsia="Times New Roman" w:cs="Times New Roman"/>
                      <w:sz w:val="20"/>
                      <w:szCs w:val="20"/>
                    </w:rPr>
                    <w:t>mm</w:t>
                  </w:r>
                  <w:r>
                    <w:rPr>
                      <w:rFonts w:ascii="Times New Roman" w:hAnsi="Times New Roman" w:eastAsia="Times New Roman" w:cs="Times New Roman"/>
                      <w:spacing w:val="4"/>
                      <w:sz w:val="20"/>
                      <w:szCs w:val="20"/>
                    </w:rPr>
                    <w:t xml:space="preserve">  </w:t>
                  </w:r>
                  <w:r>
                    <w:rPr>
                      <w:spacing w:val="4"/>
                      <w:sz w:val="20"/>
                      <w:szCs w:val="20"/>
                    </w:rPr>
                    <w:t>厚高密</w:t>
                  </w:r>
                  <w:r>
                    <w:rPr>
                      <w:sz w:val="20"/>
                      <w:szCs w:val="20"/>
                    </w:rPr>
                    <w:t xml:space="preserve"> </w:t>
                  </w:r>
                  <w:r>
                    <w:rPr>
                      <w:spacing w:val="8"/>
                      <w:sz w:val="20"/>
                      <w:szCs w:val="20"/>
                    </w:rPr>
                    <w:t>度聚乙烯膜</w:t>
                  </w:r>
                </w:p>
              </w:tc>
              <w:tc>
                <w:tcPr>
                  <w:tcW w:w="341" w:type="dxa"/>
                  <w:vAlign w:val="top"/>
                </w:tcPr>
                <w:p w14:paraId="34A4C7AF">
                  <w:pPr>
                    <w:spacing w:line="351" w:lineRule="auto"/>
                    <w:rPr>
                      <w:rFonts w:ascii="Arial"/>
                      <w:sz w:val="21"/>
                    </w:rPr>
                  </w:pPr>
                </w:p>
                <w:p w14:paraId="07305AF1">
                  <w:pPr>
                    <w:spacing w:before="58" w:line="325" w:lineRule="auto"/>
                    <w:ind w:left="139" w:right="115"/>
                    <w:rPr>
                      <w:rFonts w:ascii="Times New Roman" w:hAnsi="Times New Roman" w:eastAsia="Times New Roman" w:cs="Times New Roman"/>
                      <w:sz w:val="20"/>
                      <w:szCs w:val="20"/>
                    </w:rPr>
                  </w:pPr>
                  <w:r>
                    <w:rPr>
                      <w:rFonts w:ascii="Times New Roman" w:hAnsi="Times New Roman" w:eastAsia="Times New Roman" w:cs="Times New Roman"/>
                      <w:spacing w:val="-20"/>
                      <w:sz w:val="20"/>
                      <w:szCs w:val="20"/>
                    </w:rPr>
                    <w:t>1</w:t>
                  </w:r>
                  <w:r>
                    <w:rPr>
                      <w:rFonts w:ascii="Times New Roman" w:hAnsi="Times New Roman" w:eastAsia="Times New Roman" w:cs="Times New Roman"/>
                      <w:sz w:val="20"/>
                      <w:szCs w:val="20"/>
                    </w:rPr>
                    <w:t xml:space="preserve"> t</w:t>
                  </w:r>
                </w:p>
              </w:tc>
              <w:tc>
                <w:tcPr>
                  <w:tcW w:w="389" w:type="dxa"/>
                  <w:tcBorders>
                    <w:right w:val="nil"/>
                  </w:tcBorders>
                  <w:vAlign w:val="top"/>
                </w:tcPr>
                <w:p w14:paraId="46CF07DB">
                  <w:pPr>
                    <w:pStyle w:val="6"/>
                    <w:spacing w:before="253" w:line="290" w:lineRule="auto"/>
                    <w:ind w:left="114" w:right="71" w:firstLine="76"/>
                    <w:jc w:val="both"/>
                    <w:rPr>
                      <w:sz w:val="20"/>
                      <w:szCs w:val="20"/>
                    </w:rPr>
                  </w:pPr>
                  <w:r>
                    <w:rPr>
                      <w:rFonts w:ascii="Times New Roman" w:hAnsi="Times New Roman" w:eastAsia="Times New Roman" w:cs="Times New Roman"/>
                      <w:spacing w:val="-20"/>
                      <w:sz w:val="20"/>
                      <w:szCs w:val="20"/>
                    </w:rPr>
                    <w:t>1</w:t>
                  </w:r>
                  <w:r>
                    <w:rPr>
                      <w:rFonts w:ascii="Times New Roman" w:hAnsi="Times New Roman" w:eastAsia="Times New Roman" w:cs="Times New Roman"/>
                      <w:sz w:val="20"/>
                      <w:szCs w:val="20"/>
                    </w:rPr>
                    <w:t xml:space="preserve">  </w:t>
                  </w:r>
                  <w:r>
                    <w:rPr>
                      <w:sz w:val="20"/>
                      <w:szCs w:val="20"/>
                    </w:rPr>
                    <w:t>个 月</w:t>
                  </w:r>
                </w:p>
              </w:tc>
            </w:tr>
            <w:tr w14:paraId="41EAA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92" w:hRule="atLeast"/>
              </w:trPr>
              <w:tc>
                <w:tcPr>
                  <w:tcW w:w="340" w:type="dxa"/>
                  <w:tcBorders>
                    <w:left w:val="nil"/>
                    <w:bottom w:val="single" w:color="000000" w:sz="10" w:space="0"/>
                  </w:tcBorders>
                  <w:vAlign w:val="top"/>
                </w:tcPr>
                <w:p w14:paraId="377DC5DC">
                  <w:pPr>
                    <w:spacing w:line="273" w:lineRule="auto"/>
                    <w:rPr>
                      <w:rFonts w:ascii="Arial"/>
                      <w:sz w:val="21"/>
                    </w:rPr>
                  </w:pPr>
                </w:p>
                <w:p w14:paraId="3F2E1B46">
                  <w:pPr>
                    <w:spacing w:line="274" w:lineRule="auto"/>
                    <w:rPr>
                      <w:rFonts w:ascii="Arial"/>
                      <w:sz w:val="21"/>
                    </w:rPr>
                  </w:pPr>
                </w:p>
                <w:p w14:paraId="22A48970">
                  <w:pPr>
                    <w:spacing w:line="274" w:lineRule="auto"/>
                    <w:rPr>
                      <w:rFonts w:ascii="Arial"/>
                      <w:sz w:val="21"/>
                    </w:rPr>
                  </w:pPr>
                </w:p>
                <w:p w14:paraId="749683CA">
                  <w:pPr>
                    <w:spacing w:before="57" w:line="195" w:lineRule="auto"/>
                    <w:ind w:left="124"/>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849" w:type="dxa"/>
                  <w:tcBorders>
                    <w:bottom w:val="single" w:color="000000" w:sz="10" w:space="0"/>
                  </w:tcBorders>
                  <w:vAlign w:val="top"/>
                </w:tcPr>
                <w:p w14:paraId="3E1E2380">
                  <w:pPr>
                    <w:spacing w:line="313" w:lineRule="auto"/>
                    <w:rPr>
                      <w:rFonts w:ascii="Arial"/>
                      <w:sz w:val="21"/>
                    </w:rPr>
                  </w:pPr>
                </w:p>
                <w:p w14:paraId="42E31277">
                  <w:pPr>
                    <w:pStyle w:val="6"/>
                    <w:spacing w:before="65" w:line="228" w:lineRule="auto"/>
                    <w:ind w:left="130"/>
                    <w:rPr>
                      <w:sz w:val="20"/>
                      <w:szCs w:val="20"/>
                    </w:rPr>
                  </w:pPr>
                  <w:r>
                    <w:rPr>
                      <w:sz w:val="20"/>
                      <w:szCs w:val="20"/>
                    </w:rPr>
                    <w:t>1#其他</w:t>
                  </w:r>
                </w:p>
                <w:p w14:paraId="436E238B">
                  <w:pPr>
                    <w:pStyle w:val="6"/>
                    <w:spacing w:before="64" w:line="228" w:lineRule="auto"/>
                    <w:ind w:left="117"/>
                    <w:rPr>
                      <w:sz w:val="20"/>
                      <w:szCs w:val="20"/>
                    </w:rPr>
                  </w:pPr>
                  <w:r>
                    <w:rPr>
                      <w:spacing w:val="6"/>
                      <w:sz w:val="20"/>
                      <w:szCs w:val="20"/>
                    </w:rPr>
                    <w:t>危险废</w:t>
                  </w:r>
                </w:p>
                <w:p w14:paraId="0D1E2B8A">
                  <w:pPr>
                    <w:pStyle w:val="6"/>
                    <w:spacing w:before="64" w:line="228" w:lineRule="auto"/>
                    <w:ind w:left="115"/>
                    <w:rPr>
                      <w:sz w:val="20"/>
                      <w:szCs w:val="20"/>
                    </w:rPr>
                  </w:pPr>
                  <w:r>
                    <w:rPr>
                      <w:spacing w:val="6"/>
                      <w:sz w:val="20"/>
                      <w:szCs w:val="20"/>
                    </w:rPr>
                    <w:t>物暂存</w:t>
                  </w:r>
                </w:p>
                <w:p w14:paraId="0FED94D4">
                  <w:pPr>
                    <w:pStyle w:val="6"/>
                    <w:spacing w:before="65" w:line="233" w:lineRule="auto"/>
                    <w:ind w:left="339"/>
                    <w:rPr>
                      <w:sz w:val="20"/>
                      <w:szCs w:val="20"/>
                    </w:rPr>
                  </w:pPr>
                  <w:r>
                    <w:rPr>
                      <w:sz w:val="20"/>
                      <w:szCs w:val="20"/>
                    </w:rPr>
                    <w:t>区</w:t>
                  </w:r>
                </w:p>
              </w:tc>
              <w:tc>
                <w:tcPr>
                  <w:tcW w:w="1550" w:type="dxa"/>
                  <w:tcBorders>
                    <w:bottom w:val="single" w:color="000000" w:sz="10" w:space="0"/>
                  </w:tcBorders>
                  <w:vAlign w:val="top"/>
                </w:tcPr>
                <w:p w14:paraId="5C1876B9">
                  <w:pPr>
                    <w:pStyle w:val="6"/>
                    <w:spacing w:before="68" w:line="228" w:lineRule="auto"/>
                    <w:ind w:left="150"/>
                    <w:rPr>
                      <w:sz w:val="20"/>
                      <w:szCs w:val="20"/>
                    </w:rPr>
                  </w:pPr>
                  <w:r>
                    <w:rPr>
                      <w:spacing w:val="8"/>
                      <w:sz w:val="20"/>
                      <w:szCs w:val="20"/>
                    </w:rPr>
                    <w:t>燃料箱、液压</w:t>
                  </w:r>
                </w:p>
                <w:p w14:paraId="76AB5BFA">
                  <w:pPr>
                    <w:pStyle w:val="6"/>
                    <w:spacing w:before="64" w:line="228" w:lineRule="auto"/>
                    <w:ind w:right="10"/>
                    <w:jc w:val="right"/>
                    <w:rPr>
                      <w:sz w:val="20"/>
                      <w:szCs w:val="20"/>
                    </w:rPr>
                  </w:pPr>
                  <w:r>
                    <w:rPr>
                      <w:spacing w:val="2"/>
                      <w:sz w:val="20"/>
                      <w:szCs w:val="20"/>
                    </w:rPr>
                    <w:t>油管、催化器、</w:t>
                  </w:r>
                </w:p>
                <w:p w14:paraId="27E99F23">
                  <w:pPr>
                    <w:pStyle w:val="6"/>
                    <w:spacing w:before="64" w:line="228" w:lineRule="auto"/>
                    <w:ind w:left="148"/>
                    <w:rPr>
                      <w:sz w:val="20"/>
                      <w:szCs w:val="20"/>
                    </w:rPr>
                  </w:pPr>
                  <w:r>
                    <w:rPr>
                      <w:spacing w:val="8"/>
                      <w:sz w:val="20"/>
                      <w:szCs w:val="20"/>
                    </w:rPr>
                    <w:t>废活性碳、含</w:t>
                  </w:r>
                </w:p>
                <w:p w14:paraId="0A2BE1C2">
                  <w:pPr>
                    <w:pStyle w:val="6"/>
                    <w:spacing w:before="65" w:line="228" w:lineRule="auto"/>
                    <w:ind w:left="572"/>
                    <w:rPr>
                      <w:sz w:val="20"/>
                      <w:szCs w:val="20"/>
                    </w:rPr>
                  </w:pPr>
                  <w:r>
                    <w:rPr>
                      <w:spacing w:val="3"/>
                      <w:sz w:val="20"/>
                      <w:szCs w:val="20"/>
                    </w:rPr>
                    <w:t>油抹</w:t>
                  </w:r>
                </w:p>
                <w:p w14:paraId="06142E1D">
                  <w:pPr>
                    <w:pStyle w:val="6"/>
                    <w:spacing w:before="64" w:line="227" w:lineRule="auto"/>
                    <w:ind w:left="149"/>
                    <w:rPr>
                      <w:sz w:val="20"/>
                      <w:szCs w:val="20"/>
                    </w:rPr>
                  </w:pPr>
                  <w:r>
                    <w:rPr>
                      <w:spacing w:val="8"/>
                      <w:sz w:val="20"/>
                      <w:szCs w:val="20"/>
                    </w:rPr>
                    <w:t>布、拖布和手</w:t>
                  </w:r>
                </w:p>
                <w:p w14:paraId="065381F4">
                  <w:pPr>
                    <w:pStyle w:val="6"/>
                    <w:spacing w:before="67" w:line="228" w:lineRule="auto"/>
                    <w:ind w:left="676"/>
                    <w:rPr>
                      <w:sz w:val="20"/>
                      <w:szCs w:val="20"/>
                    </w:rPr>
                  </w:pPr>
                  <w:r>
                    <w:rPr>
                      <w:sz w:val="20"/>
                      <w:szCs w:val="20"/>
                    </w:rPr>
                    <w:t>套</w:t>
                  </w:r>
                </w:p>
              </w:tc>
              <w:tc>
                <w:tcPr>
                  <w:tcW w:w="596" w:type="dxa"/>
                  <w:vMerge w:val="continue"/>
                  <w:tcBorders>
                    <w:top w:val="nil"/>
                    <w:bottom w:val="single" w:color="000000" w:sz="10" w:space="0"/>
                  </w:tcBorders>
                  <w:textDirection w:val="tbRlV"/>
                  <w:vAlign w:val="top"/>
                </w:tcPr>
                <w:p w14:paraId="179BFB68">
                  <w:pPr>
                    <w:rPr>
                      <w:rFonts w:ascii="Arial"/>
                      <w:sz w:val="21"/>
                    </w:rPr>
                  </w:pPr>
                </w:p>
              </w:tc>
              <w:tc>
                <w:tcPr>
                  <w:tcW w:w="468" w:type="dxa"/>
                  <w:tcBorders>
                    <w:bottom w:val="single" w:color="000000" w:sz="10" w:space="0"/>
                  </w:tcBorders>
                  <w:vAlign w:val="top"/>
                </w:tcPr>
                <w:p w14:paraId="29A4D77E">
                  <w:pPr>
                    <w:spacing w:line="328" w:lineRule="auto"/>
                    <w:rPr>
                      <w:rFonts w:ascii="Arial"/>
                      <w:sz w:val="21"/>
                    </w:rPr>
                  </w:pPr>
                </w:p>
                <w:p w14:paraId="2081220B">
                  <w:pPr>
                    <w:spacing w:line="328" w:lineRule="auto"/>
                    <w:rPr>
                      <w:rFonts w:ascii="Arial"/>
                      <w:sz w:val="21"/>
                    </w:rPr>
                  </w:pPr>
                </w:p>
                <w:p w14:paraId="12F3385E">
                  <w:pPr>
                    <w:pStyle w:val="6"/>
                    <w:spacing w:before="65" w:line="303" w:lineRule="auto"/>
                    <w:ind w:left="155" w:right="126" w:hanging="18"/>
                    <w:rPr>
                      <w:sz w:val="10"/>
                      <w:szCs w:val="10"/>
                    </w:rPr>
                  </w:pPr>
                  <w:r>
                    <w:rPr>
                      <w:spacing w:val="-1"/>
                      <w:sz w:val="20"/>
                      <w:szCs w:val="20"/>
                    </w:rPr>
                    <w:t>20</w:t>
                  </w:r>
                  <w:r>
                    <w:rPr>
                      <w:sz w:val="20"/>
                      <w:szCs w:val="20"/>
                    </w:rPr>
                    <w:t xml:space="preserve"> </w:t>
                  </w:r>
                  <w:r>
                    <w:rPr>
                      <w:spacing w:val="1"/>
                      <w:position w:val="-1"/>
                      <w:sz w:val="20"/>
                      <w:szCs w:val="20"/>
                    </w:rPr>
                    <w:t>m</w:t>
                  </w:r>
                  <w:r>
                    <w:rPr>
                      <w:spacing w:val="1"/>
                      <w:position w:val="9"/>
                      <w:sz w:val="10"/>
                      <w:szCs w:val="10"/>
                    </w:rPr>
                    <w:t>2</w:t>
                  </w:r>
                </w:p>
              </w:tc>
              <w:tc>
                <w:tcPr>
                  <w:tcW w:w="3601" w:type="dxa"/>
                  <w:tcBorders>
                    <w:bottom w:val="single" w:color="000000" w:sz="10" w:space="0"/>
                  </w:tcBorders>
                  <w:vAlign w:val="top"/>
                </w:tcPr>
                <w:p w14:paraId="63976496">
                  <w:pPr>
                    <w:spacing w:line="259" w:lineRule="auto"/>
                    <w:rPr>
                      <w:rFonts w:ascii="Arial"/>
                      <w:sz w:val="21"/>
                    </w:rPr>
                  </w:pPr>
                </w:p>
                <w:p w14:paraId="0169718A">
                  <w:pPr>
                    <w:spacing w:line="259" w:lineRule="auto"/>
                    <w:rPr>
                      <w:rFonts w:ascii="Arial"/>
                      <w:sz w:val="21"/>
                    </w:rPr>
                  </w:pPr>
                </w:p>
                <w:p w14:paraId="33EB5EC3">
                  <w:pPr>
                    <w:spacing w:line="259" w:lineRule="auto"/>
                    <w:rPr>
                      <w:rFonts w:ascii="Arial"/>
                      <w:sz w:val="21"/>
                    </w:rPr>
                  </w:pPr>
                </w:p>
                <w:p w14:paraId="658D3454">
                  <w:pPr>
                    <w:pStyle w:val="6"/>
                    <w:spacing w:before="65" w:line="228" w:lineRule="auto"/>
                    <w:ind w:left="1069"/>
                    <w:rPr>
                      <w:sz w:val="20"/>
                      <w:szCs w:val="20"/>
                    </w:rPr>
                  </w:pPr>
                  <w:r>
                    <w:rPr>
                      <w:spacing w:val="8"/>
                      <w:sz w:val="20"/>
                      <w:szCs w:val="20"/>
                    </w:rPr>
                    <w:t>普通密闭周转箱</w:t>
                  </w:r>
                </w:p>
              </w:tc>
              <w:tc>
                <w:tcPr>
                  <w:tcW w:w="341" w:type="dxa"/>
                  <w:tcBorders>
                    <w:bottom w:val="single" w:color="000000" w:sz="10" w:space="0"/>
                  </w:tcBorders>
                  <w:vAlign w:val="top"/>
                </w:tcPr>
                <w:p w14:paraId="7CAB721F">
                  <w:pPr>
                    <w:spacing w:line="333" w:lineRule="auto"/>
                    <w:rPr>
                      <w:rFonts w:ascii="Arial"/>
                      <w:sz w:val="21"/>
                    </w:rPr>
                  </w:pPr>
                </w:p>
                <w:p w14:paraId="11BDF380">
                  <w:pPr>
                    <w:spacing w:line="334" w:lineRule="auto"/>
                    <w:rPr>
                      <w:rFonts w:ascii="Arial"/>
                      <w:sz w:val="21"/>
                    </w:rPr>
                  </w:pPr>
                </w:p>
                <w:p w14:paraId="0894614D">
                  <w:pPr>
                    <w:spacing w:before="57" w:line="325" w:lineRule="auto"/>
                    <w:ind w:left="139" w:right="115"/>
                    <w:rPr>
                      <w:rFonts w:ascii="Times New Roman" w:hAnsi="Times New Roman" w:eastAsia="Times New Roman" w:cs="Times New Roman"/>
                      <w:sz w:val="20"/>
                      <w:szCs w:val="20"/>
                    </w:rPr>
                  </w:pPr>
                  <w:r>
                    <w:rPr>
                      <w:rFonts w:ascii="Times New Roman" w:hAnsi="Times New Roman" w:eastAsia="Times New Roman" w:cs="Times New Roman"/>
                      <w:spacing w:val="-20"/>
                      <w:sz w:val="20"/>
                      <w:szCs w:val="20"/>
                    </w:rPr>
                    <w:t>1</w:t>
                  </w:r>
                  <w:r>
                    <w:rPr>
                      <w:rFonts w:ascii="Times New Roman" w:hAnsi="Times New Roman" w:eastAsia="Times New Roman" w:cs="Times New Roman"/>
                      <w:sz w:val="20"/>
                      <w:szCs w:val="20"/>
                    </w:rPr>
                    <w:t xml:space="preserve"> t</w:t>
                  </w:r>
                </w:p>
              </w:tc>
              <w:tc>
                <w:tcPr>
                  <w:tcW w:w="389" w:type="dxa"/>
                  <w:tcBorders>
                    <w:bottom w:val="single" w:color="000000" w:sz="10" w:space="0"/>
                    <w:right w:val="nil"/>
                  </w:tcBorders>
                  <w:vAlign w:val="top"/>
                </w:tcPr>
                <w:p w14:paraId="4AC340E9">
                  <w:pPr>
                    <w:spacing w:line="255" w:lineRule="auto"/>
                    <w:rPr>
                      <w:rFonts w:ascii="Arial"/>
                      <w:sz w:val="21"/>
                    </w:rPr>
                  </w:pPr>
                </w:p>
                <w:p w14:paraId="01827C37">
                  <w:pPr>
                    <w:spacing w:line="255" w:lineRule="auto"/>
                    <w:rPr>
                      <w:rFonts w:ascii="Arial"/>
                      <w:sz w:val="21"/>
                    </w:rPr>
                  </w:pPr>
                </w:p>
                <w:p w14:paraId="17BF0155">
                  <w:pPr>
                    <w:pStyle w:val="6"/>
                    <w:spacing w:before="57" w:line="290" w:lineRule="auto"/>
                    <w:ind w:left="114" w:right="71" w:firstLine="76"/>
                    <w:jc w:val="both"/>
                    <w:rPr>
                      <w:sz w:val="20"/>
                      <w:szCs w:val="20"/>
                    </w:rPr>
                  </w:pPr>
                  <w:r>
                    <w:rPr>
                      <w:rFonts w:ascii="Times New Roman" w:hAnsi="Times New Roman" w:eastAsia="Times New Roman" w:cs="Times New Roman"/>
                      <w:spacing w:val="-20"/>
                      <w:sz w:val="20"/>
                      <w:szCs w:val="20"/>
                    </w:rPr>
                    <w:t>1</w:t>
                  </w:r>
                  <w:r>
                    <w:rPr>
                      <w:rFonts w:ascii="Times New Roman" w:hAnsi="Times New Roman" w:eastAsia="Times New Roman" w:cs="Times New Roman"/>
                      <w:sz w:val="20"/>
                      <w:szCs w:val="20"/>
                    </w:rPr>
                    <w:t xml:space="preserve">  </w:t>
                  </w:r>
                  <w:r>
                    <w:rPr>
                      <w:sz w:val="20"/>
                      <w:szCs w:val="20"/>
                    </w:rPr>
                    <w:t>个 月</w:t>
                  </w:r>
                </w:p>
              </w:tc>
            </w:tr>
          </w:tbl>
          <w:p w14:paraId="051EA805">
            <w:pPr>
              <w:pStyle w:val="6"/>
              <w:spacing w:before="115" w:line="347" w:lineRule="auto"/>
              <w:ind w:left="697" w:right="4474" w:firstLine="18"/>
            </w:pPr>
            <w:r>
              <w:rPr>
                <w:spacing w:val="-2"/>
              </w:rPr>
              <w:t>（</w:t>
            </w:r>
            <w:r>
              <w:rPr>
                <w:rFonts w:ascii="Times New Roman" w:hAnsi="Times New Roman" w:eastAsia="Times New Roman" w:cs="Times New Roman"/>
                <w:spacing w:val="-2"/>
              </w:rPr>
              <w:t>5</w:t>
            </w:r>
            <w:r>
              <w:rPr>
                <w:spacing w:val="-2"/>
              </w:rPr>
              <w:t>）固体废物暂存要求与条件</w:t>
            </w:r>
            <w:r>
              <w:rPr>
                <w:spacing w:val="6"/>
              </w:rPr>
              <w:t xml:space="preserve"> </w:t>
            </w:r>
            <w:r>
              <w:rPr>
                <w:rFonts w:ascii="Times New Roman" w:hAnsi="Times New Roman" w:eastAsia="Times New Roman" w:cs="Times New Roman"/>
                <w:spacing w:val="-3"/>
              </w:rPr>
              <w:t>A</w:t>
            </w:r>
            <w:r>
              <w:rPr>
                <w:rFonts w:ascii="Times New Roman" w:hAnsi="Times New Roman" w:eastAsia="Times New Roman" w:cs="Times New Roman"/>
                <w:spacing w:val="-34"/>
              </w:rPr>
              <w:t xml:space="preserve"> </w:t>
            </w:r>
            <w:r>
              <w:rPr>
                <w:spacing w:val="-3"/>
              </w:rPr>
              <w:t>、一般工业固体废物</w:t>
            </w:r>
          </w:p>
          <w:p w14:paraId="557DD779">
            <w:pPr>
              <w:pStyle w:val="6"/>
              <w:spacing w:before="32" w:line="347" w:lineRule="auto"/>
              <w:ind w:left="236" w:right="229" w:firstLine="469"/>
            </w:pPr>
            <w:r>
              <w:rPr>
                <w:spacing w:val="9"/>
              </w:rPr>
              <w:t>要求建设单位应执行《一般工业固体废物贮存和填埋污染控制标准》</w:t>
            </w:r>
            <w:r>
              <w:rPr>
                <w:spacing w:val="4"/>
              </w:rPr>
              <w:t xml:space="preserve"> </w:t>
            </w:r>
            <w:r>
              <w:rPr>
                <w:spacing w:val="-1"/>
              </w:rPr>
              <w:t>（</w:t>
            </w:r>
            <w:r>
              <w:rPr>
                <w:rFonts w:ascii="Times New Roman" w:hAnsi="Times New Roman" w:eastAsia="Times New Roman" w:cs="Times New Roman"/>
                <w:spacing w:val="-1"/>
              </w:rPr>
              <w:t>GB18599-2020</w:t>
            </w:r>
            <w:r>
              <w:rPr>
                <w:spacing w:val="7"/>
              </w:rPr>
              <w:t>），</w:t>
            </w:r>
            <w:r>
              <w:rPr>
                <w:spacing w:val="-1"/>
              </w:rPr>
              <w:t>厂区内设置专门室内堆场，地面需</w:t>
            </w:r>
            <w:r>
              <w:rPr>
                <w:spacing w:val="-2"/>
              </w:rPr>
              <w:t>硬化处理。</w:t>
            </w:r>
          </w:p>
          <w:p w14:paraId="1F96583D">
            <w:pPr>
              <w:pStyle w:val="6"/>
              <w:spacing w:before="33" w:line="356" w:lineRule="auto"/>
              <w:ind w:left="219" w:right="155" w:firstLine="486"/>
            </w:pPr>
            <w:r>
              <w:rPr>
                <w:spacing w:val="1"/>
              </w:rPr>
              <w:t>本项目一般工业固体废物主要为玻璃、废旧轮胎、塑料、密封胶条、金</w:t>
            </w:r>
            <w:r>
              <w:rPr>
                <w:spacing w:val="15"/>
              </w:rPr>
              <w:t xml:space="preserve"> </w:t>
            </w:r>
            <w:r>
              <w:rPr>
                <w:spacing w:val="2"/>
              </w:rPr>
              <w:t>属类，暂存在拆解后物料储存区，暂存后外售给</w:t>
            </w:r>
            <w:r>
              <w:rPr>
                <w:spacing w:val="1"/>
              </w:rPr>
              <w:t>废旧资源回收公司，电子电</w:t>
            </w:r>
            <w:r>
              <w:t xml:space="preserve"> 器产品</w:t>
            </w:r>
            <w:r>
              <w:rPr>
                <w:rFonts w:ascii="Times New Roman" w:hAnsi="Times New Roman" w:eastAsia="Times New Roman" w:cs="Times New Roman"/>
              </w:rPr>
              <w:t>/</w:t>
            </w:r>
            <w:r>
              <w:t>元器件收集在拆解后物料存储区，</w:t>
            </w:r>
            <w:r>
              <w:rPr>
                <w:spacing w:val="-1"/>
              </w:rPr>
              <w:t>交由有废电器资质企业拆解，不自</w:t>
            </w:r>
            <w:r>
              <w:t xml:space="preserve"> </w:t>
            </w:r>
            <w:r>
              <w:rPr>
                <w:spacing w:val="3"/>
              </w:rPr>
              <w:t>行拆解；拆解后物料储存区布置在厂区北侧，地面为厚度不小于</w:t>
            </w:r>
            <w:r>
              <w:rPr>
                <w:spacing w:val="-32"/>
              </w:rPr>
              <w:t xml:space="preserve"> </w:t>
            </w:r>
            <w:r>
              <w:rPr>
                <w:rFonts w:ascii="Times New Roman" w:hAnsi="Times New Roman" w:eastAsia="Times New Roman" w:cs="Times New Roman"/>
                <w:spacing w:val="3"/>
              </w:rPr>
              <w:t>200</w:t>
            </w:r>
            <w:r>
              <w:rPr>
                <w:rFonts w:ascii="Times New Roman" w:hAnsi="Times New Roman" w:eastAsia="Times New Roman" w:cs="Times New Roman"/>
              </w:rPr>
              <w:t>mm</w:t>
            </w:r>
            <w:r>
              <w:rPr>
                <w:rFonts w:ascii="Times New Roman" w:hAnsi="Times New Roman" w:eastAsia="Times New Roman" w:cs="Times New Roman"/>
                <w:spacing w:val="35"/>
              </w:rPr>
              <w:t xml:space="preserve"> </w:t>
            </w:r>
            <w:r>
              <w:rPr>
                <w:spacing w:val="3"/>
              </w:rPr>
              <w:t>的</w:t>
            </w:r>
            <w:r>
              <w:t xml:space="preserve"> </w:t>
            </w:r>
            <w:r>
              <w:rPr>
                <w:rFonts w:ascii="Times New Roman" w:hAnsi="Times New Roman" w:eastAsia="Times New Roman" w:cs="Times New Roman"/>
                <w:spacing w:val="-2"/>
              </w:rPr>
              <w:t xml:space="preserve">P6 </w:t>
            </w:r>
            <w:r>
              <w:rPr>
                <w:spacing w:val="-2"/>
              </w:rPr>
              <w:t>抗渗混凝土硬化地面，其防渗技术要求可满足等效黏土防渗层</w:t>
            </w:r>
            <w:r>
              <w:rPr>
                <w:rFonts w:ascii="Times New Roman" w:hAnsi="Times New Roman" w:eastAsia="Times New Roman" w:cs="Times New Roman"/>
                <w:spacing w:val="-2"/>
              </w:rPr>
              <w:t>Mb</w:t>
            </w:r>
            <w:r>
              <w:rPr>
                <w:spacing w:val="-2"/>
              </w:rPr>
              <w:t>≥</w:t>
            </w:r>
            <w:r>
              <w:rPr>
                <w:rFonts w:ascii="Times New Roman" w:hAnsi="Times New Roman" w:eastAsia="Times New Roman" w:cs="Times New Roman"/>
                <w:spacing w:val="-2"/>
              </w:rPr>
              <w:t>1.5m</w:t>
            </w:r>
            <w:r>
              <w:rPr>
                <w:spacing w:val="-2"/>
              </w:rPr>
              <w:t>，</w:t>
            </w:r>
            <w:r>
              <w:rPr>
                <w:spacing w:val="16"/>
              </w:rPr>
              <w:t xml:space="preserve"> </w:t>
            </w:r>
            <w:r>
              <w:rPr>
                <w:rFonts w:ascii="Times New Roman" w:hAnsi="Times New Roman" w:eastAsia="Times New Roman" w:cs="Times New Roman"/>
                <w:spacing w:val="-4"/>
              </w:rPr>
              <w:t>K</w:t>
            </w:r>
            <w:r>
              <w:rPr>
                <w:spacing w:val="-4"/>
              </w:rPr>
              <w:t>≤</w:t>
            </w:r>
            <w:r>
              <w:rPr>
                <w:rFonts w:ascii="Times New Roman" w:hAnsi="Times New Roman" w:eastAsia="Times New Roman" w:cs="Times New Roman"/>
                <w:spacing w:val="-4"/>
              </w:rPr>
              <w:t>1</w:t>
            </w:r>
            <w:r>
              <w:rPr>
                <w:spacing w:val="-4"/>
              </w:rPr>
              <w:t>×</w:t>
            </w:r>
            <w:r>
              <w:rPr>
                <w:spacing w:val="-89"/>
              </w:rPr>
              <w:t xml:space="preserve"> </w:t>
            </w:r>
            <w:r>
              <w:rPr>
                <w:rFonts w:ascii="Times New Roman" w:hAnsi="Times New Roman" w:eastAsia="Times New Roman" w:cs="Times New Roman"/>
                <w:spacing w:val="-4"/>
              </w:rPr>
              <w:t>10</w:t>
            </w:r>
            <w:r>
              <w:rPr>
                <w:rFonts w:ascii="Times New Roman" w:hAnsi="Times New Roman" w:eastAsia="Times New Roman" w:cs="Times New Roman"/>
                <w:spacing w:val="-4"/>
                <w:position w:val="7"/>
                <w:sz w:val="15"/>
                <w:szCs w:val="15"/>
              </w:rPr>
              <w:t>-7</w:t>
            </w:r>
            <w:r>
              <w:rPr>
                <w:rFonts w:ascii="Times New Roman" w:hAnsi="Times New Roman" w:eastAsia="Times New Roman" w:cs="Times New Roman"/>
                <w:spacing w:val="-4"/>
              </w:rPr>
              <w:t>cm/s</w:t>
            </w:r>
            <w:r>
              <w:rPr>
                <w:rFonts w:ascii="Times New Roman" w:hAnsi="Times New Roman" w:eastAsia="Times New Roman" w:cs="Times New Roman"/>
                <w:spacing w:val="14"/>
              </w:rPr>
              <w:t xml:space="preserve">  </w:t>
            </w:r>
            <w:r>
              <w:rPr>
                <w:spacing w:val="-4"/>
              </w:rPr>
              <w:t>的要求。</w:t>
            </w:r>
          </w:p>
          <w:p w14:paraId="163B96B6">
            <w:pPr>
              <w:pStyle w:val="6"/>
              <w:spacing w:before="32" w:line="352" w:lineRule="auto"/>
              <w:ind w:left="227" w:right="214" w:firstLine="479"/>
            </w:pPr>
            <w:r>
              <w:rPr>
                <w:spacing w:val="1"/>
              </w:rPr>
              <w:t>生活垃圾统一收集后，运送至当地指定的垃圾存放处由环卫部门统一处</w:t>
            </w:r>
            <w:r>
              <w:rPr>
                <w:spacing w:val="16"/>
              </w:rPr>
              <w:t xml:space="preserve"> </w:t>
            </w:r>
            <w:r>
              <w:rPr>
                <w:spacing w:val="-7"/>
              </w:rPr>
              <w:t>理。</w:t>
            </w:r>
          </w:p>
          <w:p w14:paraId="3A3A8AA8">
            <w:pPr>
              <w:pStyle w:val="6"/>
              <w:spacing w:before="21" w:line="220" w:lineRule="auto"/>
              <w:ind w:left="699"/>
            </w:pPr>
            <w:r>
              <w:rPr>
                <w:rFonts w:ascii="Times New Roman" w:hAnsi="Times New Roman" w:eastAsia="Times New Roman" w:cs="Times New Roman"/>
                <w:spacing w:val="-6"/>
              </w:rPr>
              <w:t>B</w:t>
            </w:r>
            <w:r>
              <w:rPr>
                <w:rFonts w:ascii="Times New Roman" w:hAnsi="Times New Roman" w:eastAsia="Times New Roman" w:cs="Times New Roman"/>
                <w:spacing w:val="-31"/>
              </w:rPr>
              <w:t xml:space="preserve"> </w:t>
            </w:r>
            <w:r>
              <w:rPr>
                <w:spacing w:val="-6"/>
              </w:rPr>
              <w:t>、危险废物</w:t>
            </w:r>
          </w:p>
          <w:p w14:paraId="042E2E6F">
            <w:pPr>
              <w:pStyle w:val="6"/>
              <w:spacing w:before="101" w:line="353" w:lineRule="auto"/>
              <w:ind w:left="103" w:right="97" w:firstLine="420"/>
            </w:pPr>
            <w:r>
              <w:rPr>
                <w:sz w:val="20"/>
                <w:szCs w:val="20"/>
              </w:rPr>
              <w:t>本</w:t>
            </w:r>
            <w:r>
              <w:t>项目在拆解车间南侧设置</w:t>
            </w:r>
            <w:r>
              <w:rPr>
                <w:spacing w:val="-49"/>
              </w:rPr>
              <w:t xml:space="preserve"> </w:t>
            </w:r>
            <w:r>
              <w:rPr>
                <w:rFonts w:ascii="Times New Roman" w:hAnsi="Times New Roman" w:eastAsia="Times New Roman" w:cs="Times New Roman"/>
              </w:rPr>
              <w:t>60</w:t>
            </w:r>
            <w:r>
              <w:rPr>
                <w:rFonts w:ascii="Times New Roman" w:hAnsi="Times New Roman" w:eastAsia="Times New Roman" w:cs="Times New Roman"/>
                <w:spacing w:val="19"/>
                <w:w w:val="101"/>
              </w:rPr>
              <w:t xml:space="preserve"> </w:t>
            </w:r>
            <w:r>
              <w:t>㎡的危险废物贮存库，用于暂</w:t>
            </w:r>
            <w:r>
              <w:rPr>
                <w:spacing w:val="-1"/>
              </w:rPr>
              <w:t>存废蓄电池、</w:t>
            </w:r>
            <w:r>
              <w:t xml:space="preserve"> </w:t>
            </w:r>
            <w:r>
              <w:rPr>
                <w:spacing w:val="-3"/>
              </w:rPr>
              <w:t>废矿物油等危险品。分为</w:t>
            </w:r>
            <w:r>
              <w:rPr>
                <w:spacing w:val="-46"/>
              </w:rPr>
              <w:t xml:space="preserve"> </w:t>
            </w:r>
            <w:r>
              <w:rPr>
                <w:rFonts w:ascii="Times New Roman" w:hAnsi="Times New Roman" w:eastAsia="Times New Roman" w:cs="Times New Roman"/>
                <w:spacing w:val="-3"/>
              </w:rPr>
              <w:t xml:space="preserve">3 </w:t>
            </w:r>
            <w:r>
              <w:rPr>
                <w:spacing w:val="-3"/>
              </w:rPr>
              <w:t>个区，</w:t>
            </w:r>
            <w:r>
              <w:rPr>
                <w:rFonts w:ascii="Times New Roman" w:hAnsi="Times New Roman" w:eastAsia="Times New Roman" w:cs="Times New Roman"/>
                <w:spacing w:val="-3"/>
              </w:rPr>
              <w:t>1#</w:t>
            </w:r>
            <w:r>
              <w:rPr>
                <w:spacing w:val="-3"/>
              </w:rPr>
              <w:t>其他危险废物暂存区</w:t>
            </w:r>
            <w:r>
              <w:rPr>
                <w:spacing w:val="-55"/>
              </w:rPr>
              <w:t xml:space="preserve"> </w:t>
            </w:r>
            <w:r>
              <w:rPr>
                <w:rFonts w:ascii="Times New Roman" w:hAnsi="Times New Roman" w:eastAsia="Times New Roman" w:cs="Times New Roman"/>
                <w:spacing w:val="-3"/>
              </w:rPr>
              <w:t>20</w:t>
            </w:r>
            <w:r>
              <w:rPr>
                <w:rFonts w:ascii="Times New Roman" w:hAnsi="Times New Roman" w:eastAsia="Times New Roman" w:cs="Times New Roman"/>
                <w:spacing w:val="20"/>
              </w:rPr>
              <w:t xml:space="preserve"> </w:t>
            </w:r>
            <w:r>
              <w:rPr>
                <w:spacing w:val="-3"/>
              </w:rPr>
              <w:t>㎡，用于储存燃料</w:t>
            </w:r>
            <w:r>
              <w:t xml:space="preserve"> </w:t>
            </w:r>
            <w:r>
              <w:rPr>
                <w:spacing w:val="1"/>
              </w:rPr>
              <w:t>箱、液压油管、催化器、废活性碳、含油抹布、拖布和手套等；</w:t>
            </w:r>
            <w:r>
              <w:rPr>
                <w:rFonts w:ascii="Times New Roman" w:hAnsi="Times New Roman" w:eastAsia="Times New Roman" w:cs="Times New Roman"/>
                <w:spacing w:val="1"/>
              </w:rPr>
              <w:t>2#</w:t>
            </w:r>
            <w:r>
              <w:rPr>
                <w:spacing w:val="1"/>
                <w:sz w:val="20"/>
                <w:szCs w:val="20"/>
              </w:rPr>
              <w:t>废蓄电池暂存</w:t>
            </w:r>
            <w:r>
              <w:rPr>
                <w:spacing w:val="9"/>
                <w:sz w:val="20"/>
                <w:szCs w:val="20"/>
              </w:rPr>
              <w:t xml:space="preserve"> </w:t>
            </w:r>
            <w:r>
              <w:rPr>
                <w:spacing w:val="-3"/>
              </w:rPr>
              <w:t>区</w:t>
            </w:r>
            <w:r>
              <w:rPr>
                <w:spacing w:val="-43"/>
              </w:rPr>
              <w:t xml:space="preserve"> </w:t>
            </w:r>
            <w:r>
              <w:rPr>
                <w:rFonts w:ascii="Times New Roman" w:hAnsi="Times New Roman" w:eastAsia="Times New Roman" w:cs="Times New Roman"/>
                <w:spacing w:val="-3"/>
              </w:rPr>
              <w:t>20</w:t>
            </w:r>
            <w:r>
              <w:rPr>
                <w:rFonts w:ascii="Times New Roman" w:hAnsi="Times New Roman" w:eastAsia="Times New Roman" w:cs="Times New Roman"/>
                <w:spacing w:val="20"/>
              </w:rPr>
              <w:t xml:space="preserve"> </w:t>
            </w:r>
            <w:r>
              <w:rPr>
                <w:spacing w:val="-3"/>
              </w:rPr>
              <w:t>㎡</w:t>
            </w:r>
            <w:r>
              <w:rPr>
                <w:spacing w:val="-72"/>
              </w:rPr>
              <w:t xml:space="preserve"> </w:t>
            </w:r>
            <w:r>
              <w:rPr>
                <w:spacing w:val="-3"/>
              </w:rPr>
              <w:t>，用于储存废铅酸蓄电池；</w:t>
            </w:r>
            <w:r>
              <w:rPr>
                <w:rFonts w:ascii="Times New Roman" w:hAnsi="Times New Roman" w:eastAsia="Times New Roman" w:cs="Times New Roman"/>
                <w:spacing w:val="-3"/>
              </w:rPr>
              <w:t>3#</w:t>
            </w:r>
            <w:r>
              <w:rPr>
                <w:spacing w:val="-3"/>
                <w:sz w:val="20"/>
                <w:szCs w:val="20"/>
              </w:rPr>
              <w:t>废矿物油暂存</w:t>
            </w:r>
            <w:r>
              <w:rPr>
                <w:spacing w:val="-3"/>
              </w:rPr>
              <w:t>区</w:t>
            </w:r>
            <w:r>
              <w:rPr>
                <w:spacing w:val="-55"/>
              </w:rPr>
              <w:t xml:space="preserve"> </w:t>
            </w:r>
            <w:r>
              <w:rPr>
                <w:rFonts w:ascii="Times New Roman" w:hAnsi="Times New Roman" w:eastAsia="Times New Roman" w:cs="Times New Roman"/>
                <w:spacing w:val="-3"/>
              </w:rPr>
              <w:t>20</w:t>
            </w:r>
            <w:r>
              <w:rPr>
                <w:rFonts w:ascii="Times New Roman" w:hAnsi="Times New Roman" w:eastAsia="Times New Roman" w:cs="Times New Roman"/>
                <w:spacing w:val="20"/>
              </w:rPr>
              <w:t xml:space="preserve"> </w:t>
            </w:r>
            <w:r>
              <w:rPr>
                <w:spacing w:val="-3"/>
              </w:rPr>
              <w:t>㎡</w:t>
            </w:r>
            <w:r>
              <w:rPr>
                <w:spacing w:val="-71"/>
              </w:rPr>
              <w:t xml:space="preserve"> </w:t>
            </w:r>
            <w:r>
              <w:rPr>
                <w:spacing w:val="-3"/>
              </w:rPr>
              <w:t>，用于储存废油液和</w:t>
            </w:r>
          </w:p>
        </w:tc>
      </w:tr>
    </w:tbl>
    <w:p w14:paraId="22D19142">
      <w:pPr>
        <w:pStyle w:val="2"/>
      </w:pPr>
    </w:p>
    <w:p w14:paraId="337FFACB">
      <w:pPr>
        <w:sectPr>
          <w:footerReference r:id="rId81" w:type="default"/>
          <w:pgSz w:w="11906" w:h="16839"/>
          <w:pgMar w:top="1270" w:right="1489" w:bottom="1261"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2D321B4B">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22" w:hRule="atLeast"/>
        </w:trPr>
        <w:tc>
          <w:tcPr>
            <w:tcW w:w="477" w:type="dxa"/>
            <w:tcBorders>
              <w:right w:val="single" w:color="000000" w:sz="2" w:space="0"/>
            </w:tcBorders>
            <w:vAlign w:val="top"/>
          </w:tcPr>
          <w:p w14:paraId="7B05B6FE">
            <w:pPr>
              <w:rPr>
                <w:rFonts w:ascii="Arial"/>
                <w:sz w:val="21"/>
              </w:rPr>
            </w:pPr>
          </w:p>
        </w:tc>
        <w:tc>
          <w:tcPr>
            <w:tcW w:w="8425" w:type="dxa"/>
            <w:tcBorders>
              <w:left w:val="single" w:color="000000" w:sz="2" w:space="0"/>
            </w:tcBorders>
            <w:vAlign w:val="top"/>
          </w:tcPr>
          <w:p w14:paraId="66349907">
            <w:pPr>
              <w:pStyle w:val="6"/>
              <w:spacing w:before="21" w:line="349" w:lineRule="auto"/>
              <w:ind w:left="99" w:right="96" w:firstLine="6"/>
            </w:pPr>
            <w:r>
              <w:rPr>
                <w:spacing w:val="-4"/>
              </w:rPr>
              <w:t>制冷剂。为封闭区域。危险废物贮存库按照《危险废物贮存污染控制标准》（</w:t>
            </w:r>
            <w:r>
              <w:rPr>
                <w:rFonts w:ascii="Times New Roman" w:hAnsi="Times New Roman" w:eastAsia="Times New Roman" w:cs="Times New Roman"/>
                <w:spacing w:val="-4"/>
              </w:rPr>
              <w:t>G</w:t>
            </w:r>
            <w:r>
              <w:rPr>
                <w:rFonts w:ascii="Times New Roman" w:hAnsi="Times New Roman" w:eastAsia="Times New Roman" w:cs="Times New Roman"/>
                <w:spacing w:val="13"/>
              </w:rPr>
              <w:t xml:space="preserve"> </w:t>
            </w:r>
            <w:r>
              <w:rPr>
                <w:rFonts w:ascii="Times New Roman" w:hAnsi="Times New Roman" w:eastAsia="Times New Roman" w:cs="Times New Roman"/>
              </w:rPr>
              <w:t>B  18597</w:t>
            </w:r>
            <w:r>
              <w:t>—</w:t>
            </w:r>
            <w:r>
              <w:rPr>
                <w:rFonts w:ascii="Times New Roman" w:hAnsi="Times New Roman" w:eastAsia="Times New Roman" w:cs="Times New Roman"/>
              </w:rPr>
              <w:t>2023</w:t>
            </w:r>
            <w:r>
              <w:t>）中的相关要求，混凝土表面硬化，基础</w:t>
            </w:r>
            <w:r>
              <w:rPr>
                <w:spacing w:val="-1"/>
              </w:rPr>
              <w:t>防渗采用</w:t>
            </w:r>
            <w:r>
              <w:rPr>
                <w:spacing w:val="-55"/>
              </w:rPr>
              <w:t xml:space="preserve"> </w:t>
            </w:r>
            <w:r>
              <w:rPr>
                <w:rFonts w:ascii="Times New Roman" w:hAnsi="Times New Roman" w:eastAsia="Times New Roman" w:cs="Times New Roman"/>
                <w:spacing w:val="-1"/>
              </w:rPr>
              <w:t xml:space="preserve">2mm </w:t>
            </w:r>
            <w:r>
              <w:rPr>
                <w:spacing w:val="-1"/>
              </w:rPr>
              <w:t>后的高</w:t>
            </w:r>
            <w:r>
              <w:t xml:space="preserve"> </w:t>
            </w:r>
            <w:r>
              <w:rPr>
                <w:spacing w:val="-1"/>
              </w:rPr>
              <w:t>密度聚乙烯或其他人工材料，渗透系数≤</w:t>
            </w:r>
            <w:r>
              <w:rPr>
                <w:rFonts w:ascii="Times New Roman" w:hAnsi="Times New Roman" w:eastAsia="Times New Roman" w:cs="Times New Roman"/>
                <w:spacing w:val="-1"/>
              </w:rPr>
              <w:t>10</w:t>
            </w:r>
            <w:r>
              <w:rPr>
                <w:rFonts w:ascii="Times New Roman" w:hAnsi="Times New Roman" w:eastAsia="Times New Roman" w:cs="Times New Roman"/>
                <w:spacing w:val="-1"/>
                <w:position w:val="7"/>
                <w:sz w:val="15"/>
                <w:szCs w:val="15"/>
              </w:rPr>
              <w:t>-10</w:t>
            </w:r>
            <w:r>
              <w:rPr>
                <w:rFonts w:ascii="Times New Roman" w:hAnsi="Times New Roman" w:eastAsia="Times New Roman" w:cs="Times New Roman"/>
                <w:spacing w:val="-1"/>
              </w:rPr>
              <w:t>cm/s</w:t>
            </w:r>
            <w:r>
              <w:rPr>
                <w:rFonts w:ascii="Times New Roman" w:hAnsi="Times New Roman" w:eastAsia="Times New Roman" w:cs="Times New Roman"/>
                <w:spacing w:val="-22"/>
              </w:rPr>
              <w:t xml:space="preserve"> </w:t>
            </w:r>
            <w:r>
              <w:rPr>
                <w:spacing w:val="-1"/>
              </w:rPr>
              <w:t>。危废储存场所必须防风、</w:t>
            </w:r>
          </w:p>
          <w:p w14:paraId="2CC1FCB9">
            <w:pPr>
              <w:pStyle w:val="6"/>
              <w:spacing w:before="39" w:line="355" w:lineRule="auto"/>
              <w:ind w:left="99" w:right="35" w:firstLine="20"/>
            </w:pPr>
            <w:r>
              <w:rPr>
                <w:spacing w:val="-1"/>
              </w:rPr>
              <w:t>防雨、防晒、地面必须高于厂房的基准地面，各类危废分类存放，危废定期转</w:t>
            </w:r>
            <w:r>
              <w:rPr>
                <w:spacing w:val="4"/>
              </w:rPr>
              <w:t xml:space="preserve">  </w:t>
            </w:r>
            <w:r>
              <w:rPr>
                <w:spacing w:val="-2"/>
              </w:rPr>
              <w:t xml:space="preserve">运， </w:t>
            </w:r>
            <w:r>
              <w:rPr>
                <w:rFonts w:ascii="Times New Roman" w:hAnsi="Times New Roman" w:eastAsia="Times New Roman" w:cs="Times New Roman"/>
                <w:spacing w:val="-2"/>
              </w:rPr>
              <w:t>1</w:t>
            </w:r>
            <w:r>
              <w:rPr>
                <w:rFonts w:ascii="Times New Roman" w:hAnsi="Times New Roman" w:eastAsia="Times New Roman" w:cs="Times New Roman"/>
                <w:spacing w:val="18"/>
              </w:rPr>
              <w:t xml:space="preserve"> </w:t>
            </w:r>
            <w:r>
              <w:rPr>
                <w:spacing w:val="-2"/>
              </w:rPr>
              <w:t>月转运</w:t>
            </w:r>
            <w:r>
              <w:rPr>
                <w:spacing w:val="-32"/>
              </w:rPr>
              <w:t xml:space="preserve"> </w:t>
            </w:r>
            <w:r>
              <w:rPr>
                <w:rFonts w:ascii="Times New Roman" w:hAnsi="Times New Roman" w:eastAsia="Times New Roman" w:cs="Times New Roman"/>
                <w:spacing w:val="-2"/>
              </w:rPr>
              <w:t>1</w:t>
            </w:r>
            <w:r>
              <w:rPr>
                <w:rFonts w:ascii="Times New Roman" w:hAnsi="Times New Roman" w:eastAsia="Times New Roman" w:cs="Times New Roman"/>
                <w:spacing w:val="16"/>
              </w:rPr>
              <w:t xml:space="preserve"> </w:t>
            </w:r>
            <w:r>
              <w:rPr>
                <w:spacing w:val="-2"/>
              </w:rPr>
              <w:t>次，危险废物贮存库应贴有危废标志，做好防雨措施，本项目</w:t>
            </w:r>
            <w:r>
              <w:t xml:space="preserve"> 危险废物贮存库地面与围堰采取表面防渗措施，采用 </w:t>
            </w:r>
            <w:r>
              <w:rPr>
                <w:rFonts w:ascii="Times New Roman" w:hAnsi="Times New Roman" w:eastAsia="Times New Roman" w:cs="Times New Roman"/>
              </w:rPr>
              <w:t xml:space="preserve">2mm  </w:t>
            </w:r>
            <w:r>
              <w:t>厚</w:t>
            </w:r>
            <w:r>
              <w:rPr>
                <w:spacing w:val="-1"/>
              </w:rPr>
              <w:t>高密度聚乙烯膜</w:t>
            </w:r>
            <w:r>
              <w:t xml:space="preserve">  </w:t>
            </w:r>
            <w:r>
              <w:rPr>
                <w:spacing w:val="-5"/>
              </w:rPr>
              <w:t>防渗材料，渗透系数不大于</w:t>
            </w:r>
            <w:r>
              <w:rPr>
                <w:spacing w:val="28"/>
              </w:rPr>
              <w:t xml:space="preserve"> </w:t>
            </w:r>
            <w:r>
              <w:rPr>
                <w:rFonts w:ascii="Times New Roman" w:hAnsi="Times New Roman" w:eastAsia="Times New Roman" w:cs="Times New Roman"/>
                <w:spacing w:val="-5"/>
              </w:rPr>
              <w:t>10</w:t>
            </w:r>
            <w:r>
              <w:rPr>
                <w:rFonts w:ascii="Times New Roman" w:hAnsi="Times New Roman" w:eastAsia="Times New Roman" w:cs="Times New Roman"/>
                <w:spacing w:val="-5"/>
                <w:position w:val="8"/>
                <w:sz w:val="15"/>
                <w:szCs w:val="15"/>
              </w:rPr>
              <w:t>-10</w:t>
            </w:r>
            <w:r>
              <w:rPr>
                <w:rFonts w:ascii="Times New Roman" w:hAnsi="Times New Roman" w:eastAsia="Times New Roman" w:cs="Times New Roman"/>
                <w:spacing w:val="-5"/>
              </w:rPr>
              <w:t>cm/s</w:t>
            </w:r>
            <w:r>
              <w:rPr>
                <w:spacing w:val="-5"/>
              </w:rPr>
              <w:t>，满足《危险废物贮存污染控制标准》</w:t>
            </w:r>
            <w:r>
              <w:rPr>
                <w:spacing w:val="-6"/>
              </w:rPr>
              <w:t>（</w:t>
            </w:r>
            <w:r>
              <w:rPr>
                <w:rFonts w:ascii="Times New Roman" w:hAnsi="Times New Roman" w:eastAsia="Times New Roman" w:cs="Times New Roman"/>
                <w:spacing w:val="-6"/>
              </w:rPr>
              <w:t>G</w:t>
            </w:r>
            <w:r>
              <w:rPr>
                <w:rFonts w:ascii="Times New Roman" w:hAnsi="Times New Roman" w:eastAsia="Times New Roman" w:cs="Times New Roman"/>
              </w:rPr>
              <w:t xml:space="preserve">  </w:t>
            </w:r>
            <w:r>
              <w:rPr>
                <w:rFonts w:ascii="Times New Roman" w:hAnsi="Times New Roman" w:eastAsia="Times New Roman" w:cs="Times New Roman"/>
                <w:spacing w:val="-4"/>
              </w:rPr>
              <w:t>B  18597-2023</w:t>
            </w:r>
            <w:r>
              <w:rPr>
                <w:spacing w:val="-4"/>
              </w:rPr>
              <w:t xml:space="preserve">）中防渗要求。拆解车间作业区地面混凝土强度等级不低于 </w:t>
            </w:r>
            <w:r>
              <w:rPr>
                <w:rFonts w:ascii="Times New Roman" w:hAnsi="Times New Roman" w:eastAsia="Times New Roman" w:cs="Times New Roman"/>
                <w:spacing w:val="-4"/>
              </w:rPr>
              <w:t>C20</w:t>
            </w:r>
            <w:r>
              <w:rPr>
                <w:spacing w:val="-4"/>
              </w:rPr>
              <w:t>，</w:t>
            </w:r>
            <w:r>
              <w:rPr>
                <w:spacing w:val="9"/>
              </w:rPr>
              <w:t xml:space="preserve"> </w:t>
            </w:r>
            <w:r>
              <w:rPr>
                <w:spacing w:val="-2"/>
              </w:rPr>
              <w:t xml:space="preserve">厚度不低于 </w:t>
            </w:r>
            <w:r>
              <w:rPr>
                <w:rFonts w:ascii="Times New Roman" w:hAnsi="Times New Roman" w:eastAsia="Times New Roman" w:cs="Times New Roman"/>
                <w:spacing w:val="-2"/>
              </w:rPr>
              <w:t>150  mm</w:t>
            </w:r>
            <w:r>
              <w:rPr>
                <w:rFonts w:ascii="Times New Roman" w:hAnsi="Times New Roman" w:eastAsia="Times New Roman" w:cs="Times New Roman"/>
                <w:spacing w:val="-15"/>
              </w:rPr>
              <w:t xml:space="preserve"> </w:t>
            </w:r>
            <w:r>
              <w:rPr>
                <w:spacing w:val="-2"/>
              </w:rPr>
              <w:t xml:space="preserve">，其中物流通道路面和拆解作业区域强度不低于 </w:t>
            </w:r>
            <w:r>
              <w:rPr>
                <w:rFonts w:ascii="Times New Roman" w:hAnsi="Times New Roman" w:eastAsia="Times New Roman" w:cs="Times New Roman"/>
                <w:spacing w:val="-2"/>
              </w:rPr>
              <w:t>C30</w:t>
            </w:r>
            <w:r>
              <w:rPr>
                <w:rFonts w:ascii="Times New Roman" w:hAnsi="Times New Roman" w:eastAsia="Times New Roman" w:cs="Times New Roman"/>
                <w:spacing w:val="-31"/>
              </w:rPr>
              <w:t xml:space="preserve"> </w:t>
            </w:r>
            <w:r>
              <w:rPr>
                <w:spacing w:val="-2"/>
              </w:rPr>
              <w:t>，厚</w:t>
            </w:r>
            <w:r>
              <w:t xml:space="preserve"> </w:t>
            </w:r>
            <w:r>
              <w:rPr>
                <w:spacing w:val="-1"/>
              </w:rPr>
              <w:t xml:space="preserve">度不低于 </w:t>
            </w:r>
            <w:r>
              <w:rPr>
                <w:rFonts w:ascii="Times New Roman" w:hAnsi="Times New Roman" w:eastAsia="Times New Roman" w:cs="Times New Roman"/>
                <w:spacing w:val="-1"/>
              </w:rPr>
              <w:t>200mm</w:t>
            </w:r>
            <w:r>
              <w:rPr>
                <w:rFonts w:ascii="Times New Roman" w:hAnsi="Times New Roman" w:eastAsia="Times New Roman" w:cs="Times New Roman"/>
                <w:spacing w:val="-33"/>
              </w:rPr>
              <w:t xml:space="preserve"> </w:t>
            </w:r>
            <w:r>
              <w:rPr>
                <w:spacing w:val="-1"/>
              </w:rPr>
              <w:t>，满足《报废机动车拆解企业污染控制技术</w:t>
            </w:r>
            <w:r>
              <w:rPr>
                <w:spacing w:val="-2"/>
              </w:rPr>
              <w:t xml:space="preserve">规范》 </w:t>
            </w:r>
            <w:r>
              <w:rPr>
                <w:rFonts w:ascii="Times New Roman" w:hAnsi="Times New Roman" w:eastAsia="Times New Roman" w:cs="Times New Roman"/>
                <w:spacing w:val="-2"/>
              </w:rPr>
              <w:t>(HJ348-20</w:t>
            </w:r>
            <w:r>
              <w:rPr>
                <w:rFonts w:ascii="Times New Roman" w:hAnsi="Times New Roman" w:eastAsia="Times New Roman" w:cs="Times New Roman"/>
              </w:rPr>
              <w:t xml:space="preserve">  </w:t>
            </w:r>
            <w:r>
              <w:rPr>
                <w:rFonts w:ascii="Times New Roman" w:hAnsi="Times New Roman" w:eastAsia="Times New Roman" w:cs="Times New Roman"/>
                <w:spacing w:val="-1"/>
              </w:rPr>
              <w:t>22)</w:t>
            </w:r>
            <w:r>
              <w:rPr>
                <w:spacing w:val="-1"/>
              </w:rPr>
              <w:t>中防渗、混凝土强度要求。</w:t>
            </w:r>
          </w:p>
          <w:p w14:paraId="0A57AC53">
            <w:pPr>
              <w:pStyle w:val="6"/>
              <w:spacing w:before="42" w:line="343" w:lineRule="auto"/>
              <w:ind w:left="103" w:right="97" w:firstLine="480"/>
              <w:jc w:val="both"/>
            </w:pPr>
            <w:r>
              <w:rPr>
                <w:spacing w:val="-1"/>
              </w:rPr>
              <w:t>根据《危险废物贮存污染控制标准》</w:t>
            </w:r>
            <w:r>
              <w:rPr>
                <w:rFonts w:ascii="Times New Roman" w:hAnsi="Times New Roman" w:eastAsia="Times New Roman" w:cs="Times New Roman"/>
                <w:spacing w:val="-1"/>
              </w:rPr>
              <w:t>(GB18597-2023)</w:t>
            </w:r>
            <w:r>
              <w:rPr>
                <w:spacing w:val="-1"/>
              </w:rPr>
              <w:t>和 《危</w:t>
            </w:r>
            <w:r>
              <w:rPr>
                <w:spacing w:val="-2"/>
              </w:rPr>
              <w:t>险废物收集贮</w:t>
            </w:r>
            <w:r>
              <w:t xml:space="preserve"> </w:t>
            </w:r>
            <w:r>
              <w:rPr>
                <w:spacing w:val="-3"/>
              </w:rPr>
              <w:t>存运输技术规范》</w:t>
            </w:r>
            <w:r>
              <w:rPr>
                <w:rFonts w:ascii="Times New Roman" w:hAnsi="Times New Roman" w:eastAsia="Times New Roman" w:cs="Times New Roman"/>
                <w:spacing w:val="-3"/>
              </w:rPr>
              <w:t>(HJ2025-2012)</w:t>
            </w:r>
            <w:r>
              <w:rPr>
                <w:rFonts w:ascii="Times New Roman" w:hAnsi="Times New Roman" w:eastAsia="Times New Roman" w:cs="Times New Roman"/>
                <w:spacing w:val="14"/>
              </w:rPr>
              <w:t xml:space="preserve">  </w:t>
            </w:r>
            <w:r>
              <w:rPr>
                <w:spacing w:val="-3"/>
              </w:rPr>
              <w:t>的要求，本项目危险废物贮存库所应</w:t>
            </w:r>
            <w:r>
              <w:rPr>
                <w:spacing w:val="-4"/>
              </w:rPr>
              <w:t>按以下要</w:t>
            </w:r>
            <w:r>
              <w:t xml:space="preserve"> </w:t>
            </w:r>
            <w:r>
              <w:rPr>
                <w:spacing w:val="-3"/>
              </w:rPr>
              <w:t>求设置：</w:t>
            </w:r>
          </w:p>
          <w:p w14:paraId="3D8A5113">
            <w:pPr>
              <w:pStyle w:val="6"/>
              <w:spacing w:before="63" w:line="289" w:lineRule="auto"/>
              <w:ind w:left="103" w:right="97" w:firstLine="480"/>
            </w:pPr>
            <w:r>
              <w:rPr>
                <w:spacing w:val="-1"/>
              </w:rPr>
              <w:t>①本项目设置的</w:t>
            </w:r>
            <w:r>
              <w:rPr>
                <w:spacing w:val="-34"/>
              </w:rPr>
              <w:t xml:space="preserve"> </w:t>
            </w:r>
            <w:r>
              <w:rPr>
                <w:rFonts w:ascii="Times New Roman" w:hAnsi="Times New Roman" w:eastAsia="Times New Roman" w:cs="Times New Roman"/>
                <w:spacing w:val="-1"/>
              </w:rPr>
              <w:t>1#</w:t>
            </w:r>
            <w:r>
              <w:rPr>
                <w:spacing w:val="-1"/>
              </w:rPr>
              <w:t>其他危险废物暂存区内不同贮存分区之间应</w:t>
            </w:r>
            <w:r>
              <w:rPr>
                <w:spacing w:val="-2"/>
              </w:rPr>
              <w:t>采取隔离措</w:t>
            </w:r>
            <w:r>
              <w:t xml:space="preserve"> 施。隔离措施可根据危险废物特性采用过道</w:t>
            </w:r>
            <w:r>
              <w:rPr>
                <w:spacing w:val="-1"/>
              </w:rPr>
              <w:t>、隔板或隔墙等方式。</w:t>
            </w:r>
          </w:p>
          <w:p w14:paraId="40F9D761">
            <w:pPr>
              <w:pStyle w:val="6"/>
              <w:spacing w:before="180" w:line="336" w:lineRule="auto"/>
              <w:ind w:left="104" w:right="128" w:firstLine="478"/>
            </w:pPr>
            <w:r>
              <w:t>②在贮存库内或通过贮存分区方式贮存液态危险废物</w:t>
            </w:r>
            <w:r>
              <w:rPr>
                <w:spacing w:val="-1"/>
              </w:rPr>
              <w:t>的，应具有液体泄漏</w:t>
            </w:r>
            <w:r>
              <w:t xml:space="preserve"> 堵截设施，堵截设施最小容积不应低于对应贮存区域</w:t>
            </w:r>
            <w:r>
              <w:rPr>
                <w:spacing w:val="-1"/>
              </w:rPr>
              <w:t>最大液态废物容器容积或</w:t>
            </w:r>
            <w:r>
              <w:t xml:space="preserve"> </w:t>
            </w:r>
            <w:r>
              <w:rPr>
                <w:spacing w:val="-2"/>
              </w:rPr>
              <w:t>液态废物总储量</w:t>
            </w:r>
            <w:r>
              <w:rPr>
                <w:spacing w:val="-31"/>
              </w:rPr>
              <w:t xml:space="preserve"> </w:t>
            </w:r>
            <w:r>
              <w:rPr>
                <w:rFonts w:ascii="Times New Roman" w:hAnsi="Times New Roman" w:eastAsia="Times New Roman" w:cs="Times New Roman"/>
                <w:spacing w:val="-2"/>
              </w:rPr>
              <w:t>1/10</w:t>
            </w:r>
            <w:r>
              <w:rPr>
                <w:spacing w:val="-2"/>
              </w:rPr>
              <w:t>（二者取较大者</w:t>
            </w:r>
            <w:r>
              <w:rPr>
                <w:spacing w:val="13"/>
              </w:rPr>
              <w:t>）；</w:t>
            </w:r>
            <w:r>
              <w:rPr>
                <w:spacing w:val="-2"/>
              </w:rPr>
              <w:t>用于贮存可能产生渗滤液的危险废物</w:t>
            </w:r>
            <w:r>
              <w:t xml:space="preserve"> 的贮存库或贮存分区应设计渗滤液收集设施，收集设</w:t>
            </w:r>
            <w:r>
              <w:rPr>
                <w:spacing w:val="-1"/>
              </w:rPr>
              <w:t>施容积应满足渗滤液的收</w:t>
            </w:r>
            <w:r>
              <w:t xml:space="preserve"> </w:t>
            </w:r>
            <w:r>
              <w:rPr>
                <w:spacing w:val="-1"/>
              </w:rPr>
              <w:t>集要求。本项目在个贮存库四周设置</w:t>
            </w:r>
            <w:r>
              <w:rPr>
                <w:spacing w:val="-34"/>
              </w:rPr>
              <w:t xml:space="preserve"> </w:t>
            </w:r>
            <w:r>
              <w:rPr>
                <w:rFonts w:ascii="Times New Roman" w:hAnsi="Times New Roman" w:eastAsia="Times New Roman" w:cs="Times New Roman"/>
                <w:spacing w:val="-1"/>
              </w:rPr>
              <w:t xml:space="preserve">0.4m×0.5m </w:t>
            </w:r>
            <w:r>
              <w:rPr>
                <w:spacing w:val="-1"/>
              </w:rPr>
              <w:t>导流槽，于拆解车间外侧西南</w:t>
            </w:r>
            <w:r>
              <w:t xml:space="preserve"> </w:t>
            </w:r>
            <w:r>
              <w:rPr>
                <w:spacing w:val="-2"/>
              </w:rPr>
              <w:t>角建设</w:t>
            </w:r>
            <w:r>
              <w:rPr>
                <w:spacing w:val="-32"/>
              </w:rPr>
              <w:t xml:space="preserve"> </w:t>
            </w:r>
            <w:r>
              <w:rPr>
                <w:rFonts w:ascii="Times New Roman" w:hAnsi="Times New Roman" w:eastAsia="Times New Roman" w:cs="Times New Roman"/>
                <w:spacing w:val="-2"/>
              </w:rPr>
              <w:t>10m</w:t>
            </w:r>
            <w:r>
              <w:rPr>
                <w:rFonts w:ascii="Times New Roman" w:hAnsi="Times New Roman" w:eastAsia="Times New Roman" w:cs="Times New Roman"/>
                <w:spacing w:val="-2"/>
                <w:position w:val="8"/>
                <w:sz w:val="15"/>
                <w:szCs w:val="15"/>
              </w:rPr>
              <w:t>3</w:t>
            </w:r>
            <w:r>
              <w:rPr>
                <w:rFonts w:ascii="Times New Roman" w:hAnsi="Times New Roman" w:eastAsia="Times New Roman" w:cs="Times New Roman"/>
                <w:spacing w:val="9"/>
                <w:position w:val="8"/>
                <w:sz w:val="15"/>
                <w:szCs w:val="15"/>
              </w:rPr>
              <w:t xml:space="preserve"> </w:t>
            </w:r>
            <w:r>
              <w:rPr>
                <w:spacing w:val="-2"/>
              </w:rPr>
              <w:t>事故收集池，可满足事故状态要求。</w:t>
            </w:r>
          </w:p>
          <w:p w14:paraId="7990902A">
            <w:pPr>
              <w:pStyle w:val="6"/>
              <w:spacing w:before="179" w:line="313" w:lineRule="auto"/>
              <w:ind w:left="105" w:right="97" w:firstLine="477"/>
            </w:pPr>
            <w:r>
              <w:rPr>
                <w:spacing w:val="-2"/>
              </w:rPr>
              <w:t>③贮存易产生粉尘、</w:t>
            </w:r>
            <w:r>
              <w:rPr>
                <w:rFonts w:ascii="Times New Roman" w:hAnsi="Times New Roman" w:eastAsia="Times New Roman" w:cs="Times New Roman"/>
                <w:spacing w:val="-2"/>
              </w:rPr>
              <w:t>VOCs</w:t>
            </w:r>
            <w:r>
              <w:rPr>
                <w:spacing w:val="-2"/>
              </w:rPr>
              <w:t>、酸雾、有毒有害大气污染物和刺激性气</w:t>
            </w:r>
            <w:r>
              <w:rPr>
                <w:spacing w:val="-3"/>
              </w:rPr>
              <w:t>味气体</w:t>
            </w:r>
            <w:r>
              <w:t xml:space="preserve"> 的危险废物贮存库，应设置气体收集装置和气体净</w:t>
            </w:r>
            <w:r>
              <w:rPr>
                <w:spacing w:val="-1"/>
              </w:rPr>
              <w:t>化设施，气体净化设施的排</w:t>
            </w:r>
            <w:r>
              <w:t xml:space="preserve"> </w:t>
            </w:r>
            <w:r>
              <w:rPr>
                <w:spacing w:val="-2"/>
              </w:rPr>
              <w:t>气筒高度应符合</w:t>
            </w:r>
            <w:r>
              <w:rPr>
                <w:spacing w:val="-36"/>
              </w:rPr>
              <w:t xml:space="preserve"> </w:t>
            </w:r>
            <w:r>
              <w:rPr>
                <w:rFonts w:ascii="Times New Roman" w:hAnsi="Times New Roman" w:eastAsia="Times New Roman" w:cs="Times New Roman"/>
                <w:spacing w:val="-2"/>
              </w:rPr>
              <w:t xml:space="preserve">GB16297  </w:t>
            </w:r>
            <w:r>
              <w:rPr>
                <w:spacing w:val="-2"/>
              </w:rPr>
              <w:t>要求。</w:t>
            </w:r>
          </w:p>
          <w:p w14:paraId="6E7B4C8F">
            <w:pPr>
              <w:pStyle w:val="6"/>
              <w:spacing w:before="182" w:line="350" w:lineRule="auto"/>
              <w:ind w:left="102" w:right="16" w:firstLine="481"/>
              <w:jc w:val="both"/>
            </w:pPr>
            <w:r>
              <w:rPr>
                <w:spacing w:val="-2"/>
              </w:rPr>
              <w:t>拆解区切割工段设置集气罩，收集的废气经</w:t>
            </w:r>
            <w:r>
              <w:rPr>
                <w:spacing w:val="-31"/>
              </w:rPr>
              <w:t xml:space="preserve"> </w:t>
            </w:r>
            <w:r>
              <w:rPr>
                <w:rFonts w:ascii="Times New Roman" w:hAnsi="Times New Roman" w:eastAsia="Times New Roman" w:cs="Times New Roman"/>
                <w:spacing w:val="-2"/>
              </w:rPr>
              <w:t xml:space="preserve">1 </w:t>
            </w:r>
            <w:r>
              <w:rPr>
                <w:spacing w:val="-2"/>
              </w:rPr>
              <w:t>套布袋除尘器处理后由</w:t>
            </w:r>
            <w:r>
              <w:rPr>
                <w:spacing w:val="-32"/>
              </w:rPr>
              <w:t xml:space="preserve"> </w:t>
            </w:r>
            <w:r>
              <w:rPr>
                <w:rFonts w:ascii="Times New Roman" w:hAnsi="Times New Roman" w:eastAsia="Times New Roman" w:cs="Times New Roman"/>
                <w:spacing w:val="-2"/>
              </w:rPr>
              <w:t>15m</w:t>
            </w:r>
            <w:r>
              <w:rPr>
                <w:rFonts w:ascii="Times New Roman" w:hAnsi="Times New Roman" w:eastAsia="Times New Roman" w:cs="Times New Roman"/>
              </w:rPr>
              <w:t xml:space="preserve">   </w:t>
            </w:r>
            <w:r>
              <w:rPr>
                <w:spacing w:val="-1"/>
              </w:rPr>
              <w:t>高排气筒排放（</w:t>
            </w:r>
            <w:r>
              <w:rPr>
                <w:rFonts w:ascii="Times New Roman" w:hAnsi="Times New Roman" w:eastAsia="Times New Roman" w:cs="Times New Roman"/>
                <w:spacing w:val="-1"/>
              </w:rPr>
              <w:t>DA001</w:t>
            </w:r>
            <w:r>
              <w:rPr>
                <w:spacing w:val="4"/>
              </w:rPr>
              <w:t>）；</w:t>
            </w:r>
            <w:r>
              <w:rPr>
                <w:spacing w:val="-1"/>
              </w:rPr>
              <w:t>抽油液工段与危险废物贮存</w:t>
            </w:r>
            <w:r>
              <w:rPr>
                <w:spacing w:val="-2"/>
              </w:rPr>
              <w:t>库共用</w:t>
            </w:r>
            <w:r>
              <w:rPr>
                <w:spacing w:val="-32"/>
              </w:rPr>
              <w:t xml:space="preserve"> </w:t>
            </w:r>
            <w:r>
              <w:rPr>
                <w:rFonts w:ascii="Times New Roman" w:hAnsi="Times New Roman" w:eastAsia="Times New Roman" w:cs="Times New Roman"/>
                <w:spacing w:val="-2"/>
              </w:rPr>
              <w:t xml:space="preserve">1 </w:t>
            </w:r>
            <w:r>
              <w:rPr>
                <w:spacing w:val="-2"/>
              </w:rPr>
              <w:t>套设置集气装</w:t>
            </w:r>
            <w:r>
              <w:t xml:space="preserve">  </w:t>
            </w:r>
            <w:r>
              <w:rPr>
                <w:spacing w:val="-6"/>
              </w:rPr>
              <w:t>置，收集的废气经</w:t>
            </w:r>
            <w:r>
              <w:rPr>
                <w:spacing w:val="-32"/>
              </w:rPr>
              <w:t xml:space="preserve"> </w:t>
            </w:r>
            <w:r>
              <w:rPr>
                <w:rFonts w:ascii="Times New Roman" w:hAnsi="Times New Roman" w:eastAsia="Times New Roman" w:cs="Times New Roman"/>
                <w:spacing w:val="-6"/>
              </w:rPr>
              <w:t xml:space="preserve">1 </w:t>
            </w:r>
            <w:r>
              <w:rPr>
                <w:spacing w:val="-6"/>
              </w:rPr>
              <w:t>套活性碳吸附装置处理后由</w:t>
            </w:r>
            <w:r>
              <w:rPr>
                <w:spacing w:val="-32"/>
              </w:rPr>
              <w:t xml:space="preserve"> </w:t>
            </w:r>
            <w:r>
              <w:rPr>
                <w:rFonts w:ascii="Times New Roman" w:hAnsi="Times New Roman" w:eastAsia="Times New Roman" w:cs="Times New Roman"/>
                <w:spacing w:val="-6"/>
              </w:rPr>
              <w:t>15m</w:t>
            </w:r>
            <w:r>
              <w:rPr>
                <w:rFonts w:ascii="Times New Roman" w:hAnsi="Times New Roman" w:eastAsia="Times New Roman" w:cs="Times New Roman"/>
                <w:spacing w:val="17"/>
              </w:rPr>
              <w:t xml:space="preserve"> </w:t>
            </w:r>
            <w:r>
              <w:rPr>
                <w:spacing w:val="-6"/>
              </w:rPr>
              <w:t>高排气筒排放（</w:t>
            </w:r>
            <w:r>
              <w:rPr>
                <w:rFonts w:ascii="Times New Roman" w:hAnsi="Times New Roman" w:eastAsia="Times New Roman" w:cs="Times New Roman"/>
                <w:spacing w:val="-6"/>
              </w:rPr>
              <w:t>DA00</w:t>
            </w:r>
            <w:r>
              <w:rPr>
                <w:rFonts w:ascii="Times New Roman" w:hAnsi="Times New Roman" w:eastAsia="Times New Roman" w:cs="Times New Roman"/>
                <w:spacing w:val="-7"/>
              </w:rPr>
              <w:t>2</w:t>
            </w:r>
            <w:r>
              <w:rPr>
                <w:spacing w:val="-7"/>
              </w:rPr>
              <w:t>）。</w:t>
            </w:r>
          </w:p>
          <w:p w14:paraId="1640A03D">
            <w:pPr>
              <w:pStyle w:val="6"/>
              <w:spacing w:before="35" w:line="347" w:lineRule="auto"/>
              <w:ind w:left="587" w:right="4354" w:firstLine="8"/>
            </w:pPr>
            <w:r>
              <w:rPr>
                <w:spacing w:val="-2"/>
              </w:rPr>
              <w:t>（</w:t>
            </w:r>
            <w:r>
              <w:rPr>
                <w:rFonts w:ascii="Times New Roman" w:hAnsi="Times New Roman" w:eastAsia="Times New Roman" w:cs="Times New Roman"/>
                <w:spacing w:val="-2"/>
              </w:rPr>
              <w:t>6</w:t>
            </w:r>
            <w:r>
              <w:rPr>
                <w:spacing w:val="-2"/>
              </w:rPr>
              <w:t>）容器和包装物污染控制要求</w:t>
            </w:r>
            <w:r>
              <w:rPr>
                <w:spacing w:val="8"/>
              </w:rPr>
              <w:t xml:space="preserve"> </w:t>
            </w:r>
            <w:r>
              <w:rPr>
                <w:spacing w:val="-1"/>
              </w:rPr>
              <w:t>容器和包装物污染控制要求：</w:t>
            </w:r>
          </w:p>
        </w:tc>
      </w:tr>
    </w:tbl>
    <w:p w14:paraId="4798B9A9">
      <w:pPr>
        <w:pStyle w:val="2"/>
        <w:spacing w:line="222" w:lineRule="exact"/>
        <w:rPr>
          <w:sz w:val="19"/>
        </w:rPr>
      </w:pPr>
    </w:p>
    <w:p w14:paraId="030519BF">
      <w:pPr>
        <w:spacing w:line="222" w:lineRule="exact"/>
        <w:rPr>
          <w:sz w:val="19"/>
          <w:szCs w:val="19"/>
        </w:rPr>
        <w:sectPr>
          <w:footerReference r:id="rId82"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34D93167">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41" w:hRule="atLeast"/>
        </w:trPr>
        <w:tc>
          <w:tcPr>
            <w:tcW w:w="477" w:type="dxa"/>
            <w:tcBorders>
              <w:right w:val="single" w:color="000000" w:sz="2" w:space="0"/>
            </w:tcBorders>
            <w:vAlign w:val="top"/>
          </w:tcPr>
          <w:p w14:paraId="357B255B">
            <w:pPr>
              <w:rPr>
                <w:rFonts w:ascii="Arial"/>
                <w:sz w:val="21"/>
              </w:rPr>
            </w:pPr>
          </w:p>
        </w:tc>
        <w:tc>
          <w:tcPr>
            <w:tcW w:w="8425" w:type="dxa"/>
            <w:tcBorders>
              <w:left w:val="single" w:color="000000" w:sz="2" w:space="0"/>
            </w:tcBorders>
            <w:vAlign w:val="top"/>
          </w:tcPr>
          <w:p w14:paraId="10C97D84">
            <w:pPr>
              <w:pStyle w:val="6"/>
              <w:spacing w:before="21" w:line="217" w:lineRule="auto"/>
              <w:ind w:left="583"/>
            </w:pPr>
            <w:r>
              <w:rPr>
                <w:spacing w:val="-1"/>
              </w:rPr>
              <w:t>①容器和包装物材质、内衬应与盛装的危险废物相容。</w:t>
            </w:r>
          </w:p>
          <w:p w14:paraId="40B8E277">
            <w:pPr>
              <w:pStyle w:val="6"/>
              <w:spacing w:before="182" w:line="289" w:lineRule="auto"/>
              <w:ind w:left="108" w:right="154" w:firstLine="474"/>
            </w:pPr>
            <w:r>
              <w:t>②针对不同类别、形态、物理化学性质的危险废物，</w:t>
            </w:r>
            <w:r>
              <w:rPr>
                <w:spacing w:val="-1"/>
              </w:rPr>
              <w:t>其容器和包装物应满</w:t>
            </w:r>
            <w:r>
              <w:t xml:space="preserve"> </w:t>
            </w:r>
            <w:r>
              <w:rPr>
                <w:spacing w:val="-1"/>
              </w:rPr>
              <w:t>足相应的防渗、防漏、防腐和强度等要求。</w:t>
            </w:r>
          </w:p>
          <w:p w14:paraId="0FB076E0">
            <w:pPr>
              <w:pStyle w:val="6"/>
              <w:spacing w:before="183" w:line="290" w:lineRule="auto"/>
              <w:ind w:left="104" w:right="154" w:firstLine="478"/>
            </w:pPr>
            <w:r>
              <w:t>③硬质容器和包装物及其支护结构堆叠码放时不应有</w:t>
            </w:r>
            <w:r>
              <w:rPr>
                <w:spacing w:val="-1"/>
              </w:rPr>
              <w:t>明显变形，无破损泄</w:t>
            </w:r>
            <w:r>
              <w:t xml:space="preserve"> </w:t>
            </w:r>
            <w:r>
              <w:rPr>
                <w:spacing w:val="-5"/>
              </w:rPr>
              <w:t>漏。</w:t>
            </w:r>
          </w:p>
          <w:p w14:paraId="29D90279">
            <w:pPr>
              <w:pStyle w:val="6"/>
              <w:spacing w:before="178" w:line="217" w:lineRule="auto"/>
              <w:ind w:left="582"/>
            </w:pPr>
            <w:r>
              <w:rPr>
                <w:spacing w:val="-1"/>
              </w:rPr>
              <w:t>④柔性容器和包装物堆叠码放时应封口严密，无破损泄漏。</w:t>
            </w:r>
          </w:p>
          <w:p w14:paraId="38B1E8DB">
            <w:pPr>
              <w:pStyle w:val="6"/>
              <w:spacing w:before="187" w:line="288" w:lineRule="auto"/>
              <w:ind w:left="131" w:right="16" w:firstLine="450"/>
            </w:pPr>
            <w:r>
              <w:rPr>
                <w:spacing w:val="1"/>
              </w:rPr>
              <w:t>⑤使用容器盛装液态、半固态危险废物时，容</w:t>
            </w:r>
            <w:r>
              <w:t xml:space="preserve">器内部应留有适当的空间，  </w:t>
            </w:r>
            <w:r>
              <w:rPr>
                <w:spacing w:val="-4"/>
              </w:rPr>
              <w:t>以适应因温度变化等可能引发的收缩和膨胀，防止其导致容器渗漏或永久变形。</w:t>
            </w:r>
          </w:p>
          <w:p w14:paraId="12E2EC86">
            <w:pPr>
              <w:pStyle w:val="6"/>
              <w:spacing w:before="184" w:line="217" w:lineRule="auto"/>
              <w:ind w:left="582"/>
            </w:pPr>
            <w:r>
              <w:rPr>
                <w:spacing w:val="-1"/>
              </w:rPr>
              <w:t>⑥容器和包装物外表面应保持清洁。</w:t>
            </w:r>
          </w:p>
          <w:p w14:paraId="1BDC10D8">
            <w:pPr>
              <w:pStyle w:val="6"/>
              <w:spacing w:before="183" w:line="347" w:lineRule="auto"/>
              <w:ind w:left="128" w:right="154" w:firstLine="457"/>
            </w:pPr>
            <w:r>
              <w:t>本项目产生的危险废物应存放于阴凉、通风、</w:t>
            </w:r>
            <w:r>
              <w:rPr>
                <w:spacing w:val="-1"/>
              </w:rPr>
              <w:t>干燥的危险废物贮存库，不</w:t>
            </w:r>
            <w:r>
              <w:t xml:space="preserve"> </w:t>
            </w:r>
            <w:r>
              <w:rPr>
                <w:spacing w:val="-1"/>
              </w:rPr>
              <w:t>同类型的危废分区存放管理，防止阳光直射，</w:t>
            </w:r>
            <w:r>
              <w:rPr>
                <w:spacing w:val="-2"/>
              </w:rPr>
              <w:t>保持容器密封。</w:t>
            </w:r>
          </w:p>
          <w:p w14:paraId="28FA06CB">
            <w:pPr>
              <w:pStyle w:val="6"/>
              <w:spacing w:before="32" w:line="219" w:lineRule="auto"/>
              <w:ind w:left="596"/>
            </w:pPr>
            <w:r>
              <w:rPr>
                <w:spacing w:val="-2"/>
              </w:rPr>
              <w:t>（</w:t>
            </w:r>
            <w:r>
              <w:rPr>
                <w:rFonts w:ascii="Times New Roman" w:hAnsi="Times New Roman" w:eastAsia="Times New Roman" w:cs="Times New Roman"/>
                <w:spacing w:val="-2"/>
              </w:rPr>
              <w:t>7</w:t>
            </w:r>
            <w:r>
              <w:rPr>
                <w:spacing w:val="-2"/>
              </w:rPr>
              <w:t>）贮存设施的选址与设计要求</w:t>
            </w:r>
          </w:p>
          <w:p w14:paraId="4E35EEA5">
            <w:pPr>
              <w:pStyle w:val="6"/>
              <w:spacing w:before="183" w:line="217" w:lineRule="auto"/>
              <w:ind w:left="583"/>
            </w:pPr>
            <w:r>
              <w:rPr>
                <w:spacing w:val="-1"/>
              </w:rPr>
              <w:t>①贮存场所及设施底部不许高于地下水最高水位；</w:t>
            </w:r>
          </w:p>
          <w:p w14:paraId="596DD63B">
            <w:pPr>
              <w:pStyle w:val="6"/>
              <w:spacing w:before="263" w:line="290" w:lineRule="auto"/>
              <w:ind w:left="224" w:right="274" w:firstLine="478"/>
            </w:pPr>
            <w:r>
              <w:t>②用以存放危险废物容器的地方，必须有耐腐蚀的</w:t>
            </w:r>
            <w:r>
              <w:rPr>
                <w:spacing w:val="-1"/>
              </w:rPr>
              <w:t>硬化地面，且表面无</w:t>
            </w:r>
            <w:r>
              <w:t xml:space="preserve"> </w:t>
            </w:r>
            <w:r>
              <w:rPr>
                <w:spacing w:val="-4"/>
              </w:rPr>
              <w:t>裂隙；</w:t>
            </w:r>
          </w:p>
          <w:p w14:paraId="336E0F45">
            <w:pPr>
              <w:pStyle w:val="6"/>
              <w:spacing w:before="182" w:line="290" w:lineRule="auto"/>
              <w:ind w:left="228" w:right="274" w:firstLine="474"/>
            </w:pPr>
            <w:r>
              <w:t>③贮存场所及设施地面与裙脚要用坚固、防渗的材</w:t>
            </w:r>
            <w:r>
              <w:rPr>
                <w:spacing w:val="-1"/>
              </w:rPr>
              <w:t>料建造，建筑材料必</w:t>
            </w:r>
            <w:r>
              <w:t xml:space="preserve"> </w:t>
            </w:r>
            <w:r>
              <w:rPr>
                <w:spacing w:val="-2"/>
              </w:rPr>
              <w:t>须与危险废物相容；</w:t>
            </w:r>
          </w:p>
          <w:p w14:paraId="272BD1CF">
            <w:pPr>
              <w:pStyle w:val="6"/>
              <w:spacing w:before="182" w:line="313" w:lineRule="auto"/>
              <w:ind w:left="225" w:right="155" w:firstLine="477"/>
            </w:pPr>
            <w:r>
              <w:t>④贮存场所地面必须为耐腐蚀的硬化地面，且表面</w:t>
            </w:r>
            <w:r>
              <w:rPr>
                <w:spacing w:val="-1"/>
              </w:rPr>
              <w:t>无裂隙。基础必须防</w:t>
            </w:r>
            <w:r>
              <w:t xml:space="preserve">  </w:t>
            </w:r>
            <w:r>
              <w:rPr>
                <w:spacing w:val="-3"/>
              </w:rPr>
              <w:t>渗，防渗层至少为</w:t>
            </w:r>
            <w:r>
              <w:rPr>
                <w:spacing w:val="-54"/>
              </w:rPr>
              <w:t xml:space="preserve"> </w:t>
            </w:r>
            <w:r>
              <w:rPr>
                <w:rFonts w:ascii="Times New Roman" w:hAnsi="Times New Roman" w:eastAsia="Times New Roman" w:cs="Times New Roman"/>
                <w:spacing w:val="-3"/>
              </w:rPr>
              <w:t xml:space="preserve">2 </w:t>
            </w:r>
            <w:r>
              <w:rPr>
                <w:spacing w:val="-3"/>
              </w:rPr>
              <w:t xml:space="preserve">毫米厚高密度聚乙烯，或至少 </w:t>
            </w:r>
            <w:r>
              <w:rPr>
                <w:rFonts w:ascii="Times New Roman" w:hAnsi="Times New Roman" w:eastAsia="Times New Roman" w:cs="Times New Roman"/>
                <w:spacing w:val="-3"/>
              </w:rPr>
              <w:t>2mm</w:t>
            </w:r>
            <w:r>
              <w:rPr>
                <w:rFonts w:ascii="Times New Roman" w:hAnsi="Times New Roman" w:eastAsia="Times New Roman" w:cs="Times New Roman"/>
                <w:spacing w:val="16"/>
              </w:rPr>
              <w:t xml:space="preserve"> </w:t>
            </w:r>
            <w:r>
              <w:rPr>
                <w:spacing w:val="-3"/>
              </w:rPr>
              <w:t>厚的其它人工材料，</w:t>
            </w:r>
            <w:r>
              <w:t xml:space="preserve"> </w:t>
            </w:r>
            <w:r>
              <w:rPr>
                <w:spacing w:val="-1"/>
              </w:rPr>
              <w:t>渗透系数≤</w:t>
            </w:r>
            <w:r>
              <w:rPr>
                <w:rFonts w:ascii="Times New Roman" w:hAnsi="Times New Roman" w:eastAsia="Times New Roman" w:cs="Times New Roman"/>
                <w:spacing w:val="-1"/>
              </w:rPr>
              <w:t>10</w:t>
            </w:r>
            <w:r>
              <w:rPr>
                <w:rFonts w:ascii="Times New Roman" w:hAnsi="Times New Roman" w:eastAsia="Times New Roman" w:cs="Times New Roman"/>
                <w:spacing w:val="-1"/>
                <w:position w:val="7"/>
                <w:sz w:val="15"/>
                <w:szCs w:val="15"/>
              </w:rPr>
              <w:t>-10</w:t>
            </w:r>
            <w:r>
              <w:rPr>
                <w:rFonts w:ascii="Times New Roman" w:hAnsi="Times New Roman" w:eastAsia="Times New Roman" w:cs="Times New Roman"/>
                <w:spacing w:val="-1"/>
              </w:rPr>
              <w:t>cm/s</w:t>
            </w:r>
            <w:r>
              <w:rPr>
                <w:spacing w:val="-1"/>
              </w:rPr>
              <w:t>；</w:t>
            </w:r>
          </w:p>
          <w:p w14:paraId="5C968811">
            <w:pPr>
              <w:pStyle w:val="6"/>
              <w:spacing w:before="182" w:line="290" w:lineRule="auto"/>
              <w:ind w:left="223" w:right="274" w:firstLine="479"/>
            </w:pPr>
            <w:r>
              <w:t>⑤贮存场所及设施应设计堵截泄漏的裙脚，地面与</w:t>
            </w:r>
            <w:r>
              <w:rPr>
                <w:spacing w:val="-1"/>
              </w:rPr>
              <w:t>裙脚所围建的容积不</w:t>
            </w:r>
            <w:r>
              <w:t xml:space="preserve"> </w:t>
            </w:r>
            <w:r>
              <w:rPr>
                <w:spacing w:val="-1"/>
              </w:rPr>
              <w:t>低于堵截最大容器的最大储量或总储量的五分之一；</w:t>
            </w:r>
          </w:p>
          <w:p w14:paraId="7F819AB8">
            <w:pPr>
              <w:pStyle w:val="6"/>
              <w:spacing w:before="182" w:line="291" w:lineRule="auto"/>
              <w:ind w:left="222" w:right="274" w:firstLine="479"/>
            </w:pPr>
            <w:r>
              <w:t>⑥贮存场所及设施必须有泄漏液体收集装置，气体</w:t>
            </w:r>
            <w:r>
              <w:rPr>
                <w:spacing w:val="-1"/>
              </w:rPr>
              <w:t>导出口及气体净化装</w:t>
            </w:r>
            <w:r>
              <w:t xml:space="preserve"> </w:t>
            </w:r>
            <w:r>
              <w:rPr>
                <w:spacing w:val="-4"/>
              </w:rPr>
              <w:t>置；</w:t>
            </w:r>
          </w:p>
          <w:p w14:paraId="074FEA29">
            <w:pPr>
              <w:pStyle w:val="6"/>
              <w:spacing w:before="181" w:line="217" w:lineRule="auto"/>
              <w:ind w:left="702"/>
            </w:pPr>
            <w:r>
              <w:rPr>
                <w:spacing w:val="-1"/>
              </w:rPr>
              <w:t>⑦贮存场所及设施内要有安全照明设施和观察窗口；</w:t>
            </w:r>
          </w:p>
          <w:p w14:paraId="3BE8F8CE">
            <w:pPr>
              <w:pStyle w:val="6"/>
              <w:spacing w:before="187" w:line="313" w:lineRule="auto"/>
              <w:ind w:left="224" w:right="217" w:firstLine="478"/>
            </w:pPr>
            <w:r>
              <w:rPr>
                <w:spacing w:val="-3"/>
              </w:rPr>
              <w:t xml:space="preserve">⑧设置截流事故池（容积应不小于 </w:t>
            </w:r>
            <w:r>
              <w:rPr>
                <w:rFonts w:ascii="Times New Roman" w:hAnsi="Times New Roman" w:eastAsia="Times New Roman" w:cs="Times New Roman"/>
                <w:spacing w:val="-3"/>
              </w:rPr>
              <w:t>2m</w:t>
            </w:r>
            <w:r>
              <w:rPr>
                <w:spacing w:val="-3"/>
              </w:rPr>
              <w:t>³</w:t>
            </w:r>
            <w:r>
              <w:rPr>
                <w:spacing w:val="-79"/>
              </w:rPr>
              <w:t xml:space="preserve"> </w:t>
            </w:r>
            <w:r>
              <w:rPr>
                <w:spacing w:val="-3"/>
              </w:rPr>
              <w:t>)</w:t>
            </w:r>
            <w:r>
              <w:rPr>
                <w:spacing w:val="40"/>
              </w:rPr>
              <w:t xml:space="preserve"> </w:t>
            </w:r>
            <w:r>
              <w:rPr>
                <w:spacing w:val="-3"/>
              </w:rPr>
              <w:t>、张贴危险废物标识标牌，建</w:t>
            </w:r>
            <w:r>
              <w:t xml:space="preserve"> 立危险废物管理台账；及时联系有资质单位转移和</w:t>
            </w:r>
            <w:r>
              <w:rPr>
                <w:spacing w:val="-1"/>
              </w:rPr>
              <w:t>处置危险废物，并严格执</w:t>
            </w:r>
            <w:r>
              <w:t xml:space="preserve"> </w:t>
            </w:r>
            <w:r>
              <w:rPr>
                <w:spacing w:val="-1"/>
              </w:rPr>
              <w:t>行《危险废物转移联单制度》。</w:t>
            </w:r>
          </w:p>
          <w:p w14:paraId="52A290A3">
            <w:pPr>
              <w:pStyle w:val="6"/>
              <w:spacing w:before="183" w:line="324" w:lineRule="auto"/>
              <w:ind w:left="227" w:right="248" w:firstLine="478"/>
            </w:pPr>
            <w:r>
              <w:rPr>
                <w:spacing w:val="-1"/>
              </w:rPr>
              <w:t>本项目在个贮存库四周设置</w:t>
            </w:r>
            <w:r>
              <w:rPr>
                <w:spacing w:val="-38"/>
              </w:rPr>
              <w:t xml:space="preserve"> </w:t>
            </w:r>
            <w:r>
              <w:rPr>
                <w:rFonts w:ascii="Times New Roman" w:hAnsi="Times New Roman" w:eastAsia="Times New Roman" w:cs="Times New Roman"/>
                <w:spacing w:val="-1"/>
              </w:rPr>
              <w:t xml:space="preserve">0.4m×0.5m </w:t>
            </w:r>
            <w:r>
              <w:rPr>
                <w:spacing w:val="-1"/>
              </w:rPr>
              <w:t>导流槽，于拆解车间外侧西南角</w:t>
            </w:r>
            <w:r>
              <w:t xml:space="preserve"> </w:t>
            </w:r>
            <w:r>
              <w:rPr>
                <w:spacing w:val="-3"/>
              </w:rPr>
              <w:t>建设</w:t>
            </w:r>
            <w:r>
              <w:rPr>
                <w:spacing w:val="-28"/>
              </w:rPr>
              <w:t xml:space="preserve"> </w:t>
            </w:r>
            <w:r>
              <w:rPr>
                <w:rFonts w:ascii="Times New Roman" w:hAnsi="Times New Roman" w:eastAsia="Times New Roman" w:cs="Times New Roman"/>
                <w:spacing w:val="-3"/>
              </w:rPr>
              <w:t>10m</w:t>
            </w:r>
            <w:r>
              <w:rPr>
                <w:rFonts w:ascii="Times New Roman" w:hAnsi="Times New Roman" w:eastAsia="Times New Roman" w:cs="Times New Roman"/>
                <w:spacing w:val="-3"/>
                <w:position w:val="7"/>
                <w:sz w:val="15"/>
                <w:szCs w:val="15"/>
              </w:rPr>
              <w:t>3</w:t>
            </w:r>
            <w:r>
              <w:rPr>
                <w:rFonts w:ascii="Times New Roman" w:hAnsi="Times New Roman" w:eastAsia="Times New Roman" w:cs="Times New Roman"/>
                <w:spacing w:val="9"/>
                <w:w w:val="101"/>
                <w:position w:val="7"/>
                <w:sz w:val="15"/>
                <w:szCs w:val="15"/>
              </w:rPr>
              <w:t xml:space="preserve"> </w:t>
            </w:r>
            <w:r>
              <w:rPr>
                <w:spacing w:val="-3"/>
              </w:rPr>
              <w:t>事故收集池，可满足要求。</w:t>
            </w:r>
          </w:p>
        </w:tc>
      </w:tr>
    </w:tbl>
    <w:p w14:paraId="4DB7F9DA">
      <w:pPr>
        <w:pStyle w:val="2"/>
        <w:spacing w:line="203" w:lineRule="exact"/>
        <w:rPr>
          <w:sz w:val="17"/>
        </w:rPr>
      </w:pPr>
    </w:p>
    <w:p w14:paraId="37E858CE">
      <w:pPr>
        <w:spacing w:line="203" w:lineRule="exact"/>
        <w:rPr>
          <w:sz w:val="17"/>
          <w:szCs w:val="17"/>
        </w:rPr>
        <w:sectPr>
          <w:footerReference r:id="rId83"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4DB57D5D">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942" w:hRule="atLeast"/>
        </w:trPr>
        <w:tc>
          <w:tcPr>
            <w:tcW w:w="477" w:type="dxa"/>
            <w:tcBorders>
              <w:right w:val="single" w:color="000000" w:sz="2" w:space="0"/>
            </w:tcBorders>
            <w:vAlign w:val="top"/>
          </w:tcPr>
          <w:p w14:paraId="47755962">
            <w:pPr>
              <w:rPr>
                <w:rFonts w:ascii="Arial"/>
                <w:sz w:val="21"/>
              </w:rPr>
            </w:pPr>
          </w:p>
        </w:tc>
        <w:tc>
          <w:tcPr>
            <w:tcW w:w="8425" w:type="dxa"/>
            <w:tcBorders>
              <w:left w:val="single" w:color="000000" w:sz="2" w:space="0"/>
            </w:tcBorders>
            <w:vAlign w:val="top"/>
          </w:tcPr>
          <w:p w14:paraId="60E5E072">
            <w:pPr>
              <w:pStyle w:val="6"/>
              <w:spacing w:before="101" w:line="219" w:lineRule="auto"/>
              <w:ind w:left="716"/>
            </w:pPr>
            <w:r>
              <w:rPr>
                <w:spacing w:val="-2"/>
              </w:rPr>
              <w:t>（</w:t>
            </w:r>
            <w:r>
              <w:rPr>
                <w:rFonts w:ascii="Times New Roman" w:hAnsi="Times New Roman" w:eastAsia="Times New Roman" w:cs="Times New Roman"/>
                <w:spacing w:val="-2"/>
              </w:rPr>
              <w:t>8</w:t>
            </w:r>
            <w:r>
              <w:rPr>
                <w:spacing w:val="-2"/>
              </w:rPr>
              <w:t>）贮存设施安全防护要求</w:t>
            </w:r>
          </w:p>
          <w:p w14:paraId="456C87E2">
            <w:pPr>
              <w:pStyle w:val="6"/>
              <w:spacing w:before="182" w:line="290" w:lineRule="auto"/>
              <w:ind w:left="223" w:right="295" w:firstLine="480"/>
            </w:pPr>
            <w:r>
              <w:rPr>
                <w:spacing w:val="-1"/>
              </w:rPr>
              <w:t>①贮存场设施都必须按照《环境保护图形标志—固体废物贮存（处置）</w:t>
            </w:r>
            <w:r>
              <w:t xml:space="preserve"> </w:t>
            </w:r>
            <w:r>
              <w:rPr>
                <w:spacing w:val="-1"/>
              </w:rPr>
              <w:t>场》（</w:t>
            </w:r>
            <w:r>
              <w:rPr>
                <w:rFonts w:ascii="Times New Roman" w:hAnsi="Times New Roman" w:eastAsia="Times New Roman" w:cs="Times New Roman"/>
                <w:spacing w:val="-1"/>
              </w:rPr>
              <w:t>GB15562.2-1995</w:t>
            </w:r>
            <w:r>
              <w:rPr>
                <w:spacing w:val="-1"/>
              </w:rPr>
              <w:t>）的规定设置警示标志</w:t>
            </w:r>
          </w:p>
          <w:p w14:paraId="7409C32E">
            <w:pPr>
              <w:pStyle w:val="6"/>
              <w:spacing w:before="182" w:line="217" w:lineRule="auto"/>
              <w:ind w:left="702"/>
            </w:pPr>
            <w:r>
              <w:rPr>
                <w:spacing w:val="-1"/>
              </w:rPr>
              <w:t>②贮存场所必须设置避雷设备；</w:t>
            </w:r>
          </w:p>
          <w:p w14:paraId="398E1C51">
            <w:pPr>
              <w:pStyle w:val="6"/>
              <w:spacing w:before="185" w:line="217" w:lineRule="auto"/>
              <w:ind w:left="702"/>
            </w:pPr>
            <w:r>
              <w:rPr>
                <w:spacing w:val="-1"/>
              </w:rPr>
              <w:t>③贮存场所及设施周围应设置围墙或其它防护栅栏；</w:t>
            </w:r>
          </w:p>
          <w:p w14:paraId="01742A55">
            <w:pPr>
              <w:pStyle w:val="6"/>
              <w:spacing w:before="184" w:line="290" w:lineRule="auto"/>
              <w:ind w:left="230" w:right="333" w:firstLine="472"/>
            </w:pPr>
            <w:r>
              <w:rPr>
                <w:spacing w:val="-2"/>
              </w:rPr>
              <w:t>④贮存场所及设施应配备通讯设备、照明设施、安全防护服</w:t>
            </w:r>
            <w:r>
              <w:rPr>
                <w:spacing w:val="-3"/>
              </w:rPr>
              <w:t>装及工具，</w:t>
            </w:r>
            <w:r>
              <w:t xml:space="preserve"> </w:t>
            </w:r>
            <w:r>
              <w:rPr>
                <w:spacing w:val="-2"/>
              </w:rPr>
              <w:t>并设有应急防护设施；</w:t>
            </w:r>
          </w:p>
          <w:p w14:paraId="61E97668">
            <w:pPr>
              <w:pStyle w:val="6"/>
              <w:spacing w:before="183" w:line="217" w:lineRule="auto"/>
              <w:ind w:left="702"/>
            </w:pPr>
            <w:r>
              <w:t>⑤贮存场所及设施内清理出来的泄漏物，一</w:t>
            </w:r>
            <w:r>
              <w:rPr>
                <w:spacing w:val="-1"/>
              </w:rPr>
              <w:t>律按危险废物处置。</w:t>
            </w:r>
          </w:p>
          <w:p w14:paraId="4F6CC532">
            <w:pPr>
              <w:pStyle w:val="6"/>
              <w:spacing w:before="184" w:line="355" w:lineRule="auto"/>
              <w:ind w:left="223" w:right="130" w:firstLine="481"/>
              <w:jc w:val="both"/>
            </w:pPr>
            <w:r>
              <w:t>本项目危险废物主要为拆解过程中产生的各</w:t>
            </w:r>
            <w:r>
              <w:rPr>
                <w:spacing w:val="-1"/>
              </w:rPr>
              <w:t>种废物，按照《报废农业机</w:t>
            </w:r>
            <w:r>
              <w:t xml:space="preserve">  </w:t>
            </w:r>
            <w:r>
              <w:rPr>
                <w:spacing w:val="-1"/>
              </w:rPr>
              <w:t>械回收拆解技术规范》（</w:t>
            </w:r>
            <w:r>
              <w:rPr>
                <w:rFonts w:ascii="Times New Roman" w:hAnsi="Times New Roman" w:eastAsia="Times New Roman" w:cs="Times New Roman"/>
                <w:spacing w:val="-1"/>
              </w:rPr>
              <w:t>NY/T2900-2022</w:t>
            </w:r>
            <w:r>
              <w:rPr>
                <w:spacing w:val="-1"/>
              </w:rPr>
              <w:t>）及《危险废物贮存污染控制标准》</w:t>
            </w:r>
            <w:r>
              <w:rPr>
                <w:spacing w:val="14"/>
              </w:rPr>
              <w:t xml:space="preserve"> </w:t>
            </w:r>
            <w:r>
              <w:t>（</w:t>
            </w:r>
            <w:r>
              <w:rPr>
                <w:rFonts w:ascii="Times New Roman" w:hAnsi="Times New Roman" w:eastAsia="Times New Roman" w:cs="Times New Roman"/>
              </w:rPr>
              <w:t>GB18597-2023</w:t>
            </w:r>
            <w:r>
              <w:t>）的要求对项目产生危险废物的暂存场所采取防火、防渗、</w:t>
            </w:r>
            <w:r>
              <w:rPr>
                <w:spacing w:val="16"/>
              </w:rPr>
              <w:t xml:space="preserve"> </w:t>
            </w:r>
            <w:r>
              <w:rPr>
                <w:spacing w:val="-1"/>
              </w:rPr>
              <w:t>硬化地面等措施，并按规定对危险废物贮存库分隔成</w:t>
            </w:r>
            <w:r>
              <w:rPr>
                <w:spacing w:val="-36"/>
              </w:rPr>
              <w:t xml:space="preserve"> </w:t>
            </w:r>
            <w:r>
              <w:rPr>
                <w:rFonts w:ascii="Times New Roman" w:hAnsi="Times New Roman" w:eastAsia="Times New Roman" w:cs="Times New Roman"/>
                <w:spacing w:val="-1"/>
              </w:rPr>
              <w:t xml:space="preserve">3 </w:t>
            </w:r>
            <w:r>
              <w:rPr>
                <w:spacing w:val="-1"/>
              </w:rPr>
              <w:t>个危废贮存区分类存</w:t>
            </w:r>
            <w:r>
              <w:t xml:space="preserve">  </w:t>
            </w:r>
            <w:r>
              <w:rPr>
                <w:spacing w:val="-3"/>
              </w:rPr>
              <w:t>储危险废物。存储期不得超过</w:t>
            </w:r>
            <w:r>
              <w:rPr>
                <w:spacing w:val="-16"/>
              </w:rPr>
              <w:t xml:space="preserve"> </w:t>
            </w:r>
            <w:r>
              <w:rPr>
                <w:rFonts w:ascii="Times New Roman" w:hAnsi="Times New Roman" w:eastAsia="Times New Roman" w:cs="Times New Roman"/>
                <w:spacing w:val="-3"/>
              </w:rPr>
              <w:t xml:space="preserve">1 </w:t>
            </w:r>
            <w:r>
              <w:rPr>
                <w:spacing w:val="-3"/>
              </w:rPr>
              <w:t>个月。</w:t>
            </w:r>
          </w:p>
          <w:p w14:paraId="2709AD0A">
            <w:pPr>
              <w:pStyle w:val="6"/>
              <w:spacing w:before="45" w:line="219" w:lineRule="auto"/>
              <w:ind w:left="596"/>
              <w:outlineLvl w:val="2"/>
            </w:pPr>
            <w:r>
              <w:rPr>
                <w:spacing w:val="-2"/>
              </w:rPr>
              <w:t>（</w:t>
            </w:r>
            <w:r>
              <w:rPr>
                <w:rFonts w:ascii="Times New Roman" w:hAnsi="Times New Roman" w:eastAsia="Times New Roman" w:cs="Times New Roman"/>
                <w:spacing w:val="-2"/>
              </w:rPr>
              <w:t>9</w:t>
            </w:r>
            <w:r>
              <w:rPr>
                <w:spacing w:val="-2"/>
              </w:rPr>
              <w:t>）贮存库环境管理规定</w:t>
            </w:r>
          </w:p>
          <w:p w14:paraId="7B0CDDC5">
            <w:pPr>
              <w:pStyle w:val="6"/>
              <w:spacing w:before="204" w:line="212" w:lineRule="auto"/>
              <w:ind w:left="584"/>
              <w:outlineLvl w:val="2"/>
            </w:pPr>
            <w:r>
              <w:t>根据《危险废物贮存污染控制标准》</w:t>
            </w:r>
            <w:r>
              <w:rPr>
                <w:rFonts w:ascii="Times New Roman" w:hAnsi="Times New Roman" w:eastAsia="Times New Roman" w:cs="Times New Roman"/>
              </w:rPr>
              <w:t>(GB18597-</w:t>
            </w:r>
            <w:r>
              <w:rPr>
                <w:rFonts w:ascii="Times New Roman" w:hAnsi="Times New Roman" w:eastAsia="Times New Roman" w:cs="Times New Roman"/>
                <w:spacing w:val="-1"/>
              </w:rPr>
              <w:t xml:space="preserve">2023)8.3  </w:t>
            </w:r>
            <w:r>
              <w:rPr>
                <w:spacing w:val="-1"/>
              </w:rPr>
              <w:t>要求：</w:t>
            </w:r>
          </w:p>
          <w:p w14:paraId="1FC3651B">
            <w:pPr>
              <w:pStyle w:val="6"/>
              <w:spacing w:before="217" w:line="217" w:lineRule="auto"/>
              <w:ind w:left="583"/>
              <w:outlineLvl w:val="2"/>
            </w:pPr>
            <w:r>
              <w:t>①贮存库应具有固定的区域边界，并应采取与其他</w:t>
            </w:r>
            <w:r>
              <w:rPr>
                <w:spacing w:val="-1"/>
              </w:rPr>
              <w:t>区域进行隔离的措施。</w:t>
            </w:r>
          </w:p>
          <w:p w14:paraId="7F739EF6">
            <w:pPr>
              <w:pStyle w:val="6"/>
              <w:spacing w:before="207" w:line="217" w:lineRule="auto"/>
              <w:ind w:left="582"/>
              <w:outlineLvl w:val="2"/>
            </w:pPr>
            <w:r>
              <w:t>②贮存库应采取防风、防雨、防晒和防止危险废物</w:t>
            </w:r>
            <w:r>
              <w:rPr>
                <w:spacing w:val="-1"/>
              </w:rPr>
              <w:t>流失、扬散等措施。</w:t>
            </w:r>
          </w:p>
          <w:p w14:paraId="2781A328">
            <w:pPr>
              <w:pStyle w:val="6"/>
              <w:spacing w:before="208" w:line="217" w:lineRule="auto"/>
              <w:ind w:left="582"/>
              <w:outlineLvl w:val="2"/>
            </w:pPr>
            <w:r>
              <w:t>③贮存库贮存的危险废物应置于容器或包装物</w:t>
            </w:r>
            <w:r>
              <w:rPr>
                <w:spacing w:val="-1"/>
              </w:rPr>
              <w:t>中，不应直接散堆。</w:t>
            </w:r>
          </w:p>
          <w:p w14:paraId="52092971">
            <w:pPr>
              <w:pStyle w:val="6"/>
              <w:spacing w:before="207" w:line="217" w:lineRule="auto"/>
              <w:jc w:val="right"/>
              <w:outlineLvl w:val="2"/>
            </w:pPr>
            <w:r>
              <w:rPr>
                <w:spacing w:val="-3"/>
              </w:rPr>
              <w:t>④贮存库应根据危险废物的形态、物理化学性质</w:t>
            </w:r>
            <w:r>
              <w:rPr>
                <w:spacing w:val="-4"/>
              </w:rPr>
              <w:t>、包装形式等，采取防渗、</w:t>
            </w:r>
          </w:p>
          <w:p w14:paraId="25A20C38">
            <w:pPr>
              <w:pStyle w:val="6"/>
              <w:spacing w:before="207" w:line="219" w:lineRule="auto"/>
              <w:ind w:left="119"/>
            </w:pPr>
            <w:r>
              <w:rPr>
                <w:spacing w:val="-1"/>
              </w:rPr>
              <w:t>防漏等污染防治措施。或采用具有相应功能的</w:t>
            </w:r>
            <w:r>
              <w:rPr>
                <w:spacing w:val="-2"/>
              </w:rPr>
              <w:t>装置。</w:t>
            </w:r>
          </w:p>
          <w:p w14:paraId="520FFFA3">
            <w:pPr>
              <w:pStyle w:val="6"/>
              <w:spacing w:before="206" w:line="217" w:lineRule="auto"/>
              <w:ind w:left="582"/>
              <w:outlineLvl w:val="2"/>
            </w:pPr>
            <w:r>
              <w:t>⑤贮存库应及时清运贮存的危险废物，实时贮存量不</w:t>
            </w:r>
            <w:r>
              <w:rPr>
                <w:spacing w:val="-1"/>
              </w:rPr>
              <w:t xml:space="preserve">应超过 </w:t>
            </w:r>
            <w:r>
              <w:rPr>
                <w:rFonts w:ascii="Times New Roman" w:hAnsi="Times New Roman" w:eastAsia="Times New Roman" w:cs="Times New Roman"/>
                <w:spacing w:val="-1"/>
              </w:rPr>
              <w:t xml:space="preserve">3  </w:t>
            </w:r>
            <w:r>
              <w:rPr>
                <w:spacing w:val="-1"/>
              </w:rPr>
              <w:t>吨。</w:t>
            </w:r>
          </w:p>
          <w:p w14:paraId="61443536">
            <w:pPr>
              <w:pStyle w:val="6"/>
              <w:spacing w:before="209" w:line="219" w:lineRule="auto"/>
              <w:ind w:left="585"/>
              <w:outlineLvl w:val="2"/>
            </w:pPr>
            <w:r>
              <w:rPr>
                <w:spacing w:val="2"/>
              </w:rPr>
              <w:t>本项目产生的危险废物应存放于阴凉、通风、干燥的危</w:t>
            </w:r>
            <w:r>
              <w:rPr>
                <w:spacing w:val="1"/>
              </w:rPr>
              <w:t>险废物贮存库，储</w:t>
            </w:r>
          </w:p>
          <w:p w14:paraId="145DBEC1">
            <w:pPr>
              <w:pStyle w:val="6"/>
              <w:spacing w:before="206" w:line="364" w:lineRule="auto"/>
              <w:ind w:left="104" w:right="94" w:hanging="1"/>
            </w:pPr>
            <w:r>
              <w:rPr>
                <w:spacing w:val="1"/>
              </w:rPr>
              <w:t>存于专用收集容器，不同类型的危废分区存放管理，防止阳光直射，保持容器</w:t>
            </w:r>
            <w:r>
              <w:rPr>
                <w:spacing w:val="16"/>
              </w:rPr>
              <w:t xml:space="preserve"> </w:t>
            </w:r>
            <w:r>
              <w:rPr>
                <w:spacing w:val="-4"/>
              </w:rPr>
              <w:t>密封。</w:t>
            </w:r>
          </w:p>
          <w:p w14:paraId="0549860A">
            <w:pPr>
              <w:pStyle w:val="6"/>
              <w:spacing w:before="32" w:line="219" w:lineRule="auto"/>
              <w:ind w:left="596"/>
              <w:outlineLvl w:val="2"/>
            </w:pPr>
            <w:r>
              <w:rPr>
                <w:spacing w:val="-3"/>
              </w:rPr>
              <w:t>（</w:t>
            </w:r>
            <w:r>
              <w:rPr>
                <w:rFonts w:ascii="Times New Roman" w:hAnsi="Times New Roman" w:eastAsia="Times New Roman" w:cs="Times New Roman"/>
                <w:spacing w:val="-3"/>
              </w:rPr>
              <w:t>10</w:t>
            </w:r>
            <w:r>
              <w:rPr>
                <w:spacing w:val="-3"/>
              </w:rPr>
              <w:t>）环境管理要求</w:t>
            </w:r>
          </w:p>
          <w:p w14:paraId="4D7389DA">
            <w:pPr>
              <w:pStyle w:val="6"/>
              <w:spacing w:before="208" w:line="217" w:lineRule="auto"/>
              <w:ind w:left="583"/>
              <w:outlineLvl w:val="2"/>
            </w:pPr>
            <w:r>
              <w:rPr>
                <w:spacing w:val="1"/>
              </w:rPr>
              <w:t>①危险废物存入贮存设施前应对危险废物类别和特性与危险废物标签等危</w:t>
            </w:r>
          </w:p>
          <w:p w14:paraId="15E858C7">
            <w:pPr>
              <w:pStyle w:val="6"/>
              <w:spacing w:before="207" w:line="219" w:lineRule="auto"/>
              <w:ind w:left="117"/>
            </w:pPr>
            <w:r>
              <w:rPr>
                <w:spacing w:val="-1"/>
              </w:rPr>
              <w:t>险废物识别标志的一致性进行核验，不一致的或类别、特性不明的不应存入。</w:t>
            </w:r>
          </w:p>
          <w:p w14:paraId="133EEF7A">
            <w:pPr>
              <w:pStyle w:val="6"/>
              <w:spacing w:before="205" w:line="217" w:lineRule="auto"/>
              <w:ind w:left="582"/>
              <w:outlineLvl w:val="2"/>
            </w:pPr>
            <w:r>
              <w:rPr>
                <w:spacing w:val="1"/>
              </w:rPr>
              <w:t>②应定期检查危险废物的贮存状况，及时清理贮存设施地面，更换破损泄</w:t>
            </w:r>
          </w:p>
          <w:p w14:paraId="587B6386">
            <w:pPr>
              <w:pStyle w:val="6"/>
              <w:spacing w:before="208" w:line="219" w:lineRule="auto"/>
              <w:ind w:left="104"/>
            </w:pPr>
            <w:r>
              <w:rPr>
                <w:spacing w:val="1"/>
              </w:rPr>
              <w:t>漏的危险废物贮存容器和包装物，保证堆存危险废物的防雨、防风、防扬尘等</w:t>
            </w:r>
          </w:p>
        </w:tc>
      </w:tr>
    </w:tbl>
    <w:p w14:paraId="1DA193C2">
      <w:pPr>
        <w:pStyle w:val="2"/>
      </w:pPr>
    </w:p>
    <w:p w14:paraId="37705FBC">
      <w:pPr>
        <w:sectPr>
          <w:footerReference r:id="rId84"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08BB22AA">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53" w:hRule="atLeast"/>
        </w:trPr>
        <w:tc>
          <w:tcPr>
            <w:tcW w:w="477" w:type="dxa"/>
            <w:tcBorders>
              <w:right w:val="single" w:color="000000" w:sz="2" w:space="0"/>
            </w:tcBorders>
            <w:vAlign w:val="top"/>
          </w:tcPr>
          <w:p w14:paraId="7E2E8602">
            <w:pPr>
              <w:rPr>
                <w:rFonts w:ascii="Arial"/>
                <w:sz w:val="21"/>
              </w:rPr>
            </w:pPr>
          </w:p>
        </w:tc>
        <w:tc>
          <w:tcPr>
            <w:tcW w:w="8425" w:type="dxa"/>
            <w:tcBorders>
              <w:left w:val="single" w:color="000000" w:sz="2" w:space="0"/>
            </w:tcBorders>
            <w:vAlign w:val="top"/>
          </w:tcPr>
          <w:p w14:paraId="5CE00EB9">
            <w:pPr>
              <w:pStyle w:val="6"/>
              <w:spacing w:before="110" w:line="219" w:lineRule="auto"/>
              <w:ind w:left="108"/>
            </w:pPr>
            <w:r>
              <w:rPr>
                <w:spacing w:val="-2"/>
              </w:rPr>
              <w:t>设施功能完好。</w:t>
            </w:r>
          </w:p>
          <w:p w14:paraId="68A51355">
            <w:pPr>
              <w:pStyle w:val="6"/>
              <w:spacing w:before="204" w:line="217" w:lineRule="auto"/>
              <w:ind w:left="582"/>
              <w:outlineLvl w:val="2"/>
            </w:pPr>
            <w:r>
              <w:rPr>
                <w:spacing w:val="1"/>
              </w:rPr>
              <w:t>③贮存设施运行期间，应按国家有关标准和规定建立危险废物管理台账并</w:t>
            </w:r>
          </w:p>
          <w:p w14:paraId="7DBDA8D1">
            <w:pPr>
              <w:pStyle w:val="6"/>
              <w:spacing w:before="210" w:line="219" w:lineRule="auto"/>
              <w:ind w:left="105"/>
            </w:pPr>
            <w:r>
              <w:rPr>
                <w:spacing w:val="-4"/>
              </w:rPr>
              <w:t>保存。</w:t>
            </w:r>
          </w:p>
          <w:p w14:paraId="44CE925F">
            <w:pPr>
              <w:pStyle w:val="6"/>
              <w:spacing w:before="204" w:line="217" w:lineRule="auto"/>
              <w:ind w:left="582"/>
              <w:outlineLvl w:val="2"/>
            </w:pPr>
            <w:r>
              <w:rPr>
                <w:spacing w:val="1"/>
              </w:rPr>
              <w:t>④贮存设施所有者或运营者应建立贮存设施环境管理制度、管理人员岗位</w:t>
            </w:r>
          </w:p>
          <w:p w14:paraId="2C0A4A14">
            <w:pPr>
              <w:pStyle w:val="6"/>
              <w:spacing w:before="207" w:line="219" w:lineRule="auto"/>
              <w:ind w:left="105"/>
            </w:pPr>
            <w:r>
              <w:rPr>
                <w:spacing w:val="-1"/>
              </w:rPr>
              <w:t>职责制度、设施运行操作制度、人员岗位培训制度等。</w:t>
            </w:r>
          </w:p>
          <w:p w14:paraId="7B27D2C8">
            <w:pPr>
              <w:pStyle w:val="6"/>
              <w:spacing w:before="205" w:line="217" w:lineRule="auto"/>
              <w:ind w:left="582"/>
              <w:outlineLvl w:val="2"/>
            </w:pPr>
            <w:r>
              <w:rPr>
                <w:spacing w:val="1"/>
              </w:rPr>
              <w:t>⑤贮存设施所有者或运营者应建立贮存设施全部档案，包括设计、施工、</w:t>
            </w:r>
          </w:p>
          <w:p w14:paraId="62D9BB21">
            <w:pPr>
              <w:pStyle w:val="6"/>
              <w:spacing w:before="208" w:line="363" w:lineRule="auto"/>
              <w:ind w:left="104" w:right="94" w:hanging="1"/>
            </w:pPr>
            <w:r>
              <w:rPr>
                <w:spacing w:val="1"/>
              </w:rPr>
              <w:t>验收、运行、监测和环境应急等，应按国家有关档案管理的法律法规进行整理</w:t>
            </w:r>
            <w:r>
              <w:rPr>
                <w:spacing w:val="16"/>
              </w:rPr>
              <w:t xml:space="preserve"> </w:t>
            </w:r>
            <w:r>
              <w:rPr>
                <w:spacing w:val="-3"/>
              </w:rPr>
              <w:t>和归档。</w:t>
            </w:r>
          </w:p>
          <w:p w14:paraId="341EFA9B">
            <w:pPr>
              <w:pStyle w:val="6"/>
              <w:spacing w:before="38" w:line="219" w:lineRule="auto"/>
              <w:ind w:left="596"/>
              <w:outlineLvl w:val="2"/>
            </w:pPr>
            <w:r>
              <w:rPr>
                <w:spacing w:val="-4"/>
              </w:rPr>
              <w:t>（</w:t>
            </w:r>
            <w:r>
              <w:rPr>
                <w:rFonts w:ascii="Times New Roman" w:hAnsi="Times New Roman" w:eastAsia="Times New Roman" w:cs="Times New Roman"/>
                <w:spacing w:val="-4"/>
              </w:rPr>
              <w:t>11</w:t>
            </w:r>
            <w:r>
              <w:rPr>
                <w:spacing w:val="-4"/>
              </w:rPr>
              <w:t>）运输注意事项</w:t>
            </w:r>
          </w:p>
          <w:p w14:paraId="550AA381">
            <w:pPr>
              <w:pStyle w:val="6"/>
              <w:spacing w:before="204" w:line="219" w:lineRule="auto"/>
              <w:ind w:left="587"/>
              <w:outlineLvl w:val="2"/>
            </w:pPr>
            <w:r>
              <w:rPr>
                <w:spacing w:val="1"/>
              </w:rPr>
              <w:t>危险废物产生单位在转移危险废物前，须按照国家有关规定报批危险废物</w:t>
            </w:r>
          </w:p>
          <w:p w14:paraId="62E972EC">
            <w:pPr>
              <w:pStyle w:val="6"/>
              <w:spacing w:before="206" w:line="363" w:lineRule="auto"/>
              <w:ind w:left="105" w:right="94"/>
            </w:pPr>
            <w:r>
              <w:rPr>
                <w:spacing w:val="1"/>
              </w:rPr>
              <w:t>转移计划，经批准后，产生单位应当向移出地环境保护行政主管部门申请领取</w:t>
            </w:r>
            <w:r>
              <w:rPr>
                <w:spacing w:val="14"/>
              </w:rPr>
              <w:t xml:space="preserve"> </w:t>
            </w:r>
            <w:r>
              <w:rPr>
                <w:spacing w:val="-1"/>
              </w:rPr>
              <w:t>联单。危废的外运应委托有危险化学品运输资质的单位负责运输。</w:t>
            </w:r>
          </w:p>
          <w:p w14:paraId="5D640664">
            <w:pPr>
              <w:pStyle w:val="6"/>
              <w:spacing w:before="25" w:line="219" w:lineRule="auto"/>
              <w:ind w:left="716"/>
            </w:pPr>
            <w:r>
              <w:rPr>
                <w:spacing w:val="-3"/>
              </w:rPr>
              <w:t>（</w:t>
            </w:r>
            <w:r>
              <w:rPr>
                <w:rFonts w:ascii="Times New Roman" w:hAnsi="Times New Roman" w:eastAsia="Times New Roman" w:cs="Times New Roman"/>
                <w:spacing w:val="-3"/>
              </w:rPr>
              <w:t>12</w:t>
            </w:r>
            <w:r>
              <w:rPr>
                <w:spacing w:val="-3"/>
              </w:rPr>
              <w:t>）管理要求</w:t>
            </w:r>
          </w:p>
          <w:p w14:paraId="198D9AFD">
            <w:pPr>
              <w:pStyle w:val="6"/>
              <w:spacing w:before="184" w:line="346" w:lineRule="auto"/>
              <w:ind w:left="229" w:right="274" w:firstLine="478"/>
            </w:pPr>
            <w:r>
              <w:rPr>
                <w:spacing w:val="-1"/>
              </w:rPr>
              <w:t>为确保本项目固体废物能够达到安全有效的处置，建设单位需做到以下</w:t>
            </w:r>
            <w:r>
              <w:rPr>
                <w:spacing w:val="17"/>
              </w:rPr>
              <w:t xml:space="preserve"> </w:t>
            </w:r>
            <w:r>
              <w:rPr>
                <w:spacing w:val="-5"/>
              </w:rPr>
              <w:t>几点：</w:t>
            </w:r>
          </w:p>
          <w:p w14:paraId="69B40089">
            <w:pPr>
              <w:pStyle w:val="6"/>
              <w:spacing w:before="35" w:line="347" w:lineRule="auto"/>
              <w:ind w:left="223" w:right="217" w:firstLine="473"/>
            </w:pPr>
            <w:r>
              <w:rPr>
                <w:rFonts w:ascii="Times New Roman" w:hAnsi="Times New Roman" w:eastAsia="Times New Roman" w:cs="Times New Roman"/>
                <w:spacing w:val="-4"/>
              </w:rPr>
              <w:t>A</w:t>
            </w:r>
            <w:r>
              <w:rPr>
                <w:spacing w:val="-4"/>
              </w:rPr>
              <w:t>、必须与有危险废物处置资质单位签订相关处置协议，并委托有资质运</w:t>
            </w:r>
            <w:r>
              <w:rPr>
                <w:spacing w:val="9"/>
              </w:rPr>
              <w:t xml:space="preserve"> </w:t>
            </w:r>
            <w:r>
              <w:rPr>
                <w:spacing w:val="-2"/>
              </w:rPr>
              <w:t>输单位进行转运；</w:t>
            </w:r>
          </w:p>
          <w:p w14:paraId="4B6A27C2">
            <w:pPr>
              <w:pStyle w:val="6"/>
              <w:spacing w:before="35" w:line="219" w:lineRule="auto"/>
              <w:ind w:left="699"/>
            </w:pPr>
            <w:r>
              <w:rPr>
                <w:rFonts w:ascii="Times New Roman" w:hAnsi="Times New Roman" w:eastAsia="Times New Roman" w:cs="Times New Roman"/>
                <w:spacing w:val="-2"/>
              </w:rPr>
              <w:t>B</w:t>
            </w:r>
            <w:r>
              <w:rPr>
                <w:rFonts w:ascii="Times New Roman" w:hAnsi="Times New Roman" w:eastAsia="Times New Roman" w:cs="Times New Roman"/>
                <w:spacing w:val="-29"/>
              </w:rPr>
              <w:t xml:space="preserve"> </w:t>
            </w:r>
            <w:r>
              <w:rPr>
                <w:spacing w:val="-2"/>
              </w:rPr>
              <w:t>、在厂区内按有关要求设置危废贮存库；</w:t>
            </w:r>
          </w:p>
          <w:p w14:paraId="5DFAEC2D">
            <w:pPr>
              <w:pStyle w:val="6"/>
              <w:spacing w:before="182" w:line="347" w:lineRule="auto"/>
              <w:ind w:left="699" w:right="1356" w:firstLine="4"/>
            </w:pPr>
            <w:r>
              <w:rPr>
                <w:rFonts w:ascii="Times New Roman" w:hAnsi="Times New Roman" w:eastAsia="Times New Roman" w:cs="Times New Roman"/>
                <w:spacing w:val="-3"/>
              </w:rPr>
              <w:t>C</w:t>
            </w:r>
            <w:r>
              <w:rPr>
                <w:rFonts w:ascii="Times New Roman" w:hAnsi="Times New Roman" w:eastAsia="Times New Roman" w:cs="Times New Roman"/>
                <w:spacing w:val="-31"/>
              </w:rPr>
              <w:t xml:space="preserve"> </w:t>
            </w:r>
            <w:r>
              <w:rPr>
                <w:spacing w:val="-3"/>
              </w:rPr>
              <w:t>、在日常运行中，建设单位要加强对固废处置的日常管理。</w:t>
            </w:r>
            <w:r>
              <w:t xml:space="preserve"> </w:t>
            </w:r>
            <w:r>
              <w:rPr>
                <w:rFonts w:ascii="Times New Roman" w:hAnsi="Times New Roman" w:eastAsia="Times New Roman" w:cs="Times New Roman"/>
                <w:spacing w:val="-2"/>
              </w:rPr>
              <w:t>D</w:t>
            </w:r>
            <w:r>
              <w:rPr>
                <w:rFonts w:ascii="Times New Roman" w:hAnsi="Times New Roman" w:eastAsia="Times New Roman" w:cs="Times New Roman"/>
                <w:spacing w:val="-22"/>
              </w:rPr>
              <w:t xml:space="preserve"> </w:t>
            </w:r>
            <w:r>
              <w:rPr>
                <w:spacing w:val="-2"/>
              </w:rPr>
              <w:t>、尽量提高资源回收利用率，减少固废产生量。</w:t>
            </w:r>
          </w:p>
          <w:p w14:paraId="329A9B23">
            <w:pPr>
              <w:pStyle w:val="6"/>
              <w:spacing w:before="34" w:line="347" w:lineRule="auto"/>
              <w:ind w:left="224" w:right="136" w:firstLine="475"/>
            </w:pPr>
            <w:r>
              <w:rPr>
                <w:rFonts w:ascii="Times New Roman" w:hAnsi="Times New Roman" w:eastAsia="Times New Roman" w:cs="Times New Roman"/>
                <w:spacing w:val="-8"/>
              </w:rPr>
              <w:t>E</w:t>
            </w:r>
            <w:r>
              <w:rPr>
                <w:spacing w:val="-8"/>
              </w:rPr>
              <w:t>、报废农机进厂后检查是否有废油液的泄漏，进行抽取废油液等预处理。</w:t>
            </w:r>
            <w:r>
              <w:rPr>
                <w:spacing w:val="9"/>
              </w:rPr>
              <w:t xml:space="preserve"> </w:t>
            </w:r>
            <w:r>
              <w:rPr>
                <w:spacing w:val="-1"/>
              </w:rPr>
              <w:t>拆解作业前不得侧放、倒放，禁止露天拆解。</w:t>
            </w:r>
          </w:p>
          <w:p w14:paraId="3A1F32D9">
            <w:pPr>
              <w:pStyle w:val="6"/>
              <w:spacing w:before="33" w:line="347" w:lineRule="auto"/>
              <w:ind w:left="224" w:right="217" w:firstLine="474"/>
            </w:pPr>
            <w:r>
              <w:rPr>
                <w:rFonts w:ascii="Times New Roman" w:hAnsi="Times New Roman" w:eastAsia="Times New Roman" w:cs="Times New Roman"/>
                <w:spacing w:val="-3"/>
              </w:rPr>
              <w:t>F</w:t>
            </w:r>
            <w:r>
              <w:rPr>
                <w:spacing w:val="-3"/>
              </w:rPr>
              <w:t>、严格按照拆解规范工序拆解，将各类危险废物均集中分类收集，交由</w:t>
            </w:r>
            <w:r>
              <w:rPr>
                <w:spacing w:val="15"/>
              </w:rPr>
              <w:t xml:space="preserve"> </w:t>
            </w:r>
            <w:r>
              <w:rPr>
                <w:spacing w:val="-1"/>
              </w:rPr>
              <w:t>相关资质单位处理，并严格执行危险废物转移联单制度。</w:t>
            </w:r>
          </w:p>
          <w:p w14:paraId="2542D646">
            <w:pPr>
              <w:pStyle w:val="6"/>
              <w:spacing w:before="34" w:line="348" w:lineRule="auto"/>
              <w:ind w:left="225" w:right="217" w:firstLine="478"/>
            </w:pPr>
            <w:r>
              <w:rPr>
                <w:rFonts w:ascii="Times New Roman" w:hAnsi="Times New Roman" w:eastAsia="Times New Roman" w:cs="Times New Roman"/>
                <w:spacing w:val="-4"/>
              </w:rPr>
              <w:t>G</w:t>
            </w:r>
            <w:r>
              <w:rPr>
                <w:spacing w:val="-4"/>
              </w:rPr>
              <w:t>、本项目危险废物贮存场所均为室内设施，保证雨水不会流到危险废物</w:t>
            </w:r>
            <w:r>
              <w:rPr>
                <w:spacing w:val="2"/>
              </w:rPr>
              <w:t xml:space="preserve"> </w:t>
            </w:r>
            <w:r>
              <w:rPr>
                <w:spacing w:val="-4"/>
              </w:rPr>
              <w:t>堆里。</w:t>
            </w:r>
          </w:p>
          <w:p w14:paraId="5F21ACAC">
            <w:pPr>
              <w:pStyle w:val="6"/>
              <w:spacing w:before="31" w:line="347" w:lineRule="auto"/>
              <w:ind w:left="227" w:right="217" w:firstLine="471"/>
            </w:pPr>
            <w:r>
              <w:rPr>
                <w:rFonts w:ascii="Times New Roman" w:hAnsi="Times New Roman" w:eastAsia="Times New Roman" w:cs="Times New Roman"/>
                <w:spacing w:val="-4"/>
              </w:rPr>
              <w:t>H</w:t>
            </w:r>
            <w:r>
              <w:rPr>
                <w:spacing w:val="-4"/>
              </w:rPr>
              <w:t>、禁止将蓄电池内的液态废物倾倒出来，将废蓄电池贮存在耐酸容器中</w:t>
            </w:r>
            <w:r>
              <w:rPr>
                <w:spacing w:val="7"/>
              </w:rPr>
              <w:t xml:space="preserve"> </w:t>
            </w:r>
            <w:r>
              <w:rPr>
                <w:spacing w:val="-1"/>
              </w:rPr>
              <w:t>或具有耐酸地面的专用区域内。</w:t>
            </w:r>
          </w:p>
          <w:p w14:paraId="24559603">
            <w:pPr>
              <w:pStyle w:val="6"/>
              <w:spacing w:before="35" w:line="219" w:lineRule="auto"/>
              <w:ind w:left="701"/>
            </w:pPr>
            <w:r>
              <w:rPr>
                <w:rFonts w:ascii="Times New Roman" w:hAnsi="Times New Roman" w:eastAsia="Times New Roman" w:cs="Times New Roman"/>
              </w:rPr>
              <w:t>I</w:t>
            </w:r>
            <w:r>
              <w:t>、轮胎和塑料部件的贮存区应具有消防设施</w:t>
            </w:r>
            <w:r>
              <w:rPr>
                <w:spacing w:val="-1"/>
              </w:rPr>
              <w:t>，并尽量避免大量堆积。</w:t>
            </w:r>
          </w:p>
        </w:tc>
      </w:tr>
    </w:tbl>
    <w:p w14:paraId="7D3E2194">
      <w:pPr>
        <w:pStyle w:val="2"/>
      </w:pPr>
    </w:p>
    <w:p w14:paraId="55F0FEF1">
      <w:pPr>
        <w:sectPr>
          <w:footerReference r:id="rId85"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29FF3DC3">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56" w:hRule="atLeast"/>
        </w:trPr>
        <w:tc>
          <w:tcPr>
            <w:tcW w:w="477" w:type="dxa"/>
            <w:tcBorders>
              <w:right w:val="single" w:color="000000" w:sz="2" w:space="0"/>
            </w:tcBorders>
            <w:vAlign w:val="top"/>
          </w:tcPr>
          <w:p w14:paraId="4F328B5A">
            <w:pPr>
              <w:rPr>
                <w:rFonts w:ascii="Arial"/>
                <w:sz w:val="21"/>
              </w:rPr>
            </w:pPr>
          </w:p>
        </w:tc>
        <w:tc>
          <w:tcPr>
            <w:tcW w:w="8425" w:type="dxa"/>
            <w:tcBorders>
              <w:left w:val="single" w:color="000000" w:sz="2" w:space="0"/>
            </w:tcBorders>
            <w:vAlign w:val="top"/>
          </w:tcPr>
          <w:p w14:paraId="39CC3F9F">
            <w:pPr>
              <w:pStyle w:val="6"/>
              <w:spacing w:before="101" w:line="346" w:lineRule="auto"/>
              <w:ind w:left="223" w:right="160" w:firstLine="480"/>
            </w:pPr>
            <w:r>
              <w:rPr>
                <w:rFonts w:ascii="Times New Roman" w:hAnsi="Times New Roman" w:eastAsia="Times New Roman" w:cs="Times New Roman"/>
                <w:spacing w:val="-3"/>
              </w:rPr>
              <w:t>G</w:t>
            </w:r>
            <w:r>
              <w:rPr>
                <w:rFonts w:ascii="Times New Roman" w:hAnsi="Times New Roman" w:eastAsia="Times New Roman" w:cs="Times New Roman"/>
                <w:spacing w:val="-33"/>
              </w:rPr>
              <w:t xml:space="preserve"> </w:t>
            </w:r>
            <w:r>
              <w:rPr>
                <w:spacing w:val="-3"/>
              </w:rPr>
              <w:t>、定期对所贮存的危险废物包装容器及贮存设施进行检查，发现破损，</w:t>
            </w:r>
            <w:r>
              <w:t xml:space="preserve"> </w:t>
            </w:r>
            <w:r>
              <w:rPr>
                <w:spacing w:val="-1"/>
              </w:rPr>
              <w:t>及时采取措施清理更换。</w:t>
            </w:r>
          </w:p>
          <w:p w14:paraId="7084F0BB">
            <w:pPr>
              <w:pStyle w:val="6"/>
              <w:spacing w:before="35" w:line="219" w:lineRule="auto"/>
              <w:ind w:left="699"/>
            </w:pPr>
            <w:r>
              <w:rPr>
                <w:rFonts w:ascii="Times New Roman" w:hAnsi="Times New Roman" w:eastAsia="Times New Roman" w:cs="Times New Roman"/>
                <w:spacing w:val="-1"/>
              </w:rPr>
              <w:t>K</w:t>
            </w:r>
            <w:r>
              <w:rPr>
                <w:spacing w:val="-1"/>
              </w:rPr>
              <w:t>、生活垃圾集中收集由环卫部门统一处理。</w:t>
            </w:r>
          </w:p>
          <w:p w14:paraId="0FE28513">
            <w:pPr>
              <w:pStyle w:val="6"/>
              <w:spacing w:before="183" w:line="351" w:lineRule="auto"/>
              <w:ind w:left="233" w:right="217" w:firstLine="467"/>
            </w:pPr>
            <w:r>
              <w:rPr>
                <w:rFonts w:ascii="Times New Roman" w:hAnsi="Times New Roman" w:eastAsia="Times New Roman" w:cs="Times New Roman"/>
                <w:spacing w:val="-3"/>
              </w:rPr>
              <w:t>L</w:t>
            </w:r>
            <w:r>
              <w:rPr>
                <w:spacing w:val="-3"/>
              </w:rPr>
              <w:t>、各类危险废物在厂区贮存时间不得超过一个月，按照类别放在专门的</w:t>
            </w:r>
            <w:r>
              <w:rPr>
                <w:spacing w:val="1"/>
              </w:rPr>
              <w:t xml:space="preserve"> </w:t>
            </w:r>
            <w:r>
              <w:rPr>
                <w:spacing w:val="-1"/>
              </w:rPr>
              <w:t>收集容器和贮存设施内，设置危险废物警示标志。液态废物应在不同的容器</w:t>
            </w:r>
            <w:r>
              <w:rPr>
                <w:spacing w:val="14"/>
              </w:rPr>
              <w:t xml:space="preserve"> </w:t>
            </w:r>
            <w:r>
              <w:rPr>
                <w:spacing w:val="-3"/>
              </w:rPr>
              <w:t>中分别贮存。</w:t>
            </w:r>
          </w:p>
          <w:p w14:paraId="221F6D0D">
            <w:pPr>
              <w:pStyle w:val="6"/>
              <w:spacing w:before="33" w:line="347" w:lineRule="auto"/>
              <w:ind w:left="692" w:right="1063" w:firstLine="6"/>
            </w:pPr>
            <w:r>
              <w:rPr>
                <w:rFonts w:ascii="Times New Roman" w:hAnsi="Times New Roman" w:eastAsia="Times New Roman" w:cs="Times New Roman"/>
                <w:spacing w:val="-2"/>
              </w:rPr>
              <w:t>M</w:t>
            </w:r>
            <w:r>
              <w:rPr>
                <w:spacing w:val="-2"/>
              </w:rPr>
              <w:t>、禁止将不相容（相互反应）的危险废物在同一容器内混装。</w:t>
            </w:r>
            <w:r>
              <w:rPr>
                <w:spacing w:val="8"/>
              </w:rPr>
              <w:t xml:space="preserve"> </w:t>
            </w:r>
            <w:r>
              <w:rPr>
                <w:rFonts w:ascii="Times New Roman" w:hAnsi="Times New Roman" w:eastAsia="Times New Roman" w:cs="Times New Roman"/>
                <w:spacing w:val="-1"/>
              </w:rPr>
              <w:t>N</w:t>
            </w:r>
            <w:r>
              <w:rPr>
                <w:rFonts w:ascii="Times New Roman" w:hAnsi="Times New Roman" w:eastAsia="Times New Roman" w:cs="Times New Roman"/>
                <w:spacing w:val="-34"/>
              </w:rPr>
              <w:t xml:space="preserve"> </w:t>
            </w:r>
            <w:r>
              <w:rPr>
                <w:spacing w:val="-1"/>
              </w:rPr>
              <w:t>、无法装入常用容器的危险废物可用防漏胶袋等盛装。</w:t>
            </w:r>
          </w:p>
          <w:p w14:paraId="01FCC9AD">
            <w:pPr>
              <w:pStyle w:val="6"/>
              <w:spacing w:before="35" w:line="347" w:lineRule="auto"/>
              <w:ind w:left="223" w:right="217" w:firstLine="480"/>
            </w:pPr>
            <w:r>
              <w:rPr>
                <w:rFonts w:ascii="Times New Roman" w:hAnsi="Times New Roman" w:eastAsia="Times New Roman" w:cs="Times New Roman"/>
                <w:spacing w:val="-4"/>
              </w:rPr>
              <w:t>O</w:t>
            </w:r>
            <w:r>
              <w:rPr>
                <w:spacing w:val="-4"/>
              </w:rPr>
              <w:t>、装载液体、半固体危险废物的容器内须留足够空间，容器顶部与液体</w:t>
            </w:r>
            <w:r>
              <w:rPr>
                <w:spacing w:val="2"/>
              </w:rPr>
              <w:t xml:space="preserve"> </w:t>
            </w:r>
            <w:r>
              <w:rPr>
                <w:spacing w:val="-5"/>
              </w:rPr>
              <w:t>表面之间保留</w:t>
            </w:r>
            <w:r>
              <w:rPr>
                <w:spacing w:val="-21"/>
              </w:rPr>
              <w:t xml:space="preserve"> </w:t>
            </w:r>
            <w:r>
              <w:rPr>
                <w:rFonts w:ascii="Times New Roman" w:hAnsi="Times New Roman" w:eastAsia="Times New Roman" w:cs="Times New Roman"/>
                <w:spacing w:val="-5"/>
              </w:rPr>
              <w:t>100mm</w:t>
            </w:r>
            <w:r>
              <w:rPr>
                <w:rFonts w:ascii="Times New Roman" w:hAnsi="Times New Roman" w:eastAsia="Times New Roman" w:cs="Times New Roman"/>
                <w:spacing w:val="35"/>
              </w:rPr>
              <w:t xml:space="preserve"> </w:t>
            </w:r>
            <w:r>
              <w:rPr>
                <w:spacing w:val="-5"/>
              </w:rPr>
              <w:t>以上的空间。</w:t>
            </w:r>
          </w:p>
          <w:p w14:paraId="01E0F11E">
            <w:pPr>
              <w:pStyle w:val="6"/>
              <w:spacing w:before="34" w:line="219" w:lineRule="auto"/>
              <w:ind w:left="605"/>
            </w:pPr>
            <w:r>
              <w:rPr>
                <w:spacing w:val="-3"/>
              </w:rPr>
              <w:t>固体废物日常管理要求：</w:t>
            </w:r>
          </w:p>
          <w:p w14:paraId="588D09D4">
            <w:pPr>
              <w:pStyle w:val="6"/>
              <w:spacing w:before="182" w:line="347" w:lineRule="auto"/>
              <w:ind w:left="227" w:right="274" w:firstLine="480"/>
            </w:pPr>
            <w:r>
              <w:rPr>
                <w:spacing w:val="-1"/>
              </w:rPr>
              <w:t>为确保项目固体废物的安全处置，建设单位应加强对固体废物的日常管</w:t>
            </w:r>
            <w:r>
              <w:rPr>
                <w:spacing w:val="17"/>
              </w:rPr>
              <w:t xml:space="preserve"> </w:t>
            </w:r>
            <w:r>
              <w:rPr>
                <w:spacing w:val="-2"/>
              </w:rPr>
              <w:t>理，主要包括以下内容：</w:t>
            </w:r>
          </w:p>
          <w:p w14:paraId="35DD9FF8">
            <w:pPr>
              <w:pStyle w:val="6"/>
              <w:spacing w:before="35" w:line="313" w:lineRule="auto"/>
              <w:ind w:left="225" w:right="274" w:firstLine="478"/>
            </w:pPr>
            <w:r>
              <w:t>①建设单位必须做好危险废物情况的记录，记录</w:t>
            </w:r>
            <w:r>
              <w:rPr>
                <w:spacing w:val="-1"/>
              </w:rPr>
              <w:t>上必须注明危险废物的</w:t>
            </w:r>
            <w:r>
              <w:t xml:space="preserve"> 名称、来源、数量、特性和包装容器的类别、入</w:t>
            </w:r>
            <w:r>
              <w:rPr>
                <w:spacing w:val="-1"/>
              </w:rPr>
              <w:t>库时间、存放库位、废物出</w:t>
            </w:r>
            <w:r>
              <w:t xml:space="preserve"> </w:t>
            </w:r>
            <w:r>
              <w:rPr>
                <w:spacing w:val="-1"/>
              </w:rPr>
              <w:t>库时间及接受单位名称。</w:t>
            </w:r>
          </w:p>
          <w:p w14:paraId="1BDC65F3">
            <w:pPr>
              <w:pStyle w:val="6"/>
              <w:spacing w:before="184" w:line="289" w:lineRule="auto"/>
              <w:ind w:left="224" w:right="274" w:firstLine="478"/>
            </w:pPr>
            <w:r>
              <w:t>②必须定期对所贮存的危险废物包装容器及贮存设</w:t>
            </w:r>
            <w:r>
              <w:rPr>
                <w:spacing w:val="-1"/>
              </w:rPr>
              <w:t>施进行检查，发现破</w:t>
            </w:r>
            <w:r>
              <w:t xml:space="preserve"> </w:t>
            </w:r>
            <w:r>
              <w:rPr>
                <w:spacing w:val="-1"/>
              </w:rPr>
              <w:t>损，应及时采取措施清理更换。</w:t>
            </w:r>
          </w:p>
          <w:p w14:paraId="0B4CB7F4">
            <w:pPr>
              <w:pStyle w:val="6"/>
              <w:spacing w:before="184" w:line="313" w:lineRule="auto"/>
              <w:ind w:left="224" w:right="274" w:firstLine="478"/>
            </w:pPr>
            <w:r>
              <w:t>③对危险废物的转移运输要实行《危险废物转移联</w:t>
            </w:r>
            <w:r>
              <w:rPr>
                <w:spacing w:val="-1"/>
              </w:rPr>
              <w:t>单管理办法》，实行</w:t>
            </w:r>
            <w:r>
              <w:t xml:space="preserve"> 五联单制度，运出单位及当地生态环境部门、运输</w:t>
            </w:r>
            <w:r>
              <w:rPr>
                <w:spacing w:val="-1"/>
              </w:rPr>
              <w:t>单位、接收单位及当地生</w:t>
            </w:r>
            <w:r>
              <w:t xml:space="preserve"> </w:t>
            </w:r>
            <w:r>
              <w:rPr>
                <w:spacing w:val="-1"/>
              </w:rPr>
              <w:t>态环境部门进行跟踪联单。</w:t>
            </w:r>
          </w:p>
          <w:p w14:paraId="4050D568">
            <w:pPr>
              <w:pStyle w:val="6"/>
              <w:spacing w:before="183" w:line="220" w:lineRule="auto"/>
              <w:ind w:left="716"/>
            </w:pPr>
            <w:r>
              <w:rPr>
                <w:spacing w:val="-2"/>
              </w:rPr>
              <w:t>（</w:t>
            </w:r>
            <w:r>
              <w:rPr>
                <w:rFonts w:ascii="Times New Roman" w:hAnsi="Times New Roman" w:eastAsia="Times New Roman" w:cs="Times New Roman"/>
                <w:spacing w:val="-2"/>
              </w:rPr>
              <w:t>13</w:t>
            </w:r>
            <w:r>
              <w:rPr>
                <w:spacing w:val="-2"/>
              </w:rPr>
              <w:t>）固体废物处置措施可行性分析</w:t>
            </w:r>
          </w:p>
          <w:p w14:paraId="4BEFFC31">
            <w:pPr>
              <w:pStyle w:val="6"/>
              <w:spacing w:before="183" w:line="356" w:lineRule="auto"/>
              <w:ind w:left="223" w:right="217" w:firstLine="481"/>
              <w:jc w:val="both"/>
            </w:pPr>
            <w:r>
              <w:t>本项目玻璃、废旧轮胎、塑料、密封胶条、</w:t>
            </w:r>
            <w:r>
              <w:rPr>
                <w:spacing w:val="-1"/>
              </w:rPr>
              <w:t>金属类等收集在拆解后物料</w:t>
            </w:r>
            <w:r>
              <w:t xml:space="preserve"> </w:t>
            </w:r>
            <w:r>
              <w:rPr>
                <w:spacing w:val="-1"/>
              </w:rPr>
              <w:t>存储区，定期外售废旧资源回收公司；电子电器产品</w:t>
            </w:r>
            <w:r>
              <w:rPr>
                <w:rFonts w:ascii="Times New Roman" w:hAnsi="Times New Roman" w:eastAsia="Times New Roman" w:cs="Times New Roman"/>
                <w:spacing w:val="-1"/>
              </w:rPr>
              <w:t>/</w:t>
            </w:r>
            <w:r>
              <w:rPr>
                <w:spacing w:val="-1"/>
              </w:rPr>
              <w:t>元器件收集在拆解后物</w:t>
            </w:r>
            <w:r>
              <w:rPr>
                <w:spacing w:val="15"/>
              </w:rPr>
              <w:t xml:space="preserve"> </w:t>
            </w:r>
            <w:r>
              <w:t>料存储区，交由有废电器资质企业拆解，不自行拆解</w:t>
            </w:r>
            <w:r>
              <w:rPr>
                <w:spacing w:val="-1"/>
              </w:rPr>
              <w:t>；生活垃圾收集后委托</w:t>
            </w:r>
            <w:r>
              <w:t xml:space="preserve"> 当地环卫部门及时清运处置；废油类、制冷剂采用废</w:t>
            </w:r>
            <w:r>
              <w:rPr>
                <w:spacing w:val="-1"/>
              </w:rPr>
              <w:t>液的专用密闭容器分类</w:t>
            </w:r>
            <w:r>
              <w:t xml:space="preserve"> </w:t>
            </w:r>
            <w:r>
              <w:rPr>
                <w:spacing w:val="-3"/>
              </w:rPr>
              <w:t>暂存于</w:t>
            </w:r>
            <w:r>
              <w:rPr>
                <w:spacing w:val="-32"/>
              </w:rPr>
              <w:t xml:space="preserve"> </w:t>
            </w:r>
            <w:r>
              <w:rPr>
                <w:rFonts w:ascii="Times New Roman" w:hAnsi="Times New Roman" w:eastAsia="Times New Roman" w:cs="Times New Roman"/>
                <w:spacing w:val="-3"/>
              </w:rPr>
              <w:t>3#</w:t>
            </w:r>
            <w:r>
              <w:rPr>
                <w:spacing w:val="-3"/>
              </w:rPr>
              <w:t>废矿物油暂存区，由有资质单位处理；废电池暂存于</w:t>
            </w:r>
            <w:r>
              <w:rPr>
                <w:spacing w:val="-55"/>
              </w:rPr>
              <w:t xml:space="preserve"> </w:t>
            </w:r>
            <w:r>
              <w:rPr>
                <w:rFonts w:ascii="Times New Roman" w:hAnsi="Times New Roman" w:eastAsia="Times New Roman" w:cs="Times New Roman"/>
                <w:spacing w:val="-3"/>
              </w:rPr>
              <w:t>2#</w:t>
            </w:r>
            <w:r>
              <w:rPr>
                <w:spacing w:val="-3"/>
              </w:rPr>
              <w:t>废蓄电池暂</w:t>
            </w:r>
            <w:r>
              <w:t xml:space="preserve"> 存区，由有资质单位处理；燃料箱、液压油管、催化</w:t>
            </w:r>
            <w:r>
              <w:rPr>
                <w:spacing w:val="-1"/>
              </w:rPr>
              <w:t>器、废活性炭、含油抹</w:t>
            </w:r>
            <w:r>
              <w:t xml:space="preserve"> </w:t>
            </w:r>
            <w:r>
              <w:rPr>
                <w:spacing w:val="-1"/>
              </w:rPr>
              <w:t>布、拖布和手套分类暂存于</w:t>
            </w:r>
            <w:r>
              <w:rPr>
                <w:spacing w:val="-32"/>
              </w:rPr>
              <w:t xml:space="preserve"> </w:t>
            </w:r>
            <w:r>
              <w:rPr>
                <w:rFonts w:ascii="Times New Roman" w:hAnsi="Times New Roman" w:eastAsia="Times New Roman" w:cs="Times New Roman"/>
                <w:spacing w:val="-1"/>
              </w:rPr>
              <w:t>1#</w:t>
            </w:r>
            <w:r>
              <w:rPr>
                <w:spacing w:val="-1"/>
              </w:rPr>
              <w:t>其他危险废物暂存区，由有资质</w:t>
            </w:r>
            <w:r>
              <w:rPr>
                <w:spacing w:val="-2"/>
              </w:rPr>
              <w:t>单位处理。</w:t>
            </w:r>
          </w:p>
          <w:p w14:paraId="1ACB1C1D">
            <w:pPr>
              <w:pStyle w:val="6"/>
              <w:spacing w:before="35" w:line="219" w:lineRule="auto"/>
              <w:ind w:left="705"/>
            </w:pPr>
            <w:r>
              <w:t>本项目只要严格执行以上措施后，固体废物</w:t>
            </w:r>
            <w:r>
              <w:rPr>
                <w:spacing w:val="-1"/>
              </w:rPr>
              <w:t>能够得到合理的处理处置。</w:t>
            </w:r>
          </w:p>
        </w:tc>
      </w:tr>
    </w:tbl>
    <w:p w14:paraId="5BB87BB5">
      <w:pPr>
        <w:pStyle w:val="2"/>
        <w:spacing w:line="188" w:lineRule="exact"/>
        <w:rPr>
          <w:sz w:val="16"/>
        </w:rPr>
      </w:pPr>
    </w:p>
    <w:p w14:paraId="3D6E2483">
      <w:pPr>
        <w:spacing w:line="188" w:lineRule="exact"/>
        <w:rPr>
          <w:sz w:val="16"/>
          <w:szCs w:val="16"/>
        </w:rPr>
        <w:sectPr>
          <w:footerReference r:id="rId86"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506EB9D0">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98" w:hRule="atLeast"/>
        </w:trPr>
        <w:tc>
          <w:tcPr>
            <w:tcW w:w="477" w:type="dxa"/>
            <w:tcBorders>
              <w:right w:val="single" w:color="000000" w:sz="2" w:space="0"/>
            </w:tcBorders>
            <w:vAlign w:val="top"/>
          </w:tcPr>
          <w:p w14:paraId="7F99CD20">
            <w:pPr>
              <w:rPr>
                <w:rFonts w:ascii="Arial"/>
                <w:sz w:val="21"/>
              </w:rPr>
            </w:pPr>
          </w:p>
        </w:tc>
        <w:tc>
          <w:tcPr>
            <w:tcW w:w="8425" w:type="dxa"/>
            <w:tcBorders>
              <w:left w:val="single" w:color="000000" w:sz="2" w:space="0"/>
            </w:tcBorders>
            <w:vAlign w:val="top"/>
          </w:tcPr>
          <w:p w14:paraId="102EB580">
            <w:pPr>
              <w:pStyle w:val="6"/>
              <w:spacing w:before="100" w:line="219" w:lineRule="auto"/>
              <w:ind w:left="228"/>
            </w:pPr>
            <w:r>
              <w:rPr>
                <w:spacing w:val="-1"/>
              </w:rPr>
              <w:t>不会对环境产生危害，措施是可行的。</w:t>
            </w:r>
          </w:p>
          <w:p w14:paraId="3BAA7C88">
            <w:pPr>
              <w:pStyle w:val="6"/>
              <w:spacing w:before="184" w:line="219" w:lineRule="auto"/>
              <w:ind w:left="583"/>
            </w:pPr>
            <w:r>
              <w:rPr>
                <w:rFonts w:ascii="Times New Roman" w:hAnsi="Times New Roman" w:eastAsia="Times New Roman" w:cs="Times New Roman"/>
                <w:b/>
                <w:bCs/>
                <w:spacing w:val="-6"/>
              </w:rPr>
              <w:t>5</w:t>
            </w:r>
            <w:r>
              <w:rPr>
                <w:rFonts w:ascii="Times New Roman" w:hAnsi="Times New Roman" w:eastAsia="Times New Roman" w:cs="Times New Roman"/>
                <w:b/>
                <w:bCs/>
                <w:spacing w:val="-34"/>
              </w:rPr>
              <w:t xml:space="preserve"> </w:t>
            </w:r>
            <w:r>
              <w:rPr>
                <w:b/>
                <w:bCs/>
                <w:spacing w:val="-6"/>
              </w:rPr>
              <w:t>、地下水、土壤</w:t>
            </w:r>
          </w:p>
          <w:p w14:paraId="7A7634CA">
            <w:pPr>
              <w:pStyle w:val="6"/>
              <w:spacing w:before="182" w:line="220" w:lineRule="auto"/>
              <w:ind w:left="596"/>
            </w:pPr>
            <w:r>
              <w:rPr>
                <w:spacing w:val="-3"/>
              </w:rPr>
              <w:t>（</w:t>
            </w:r>
            <w:r>
              <w:rPr>
                <w:rFonts w:ascii="Times New Roman" w:hAnsi="Times New Roman" w:eastAsia="Times New Roman" w:cs="Times New Roman"/>
                <w:spacing w:val="-3"/>
              </w:rPr>
              <w:t>1</w:t>
            </w:r>
            <w:r>
              <w:rPr>
                <w:spacing w:val="-3"/>
              </w:rPr>
              <w:t>）影响分析</w:t>
            </w:r>
          </w:p>
          <w:p w14:paraId="0A80B3EB">
            <w:pPr>
              <w:pStyle w:val="6"/>
              <w:spacing w:before="183" w:line="351" w:lineRule="auto"/>
              <w:ind w:left="103" w:right="97" w:firstLine="480"/>
              <w:jc w:val="both"/>
            </w:pPr>
            <w:r>
              <w:rPr>
                <w:spacing w:val="2"/>
              </w:rPr>
              <w:t>根据《环境影响评价技术导则地下水环境》</w:t>
            </w:r>
            <w:r>
              <w:rPr>
                <w:rFonts w:ascii="Times New Roman" w:hAnsi="Times New Roman" w:eastAsia="Times New Roman" w:cs="Times New Roman"/>
                <w:spacing w:val="2"/>
              </w:rPr>
              <w:t>(</w:t>
            </w:r>
            <w:r>
              <w:rPr>
                <w:rFonts w:ascii="Times New Roman" w:hAnsi="Times New Roman" w:eastAsia="Times New Roman" w:cs="Times New Roman"/>
              </w:rPr>
              <w:t>HJ</w:t>
            </w:r>
            <w:r>
              <w:rPr>
                <w:rFonts w:ascii="Times New Roman" w:hAnsi="Times New Roman" w:eastAsia="Times New Roman" w:cs="Times New Roman"/>
                <w:spacing w:val="2"/>
              </w:rPr>
              <w:t>610-2016)</w:t>
            </w:r>
            <w:r>
              <w:rPr>
                <w:spacing w:val="2"/>
              </w:rPr>
              <w:t>规定</w:t>
            </w:r>
            <w:r>
              <w:rPr>
                <w:rFonts w:ascii="Times New Roman" w:hAnsi="Times New Roman" w:eastAsia="Times New Roman" w:cs="Times New Roman"/>
                <w:spacing w:val="2"/>
              </w:rPr>
              <w:t>“U</w:t>
            </w:r>
            <w:r>
              <w:rPr>
                <w:rFonts w:ascii="Times New Roman" w:hAnsi="Times New Roman" w:eastAsia="Times New Roman" w:cs="Times New Roman"/>
                <w:spacing w:val="-30"/>
              </w:rPr>
              <w:t xml:space="preserve"> </w:t>
            </w:r>
            <w:r>
              <w:rPr>
                <w:spacing w:val="1"/>
              </w:rPr>
              <w:t>、城镇基</w:t>
            </w:r>
            <w:r>
              <w:t xml:space="preserve"> </w:t>
            </w:r>
            <w:r>
              <w:rPr>
                <w:spacing w:val="1"/>
              </w:rPr>
              <w:t>础设施及房地产，</w:t>
            </w:r>
            <w:r>
              <w:rPr>
                <w:rFonts w:ascii="Times New Roman" w:hAnsi="Times New Roman" w:eastAsia="Times New Roman" w:cs="Times New Roman"/>
                <w:spacing w:val="1"/>
              </w:rPr>
              <w:t>155</w:t>
            </w:r>
            <w:r>
              <w:rPr>
                <w:rFonts w:ascii="Times New Roman" w:hAnsi="Times New Roman" w:eastAsia="Times New Roman" w:cs="Times New Roman"/>
                <w:spacing w:val="-34"/>
              </w:rPr>
              <w:t xml:space="preserve"> </w:t>
            </w:r>
            <w:r>
              <w:rPr>
                <w:spacing w:val="1"/>
              </w:rPr>
              <w:t>、废旧资源（含生物质加工）再生利用——其他</w:t>
            </w:r>
            <w:r>
              <w:rPr>
                <w:rFonts w:ascii="Times New Roman" w:hAnsi="Times New Roman" w:eastAsia="Times New Roman" w:cs="Times New Roman"/>
                <w:spacing w:val="1"/>
              </w:rPr>
              <w:t>”</w:t>
            </w:r>
            <w:r>
              <w:rPr>
                <w:spacing w:val="1"/>
              </w:rPr>
              <w:t>对应的</w:t>
            </w:r>
            <w:r>
              <w:t xml:space="preserve"> </w:t>
            </w:r>
            <w:r>
              <w:rPr>
                <w:spacing w:val="1"/>
              </w:rPr>
              <w:t>地下水环境影响评价项目类别为</w:t>
            </w:r>
            <w:r>
              <w:rPr>
                <w:spacing w:val="-42"/>
              </w:rPr>
              <w:t xml:space="preserve"> </w:t>
            </w:r>
            <w:r>
              <w:rPr>
                <w:rFonts w:ascii="Times New Roman" w:hAnsi="Times New Roman" w:eastAsia="Times New Roman" w:cs="Times New Roman"/>
              </w:rPr>
              <w:t>IV</w:t>
            </w:r>
            <w:r>
              <w:rPr>
                <w:rFonts w:ascii="Times New Roman" w:hAnsi="Times New Roman" w:eastAsia="Times New Roman" w:cs="Times New Roman"/>
                <w:spacing w:val="16"/>
              </w:rPr>
              <w:t xml:space="preserve"> </w:t>
            </w:r>
            <w:r>
              <w:rPr>
                <w:spacing w:val="1"/>
              </w:rPr>
              <w:t>类，</w:t>
            </w:r>
            <w:r>
              <w:rPr>
                <w:rFonts w:ascii="Times New Roman" w:hAnsi="Times New Roman" w:eastAsia="Times New Roman" w:cs="Times New Roman"/>
              </w:rPr>
              <w:t>IV</w:t>
            </w:r>
            <w:r>
              <w:rPr>
                <w:rFonts w:ascii="Times New Roman" w:hAnsi="Times New Roman" w:eastAsia="Times New Roman" w:cs="Times New Roman"/>
                <w:spacing w:val="16"/>
                <w:w w:val="101"/>
              </w:rPr>
              <w:t xml:space="preserve"> </w:t>
            </w:r>
            <w:r>
              <w:rPr>
                <w:spacing w:val="1"/>
              </w:rPr>
              <w:t>类建设项目不开展地下水环境影响</w:t>
            </w:r>
            <w:r>
              <w:t xml:space="preserve"> </w:t>
            </w:r>
            <w:r>
              <w:rPr>
                <w:spacing w:val="-3"/>
              </w:rPr>
              <w:t>评价。</w:t>
            </w:r>
          </w:p>
          <w:p w14:paraId="2282BF6F">
            <w:pPr>
              <w:pStyle w:val="6"/>
              <w:spacing w:before="46" w:line="347" w:lineRule="auto"/>
              <w:ind w:left="97" w:right="97" w:firstLine="487"/>
            </w:pPr>
            <w:r>
              <w:rPr>
                <w:spacing w:val="-1"/>
              </w:rPr>
              <w:t>根据《环境影响评价技术导则 土壤环境（试行）》</w:t>
            </w:r>
            <w:r>
              <w:rPr>
                <w:rFonts w:ascii="Times New Roman" w:hAnsi="Times New Roman" w:eastAsia="Times New Roman" w:cs="Times New Roman"/>
                <w:spacing w:val="-1"/>
              </w:rPr>
              <w:t>(HJ964-2018)</w:t>
            </w:r>
            <w:r>
              <w:rPr>
                <w:spacing w:val="-1"/>
              </w:rPr>
              <w:t>附录</w:t>
            </w:r>
            <w:r>
              <w:rPr>
                <w:spacing w:val="-53"/>
              </w:rPr>
              <w:t xml:space="preserve"> </w:t>
            </w:r>
            <w:r>
              <w:rPr>
                <w:rFonts w:ascii="Times New Roman" w:hAnsi="Times New Roman" w:eastAsia="Times New Roman" w:cs="Times New Roman"/>
                <w:spacing w:val="-1"/>
              </w:rPr>
              <w:t xml:space="preserve">A </w:t>
            </w:r>
            <w:r>
              <w:rPr>
                <w:spacing w:val="-1"/>
              </w:rPr>
              <w:t>表</w:t>
            </w:r>
            <w:r>
              <w:t xml:space="preserve"> </w:t>
            </w:r>
            <w:r>
              <w:rPr>
                <w:rFonts w:ascii="Times New Roman" w:hAnsi="Times New Roman" w:eastAsia="Times New Roman" w:cs="Times New Roman"/>
                <w:spacing w:val="-3"/>
              </w:rPr>
              <w:t>A.1</w:t>
            </w:r>
            <w:r>
              <w:rPr>
                <w:spacing w:val="-3"/>
              </w:rPr>
              <w:t>，规定本项目属于</w:t>
            </w:r>
            <w:r>
              <w:rPr>
                <w:rFonts w:ascii="Times New Roman" w:hAnsi="Times New Roman" w:eastAsia="Times New Roman" w:cs="Times New Roman"/>
                <w:spacing w:val="-3"/>
              </w:rPr>
              <w:t>“</w:t>
            </w:r>
            <w:r>
              <w:rPr>
                <w:spacing w:val="-3"/>
              </w:rPr>
              <w:t>环境和公共设施管理业</w:t>
            </w:r>
            <w:r>
              <w:rPr>
                <w:rFonts w:ascii="Times New Roman" w:hAnsi="Times New Roman" w:eastAsia="Times New Roman" w:cs="Times New Roman"/>
                <w:spacing w:val="-3"/>
              </w:rPr>
              <w:t>-</w:t>
            </w:r>
            <w:r>
              <w:rPr>
                <w:spacing w:val="-3"/>
              </w:rPr>
              <w:t>其他</w:t>
            </w:r>
            <w:r>
              <w:rPr>
                <w:rFonts w:ascii="Times New Roman" w:hAnsi="Times New Roman" w:eastAsia="Times New Roman" w:cs="Times New Roman"/>
                <w:spacing w:val="-3"/>
              </w:rPr>
              <w:t>”</w:t>
            </w:r>
            <w:r>
              <w:rPr>
                <w:spacing w:val="-3"/>
              </w:rPr>
              <w:t>，土壤环境影响评价项目类</w:t>
            </w:r>
            <w:r>
              <w:rPr>
                <w:spacing w:val="2"/>
              </w:rPr>
              <w:t xml:space="preserve"> </w:t>
            </w:r>
            <w:r>
              <w:rPr>
                <w:spacing w:val="-1"/>
              </w:rPr>
              <w:t>别为</w:t>
            </w:r>
            <w:r>
              <w:rPr>
                <w:spacing w:val="-39"/>
              </w:rPr>
              <w:t xml:space="preserve"> </w:t>
            </w:r>
            <w:r>
              <w:rPr>
                <w:rFonts w:ascii="Times New Roman" w:hAnsi="Times New Roman" w:eastAsia="Times New Roman" w:cs="Times New Roman"/>
                <w:spacing w:val="-1"/>
              </w:rPr>
              <w:t xml:space="preserve">IV </w:t>
            </w:r>
            <w:r>
              <w:rPr>
                <w:spacing w:val="-1"/>
              </w:rPr>
              <w:t>类，</w:t>
            </w:r>
            <w:r>
              <w:rPr>
                <w:rFonts w:ascii="Times New Roman" w:hAnsi="Times New Roman" w:eastAsia="Times New Roman" w:cs="Times New Roman"/>
                <w:spacing w:val="-1"/>
              </w:rPr>
              <w:t xml:space="preserve">IV </w:t>
            </w:r>
            <w:r>
              <w:rPr>
                <w:spacing w:val="-1"/>
              </w:rPr>
              <w:t>类建设项目不开展土壤环境影响评价。</w:t>
            </w:r>
          </w:p>
          <w:p w14:paraId="1F7A3677">
            <w:pPr>
              <w:pStyle w:val="6"/>
              <w:spacing w:before="49" w:line="220" w:lineRule="auto"/>
              <w:ind w:left="596"/>
            </w:pPr>
            <w:r>
              <w:rPr>
                <w:spacing w:val="-3"/>
              </w:rPr>
              <w:t>（</w:t>
            </w:r>
            <w:r>
              <w:rPr>
                <w:rFonts w:ascii="Times New Roman" w:hAnsi="Times New Roman" w:eastAsia="Times New Roman" w:cs="Times New Roman"/>
                <w:spacing w:val="-3"/>
              </w:rPr>
              <w:t>2</w:t>
            </w:r>
            <w:r>
              <w:rPr>
                <w:spacing w:val="-3"/>
              </w:rPr>
              <w:t>）预防措施</w:t>
            </w:r>
          </w:p>
          <w:p w14:paraId="2176F7A1">
            <w:pPr>
              <w:pStyle w:val="6"/>
              <w:spacing w:before="181" w:line="347" w:lineRule="auto"/>
              <w:ind w:left="132" w:right="94" w:firstLine="450"/>
            </w:pPr>
            <w:r>
              <w:rPr>
                <w:spacing w:val="1"/>
              </w:rPr>
              <w:t>对地下水的污染主要是危险废物暂存或管理不当，造成废油液、废铅酸蓄</w:t>
            </w:r>
            <w:r>
              <w:rPr>
                <w:spacing w:val="18"/>
              </w:rPr>
              <w:t xml:space="preserve"> </w:t>
            </w:r>
            <w:r>
              <w:rPr>
                <w:spacing w:val="-2"/>
              </w:rPr>
              <w:t>电池破损泄漏，污染土壤并进一步影响地下水体。</w:t>
            </w:r>
          </w:p>
          <w:p w14:paraId="4FF44CED">
            <w:pPr>
              <w:pStyle w:val="6"/>
              <w:spacing w:before="44" w:line="220" w:lineRule="auto"/>
              <w:ind w:left="2855"/>
              <w:rPr>
                <w:sz w:val="22"/>
                <w:szCs w:val="22"/>
              </w:rPr>
            </w:pPr>
            <w:r>
              <w:rPr>
                <w:b/>
                <w:bCs/>
                <w:spacing w:val="-3"/>
                <w:sz w:val="22"/>
                <w:szCs w:val="22"/>
              </w:rPr>
              <w:t>表</w:t>
            </w:r>
            <w:r>
              <w:rPr>
                <w:spacing w:val="-34"/>
                <w:sz w:val="22"/>
                <w:szCs w:val="22"/>
              </w:rPr>
              <w:t xml:space="preserve"> </w:t>
            </w:r>
            <w:r>
              <w:rPr>
                <w:b/>
                <w:bCs/>
                <w:spacing w:val="-3"/>
                <w:sz w:val="22"/>
                <w:szCs w:val="22"/>
              </w:rPr>
              <w:t>4-12</w:t>
            </w:r>
            <w:r>
              <w:rPr>
                <w:spacing w:val="-3"/>
                <w:sz w:val="22"/>
                <w:szCs w:val="22"/>
              </w:rPr>
              <w:t xml:space="preserve">  </w:t>
            </w:r>
            <w:r>
              <w:rPr>
                <w:b/>
                <w:bCs/>
                <w:spacing w:val="-3"/>
                <w:sz w:val="22"/>
                <w:szCs w:val="22"/>
              </w:rPr>
              <w:t>土壤、地下水污染分析</w:t>
            </w:r>
          </w:p>
          <w:p w14:paraId="5DFDE293">
            <w:pPr>
              <w:spacing w:line="81" w:lineRule="exact"/>
            </w:pPr>
          </w:p>
          <w:tbl>
            <w:tblPr>
              <w:tblStyle w:val="5"/>
              <w:tblW w:w="7917" w:type="dxa"/>
              <w:tblInd w:w="24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48"/>
              <w:gridCol w:w="2335"/>
              <w:gridCol w:w="1856"/>
              <w:gridCol w:w="1478"/>
            </w:tblGrid>
            <w:tr w14:paraId="792C9E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2" w:hRule="atLeast"/>
              </w:trPr>
              <w:tc>
                <w:tcPr>
                  <w:tcW w:w="2248" w:type="dxa"/>
                  <w:tcBorders>
                    <w:top w:val="single" w:color="000000" w:sz="10" w:space="0"/>
                    <w:left w:val="nil"/>
                  </w:tcBorders>
                  <w:vAlign w:val="top"/>
                </w:tcPr>
                <w:p w14:paraId="4DB47686">
                  <w:pPr>
                    <w:pStyle w:val="6"/>
                    <w:spacing w:before="120" w:line="229" w:lineRule="auto"/>
                    <w:ind w:left="931"/>
                    <w:rPr>
                      <w:sz w:val="19"/>
                      <w:szCs w:val="19"/>
                    </w:rPr>
                  </w:pPr>
                  <w:r>
                    <w:rPr>
                      <w:spacing w:val="5"/>
                      <w:sz w:val="19"/>
                      <w:szCs w:val="19"/>
                    </w:rPr>
                    <w:t>环境</w:t>
                  </w:r>
                </w:p>
              </w:tc>
              <w:tc>
                <w:tcPr>
                  <w:tcW w:w="2335" w:type="dxa"/>
                  <w:tcBorders>
                    <w:top w:val="single" w:color="000000" w:sz="10" w:space="0"/>
                  </w:tcBorders>
                  <w:vAlign w:val="top"/>
                </w:tcPr>
                <w:p w14:paraId="78753A65">
                  <w:pPr>
                    <w:pStyle w:val="6"/>
                    <w:spacing w:before="120" w:line="229" w:lineRule="auto"/>
                    <w:ind w:left="873"/>
                    <w:rPr>
                      <w:sz w:val="19"/>
                      <w:szCs w:val="19"/>
                    </w:rPr>
                  </w:pPr>
                  <w:r>
                    <w:rPr>
                      <w:spacing w:val="6"/>
                      <w:sz w:val="19"/>
                      <w:szCs w:val="19"/>
                    </w:rPr>
                    <w:t>污染源</w:t>
                  </w:r>
                </w:p>
              </w:tc>
              <w:tc>
                <w:tcPr>
                  <w:tcW w:w="1856" w:type="dxa"/>
                  <w:tcBorders>
                    <w:top w:val="single" w:color="000000" w:sz="10" w:space="0"/>
                  </w:tcBorders>
                  <w:vAlign w:val="top"/>
                </w:tcPr>
                <w:p w14:paraId="21AE2193">
                  <w:pPr>
                    <w:pStyle w:val="6"/>
                    <w:spacing w:before="121" w:line="228" w:lineRule="auto"/>
                    <w:ind w:left="434"/>
                    <w:rPr>
                      <w:sz w:val="19"/>
                      <w:szCs w:val="19"/>
                    </w:rPr>
                  </w:pPr>
                  <w:r>
                    <w:rPr>
                      <w:spacing w:val="7"/>
                      <w:sz w:val="19"/>
                      <w:szCs w:val="19"/>
                    </w:rPr>
                    <w:t>污染物类型</w:t>
                  </w:r>
                </w:p>
              </w:tc>
              <w:tc>
                <w:tcPr>
                  <w:tcW w:w="1478" w:type="dxa"/>
                  <w:tcBorders>
                    <w:top w:val="single" w:color="000000" w:sz="10" w:space="0"/>
                    <w:right w:val="nil"/>
                  </w:tcBorders>
                  <w:vAlign w:val="top"/>
                </w:tcPr>
                <w:p w14:paraId="0046F1CE">
                  <w:pPr>
                    <w:pStyle w:val="6"/>
                    <w:spacing w:before="121" w:line="228" w:lineRule="auto"/>
                    <w:ind w:left="347"/>
                    <w:rPr>
                      <w:sz w:val="19"/>
                      <w:szCs w:val="19"/>
                    </w:rPr>
                  </w:pPr>
                  <w:r>
                    <w:rPr>
                      <w:spacing w:val="7"/>
                      <w:sz w:val="19"/>
                      <w:szCs w:val="19"/>
                    </w:rPr>
                    <w:t>污染途径</w:t>
                  </w:r>
                </w:p>
              </w:tc>
            </w:tr>
            <w:tr w14:paraId="55C98E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7" w:hRule="atLeast"/>
              </w:trPr>
              <w:tc>
                <w:tcPr>
                  <w:tcW w:w="2248" w:type="dxa"/>
                  <w:tcBorders>
                    <w:left w:val="nil"/>
                    <w:bottom w:val="single" w:color="000000" w:sz="10" w:space="0"/>
                  </w:tcBorders>
                  <w:vAlign w:val="top"/>
                </w:tcPr>
                <w:p w14:paraId="0B5B7F06">
                  <w:pPr>
                    <w:pStyle w:val="6"/>
                    <w:spacing w:before="284" w:line="228" w:lineRule="auto"/>
                    <w:ind w:left="132"/>
                    <w:rPr>
                      <w:sz w:val="19"/>
                      <w:szCs w:val="19"/>
                    </w:rPr>
                  </w:pPr>
                  <w:r>
                    <w:rPr>
                      <w:spacing w:val="9"/>
                      <w:sz w:val="19"/>
                      <w:szCs w:val="19"/>
                    </w:rPr>
                    <w:t>地下水环境、土壤环境</w:t>
                  </w:r>
                </w:p>
              </w:tc>
              <w:tc>
                <w:tcPr>
                  <w:tcW w:w="2335" w:type="dxa"/>
                  <w:tcBorders>
                    <w:bottom w:val="single" w:color="000000" w:sz="10" w:space="0"/>
                  </w:tcBorders>
                  <w:vAlign w:val="top"/>
                </w:tcPr>
                <w:p w14:paraId="7992D733">
                  <w:pPr>
                    <w:pStyle w:val="6"/>
                    <w:spacing w:before="127" w:line="290" w:lineRule="auto"/>
                    <w:ind w:left="1089" w:right="104" w:hanging="973"/>
                    <w:rPr>
                      <w:sz w:val="19"/>
                      <w:szCs w:val="19"/>
                    </w:rPr>
                  </w:pPr>
                  <w:r>
                    <w:rPr>
                      <w:spacing w:val="1"/>
                      <w:sz w:val="19"/>
                      <w:szCs w:val="19"/>
                    </w:rPr>
                    <w:t>危险废物贮存库、拆解车</w:t>
                  </w:r>
                  <w:r>
                    <w:rPr>
                      <w:spacing w:val="6"/>
                      <w:sz w:val="19"/>
                      <w:szCs w:val="19"/>
                    </w:rPr>
                    <w:t xml:space="preserve"> </w:t>
                  </w:r>
                  <w:r>
                    <w:rPr>
                      <w:sz w:val="19"/>
                      <w:szCs w:val="19"/>
                    </w:rPr>
                    <w:t>间</w:t>
                  </w:r>
                </w:p>
              </w:tc>
              <w:tc>
                <w:tcPr>
                  <w:tcW w:w="1856" w:type="dxa"/>
                  <w:tcBorders>
                    <w:bottom w:val="single" w:color="000000" w:sz="10" w:space="0"/>
                  </w:tcBorders>
                  <w:vAlign w:val="top"/>
                </w:tcPr>
                <w:p w14:paraId="5561ADA6">
                  <w:pPr>
                    <w:pStyle w:val="6"/>
                    <w:spacing w:before="284" w:line="228" w:lineRule="auto"/>
                    <w:ind w:left="134"/>
                    <w:rPr>
                      <w:sz w:val="19"/>
                      <w:szCs w:val="19"/>
                    </w:rPr>
                  </w:pPr>
                  <w:r>
                    <w:rPr>
                      <w:spacing w:val="8"/>
                      <w:sz w:val="19"/>
                      <w:szCs w:val="19"/>
                    </w:rPr>
                    <w:t>石油类、铅、硫酸</w:t>
                  </w:r>
                </w:p>
              </w:tc>
              <w:tc>
                <w:tcPr>
                  <w:tcW w:w="1478" w:type="dxa"/>
                  <w:tcBorders>
                    <w:bottom w:val="single" w:color="000000" w:sz="10" w:space="0"/>
                    <w:right w:val="nil"/>
                  </w:tcBorders>
                  <w:vAlign w:val="top"/>
                </w:tcPr>
                <w:p w14:paraId="75156F90">
                  <w:pPr>
                    <w:pStyle w:val="6"/>
                    <w:spacing w:before="283" w:line="229" w:lineRule="auto"/>
                    <w:ind w:left="346"/>
                    <w:rPr>
                      <w:sz w:val="19"/>
                      <w:szCs w:val="19"/>
                    </w:rPr>
                  </w:pPr>
                  <w:r>
                    <w:rPr>
                      <w:spacing w:val="7"/>
                      <w:sz w:val="19"/>
                      <w:szCs w:val="19"/>
                    </w:rPr>
                    <w:t>垂直入渗</w:t>
                  </w:r>
                </w:p>
              </w:tc>
            </w:tr>
          </w:tbl>
          <w:p w14:paraId="06DB30D1">
            <w:pPr>
              <w:pStyle w:val="6"/>
              <w:spacing w:before="116" w:line="357" w:lineRule="auto"/>
              <w:ind w:left="103" w:right="16" w:firstLine="481"/>
            </w:pPr>
            <w:r>
              <w:rPr>
                <w:spacing w:val="1"/>
              </w:rPr>
              <w:t>本项目正常运营过程中不会对所在区域地下水位产生影响，潜在影响主要</w:t>
            </w:r>
            <w:r>
              <w:rPr>
                <w:spacing w:val="16"/>
              </w:rPr>
              <w:t xml:space="preserve"> </w:t>
            </w:r>
            <w:r>
              <w:rPr>
                <w:spacing w:val="1"/>
              </w:rPr>
              <w:t>来自危险废物贮存库等防渗层的破损等导致废水进入地表，进而对地下水水质</w:t>
            </w:r>
            <w:r>
              <w:rPr>
                <w:spacing w:val="16"/>
              </w:rPr>
              <w:t xml:space="preserve"> </w:t>
            </w:r>
            <w:r>
              <w:rPr>
                <w:spacing w:val="1"/>
              </w:rPr>
              <w:t>产生影响。建设单位需加强拆解车间和危险废物贮存库等场所的日常管理，严</w:t>
            </w:r>
            <w:r>
              <w:rPr>
                <w:spacing w:val="14"/>
              </w:rPr>
              <w:t xml:space="preserve"> </w:t>
            </w:r>
            <w:r>
              <w:rPr>
                <w:spacing w:val="1"/>
              </w:rPr>
              <w:t>格防渗防漏，避免对地下水环境产生不利的影响。及时发现地面渗漏状况，避</w:t>
            </w:r>
            <w:r>
              <w:rPr>
                <w:spacing w:val="16"/>
              </w:rPr>
              <w:t xml:space="preserve"> </w:t>
            </w:r>
            <w:r>
              <w:rPr>
                <w:spacing w:val="1"/>
              </w:rPr>
              <w:t>免给土壤和地下水造成污染。本项目危险废物储存点按照《危险废物贮存污染</w:t>
            </w:r>
            <w:r>
              <w:rPr>
                <w:spacing w:val="16"/>
              </w:rPr>
              <w:t xml:space="preserve"> </w:t>
            </w:r>
            <w:r>
              <w:rPr>
                <w:spacing w:val="2"/>
              </w:rPr>
              <w:t>控制标准》（</w:t>
            </w:r>
            <w:r>
              <w:rPr>
                <w:rFonts w:ascii="Times New Roman" w:hAnsi="Times New Roman" w:eastAsia="Times New Roman" w:cs="Times New Roman"/>
              </w:rPr>
              <w:t>GB</w:t>
            </w:r>
            <w:r>
              <w:rPr>
                <w:rFonts w:ascii="Times New Roman" w:hAnsi="Times New Roman" w:eastAsia="Times New Roman" w:cs="Times New Roman"/>
                <w:spacing w:val="2"/>
              </w:rPr>
              <w:t>18597-2023</w:t>
            </w:r>
            <w:r>
              <w:rPr>
                <w:spacing w:val="2"/>
              </w:rPr>
              <w:t>）中的相关要求，混凝土地面，采用</w:t>
            </w:r>
            <w:r>
              <w:rPr>
                <w:spacing w:val="-33"/>
              </w:rPr>
              <w:t xml:space="preserve"> </w:t>
            </w:r>
            <w:r>
              <w:rPr>
                <w:rFonts w:ascii="Times New Roman" w:hAnsi="Times New Roman" w:eastAsia="Times New Roman" w:cs="Times New Roman"/>
                <w:spacing w:val="2"/>
              </w:rPr>
              <w:t>2</w:t>
            </w:r>
            <w:r>
              <w:rPr>
                <w:rFonts w:ascii="Times New Roman" w:hAnsi="Times New Roman" w:eastAsia="Times New Roman" w:cs="Times New Roman"/>
              </w:rPr>
              <w:t>mm</w:t>
            </w:r>
            <w:r>
              <w:rPr>
                <w:rFonts w:ascii="Times New Roman" w:hAnsi="Times New Roman" w:eastAsia="Times New Roman" w:cs="Times New Roman"/>
                <w:spacing w:val="2"/>
              </w:rPr>
              <w:t xml:space="preserve"> </w:t>
            </w:r>
            <w:r>
              <w:rPr>
                <w:spacing w:val="2"/>
              </w:rPr>
              <w:t>后的高</w:t>
            </w:r>
            <w:r>
              <w:t xml:space="preserve"> </w:t>
            </w:r>
            <w:r>
              <w:rPr>
                <w:spacing w:val="-2"/>
              </w:rPr>
              <w:t>密度聚乙烯土工膜，渗透系数≤</w:t>
            </w:r>
            <w:r>
              <w:rPr>
                <w:rFonts w:ascii="Times New Roman" w:hAnsi="Times New Roman" w:eastAsia="Times New Roman" w:cs="Times New Roman"/>
                <w:spacing w:val="-2"/>
              </w:rPr>
              <w:t>10</w:t>
            </w:r>
            <w:r>
              <w:rPr>
                <w:rFonts w:ascii="Times New Roman" w:hAnsi="Times New Roman" w:eastAsia="Times New Roman" w:cs="Times New Roman"/>
                <w:spacing w:val="-2"/>
                <w:position w:val="8"/>
                <w:sz w:val="15"/>
                <w:szCs w:val="15"/>
              </w:rPr>
              <w:t>-10</w:t>
            </w:r>
            <w:r>
              <w:rPr>
                <w:rFonts w:ascii="Times New Roman" w:hAnsi="Times New Roman" w:eastAsia="Times New Roman" w:cs="Times New Roman"/>
                <w:spacing w:val="-2"/>
              </w:rPr>
              <w:t>cm/s</w:t>
            </w:r>
            <w:r>
              <w:rPr>
                <w:rFonts w:ascii="Times New Roman" w:hAnsi="Times New Roman" w:eastAsia="Times New Roman" w:cs="Times New Roman"/>
                <w:spacing w:val="-25"/>
              </w:rPr>
              <w:t xml:space="preserve"> </w:t>
            </w:r>
            <w:r>
              <w:rPr>
                <w:spacing w:val="-2"/>
              </w:rPr>
              <w:t>。因此危废暂存过程中，基本无废油、</w:t>
            </w:r>
            <w:r>
              <w:t xml:space="preserve"> </w:t>
            </w:r>
            <w:r>
              <w:rPr>
                <w:spacing w:val="2"/>
              </w:rPr>
              <w:t>废酸泄漏，且厂区内地面硬化，不会有残留油品和酸液渗入地下的情况发生，</w:t>
            </w:r>
            <w:r>
              <w:rPr>
                <w:spacing w:val="11"/>
              </w:rPr>
              <w:t xml:space="preserve"> </w:t>
            </w:r>
            <w:r>
              <w:t>不会对区域地下水产生显著影响，无需开展地下水、土</w:t>
            </w:r>
            <w:r>
              <w:rPr>
                <w:spacing w:val="-1"/>
              </w:rPr>
              <w:t>壤环境质量现状调查。</w:t>
            </w:r>
          </w:p>
          <w:p w14:paraId="2431517E">
            <w:pPr>
              <w:pStyle w:val="6"/>
              <w:spacing w:before="35" w:line="348" w:lineRule="auto"/>
              <w:ind w:left="102" w:right="94" w:firstLine="483"/>
            </w:pPr>
            <w:r>
              <w:rPr>
                <w:spacing w:val="-3"/>
              </w:rPr>
              <w:t>参照《环境影响评价技术导则地下水环境》</w:t>
            </w:r>
            <w:r>
              <w:rPr>
                <w:rFonts w:ascii="Times New Roman" w:hAnsi="Times New Roman" w:eastAsia="Times New Roman" w:cs="Times New Roman"/>
                <w:spacing w:val="-3"/>
              </w:rPr>
              <w:t>(HJ610-2016)</w:t>
            </w:r>
            <w:r>
              <w:rPr>
                <w:spacing w:val="-3"/>
              </w:rPr>
              <w:t>将地下水污染防渗</w:t>
            </w:r>
            <w:r>
              <w:rPr>
                <w:spacing w:val="15"/>
              </w:rPr>
              <w:t xml:space="preserve"> </w:t>
            </w:r>
            <w:r>
              <w:rPr>
                <w:spacing w:val="1"/>
              </w:rPr>
              <w:t>分区分为三个级别：重点防渗区、一般防渗区、简单防渗区，在厂区西南侧设</w:t>
            </w:r>
            <w:r>
              <w:rPr>
                <w:spacing w:val="17"/>
              </w:rPr>
              <w:t xml:space="preserve"> </w:t>
            </w:r>
            <w:r>
              <w:rPr>
                <w:spacing w:val="-5"/>
              </w:rPr>
              <w:t>置</w:t>
            </w:r>
            <w:r>
              <w:rPr>
                <w:spacing w:val="-32"/>
              </w:rPr>
              <w:t xml:space="preserve"> </w:t>
            </w:r>
            <w:r>
              <w:rPr>
                <w:rFonts w:ascii="Times New Roman" w:hAnsi="Times New Roman" w:eastAsia="Times New Roman" w:cs="Times New Roman"/>
                <w:spacing w:val="-5"/>
              </w:rPr>
              <w:t>1</w:t>
            </w:r>
            <w:r>
              <w:rPr>
                <w:rFonts w:ascii="Times New Roman" w:hAnsi="Times New Roman" w:eastAsia="Times New Roman" w:cs="Times New Roman"/>
                <w:spacing w:val="24"/>
              </w:rPr>
              <w:t xml:space="preserve"> </w:t>
            </w:r>
            <w:r>
              <w:rPr>
                <w:spacing w:val="-5"/>
              </w:rPr>
              <w:t>眼地下水跟踪监测井。</w:t>
            </w:r>
          </w:p>
          <w:p w14:paraId="0E1D102D">
            <w:pPr>
              <w:pStyle w:val="6"/>
              <w:spacing w:before="47" w:line="219" w:lineRule="auto"/>
              <w:ind w:left="585"/>
            </w:pPr>
            <w:r>
              <w:rPr>
                <w:spacing w:val="5"/>
              </w:rPr>
              <w:t>本项目危险废物贮存库（</w:t>
            </w:r>
            <w:r>
              <w:rPr>
                <w:rFonts w:ascii="Times New Roman" w:hAnsi="Times New Roman" w:eastAsia="Times New Roman" w:cs="Times New Roman"/>
                <w:spacing w:val="5"/>
              </w:rPr>
              <w:t>1#</w:t>
            </w:r>
            <w:r>
              <w:rPr>
                <w:spacing w:val="5"/>
                <w:sz w:val="20"/>
                <w:szCs w:val="20"/>
              </w:rPr>
              <w:t>其他危险废物暂存区</w:t>
            </w:r>
            <w:r>
              <w:rPr>
                <w:spacing w:val="4"/>
              </w:rPr>
              <w:t>、</w:t>
            </w:r>
            <w:r>
              <w:rPr>
                <w:rFonts w:ascii="Times New Roman" w:hAnsi="Times New Roman" w:eastAsia="Times New Roman" w:cs="Times New Roman"/>
                <w:spacing w:val="4"/>
              </w:rPr>
              <w:t>2#</w:t>
            </w:r>
            <w:r>
              <w:rPr>
                <w:spacing w:val="4"/>
              </w:rPr>
              <w:t>废蓄电池暂存区、</w:t>
            </w:r>
            <w:r>
              <w:rPr>
                <w:rFonts w:ascii="Times New Roman" w:hAnsi="Times New Roman" w:eastAsia="Times New Roman" w:cs="Times New Roman"/>
                <w:spacing w:val="4"/>
              </w:rPr>
              <w:t>3#</w:t>
            </w:r>
            <w:r>
              <w:rPr>
                <w:spacing w:val="4"/>
              </w:rPr>
              <w:t>废</w:t>
            </w:r>
          </w:p>
        </w:tc>
      </w:tr>
    </w:tbl>
    <w:p w14:paraId="54B58D31">
      <w:pPr>
        <w:pStyle w:val="2"/>
      </w:pPr>
    </w:p>
    <w:p w14:paraId="1BEE7428">
      <w:pPr>
        <w:sectPr>
          <w:footerReference r:id="rId87"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6CF4ADF1">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46" w:hRule="atLeast"/>
        </w:trPr>
        <w:tc>
          <w:tcPr>
            <w:tcW w:w="477" w:type="dxa"/>
            <w:tcBorders>
              <w:right w:val="single" w:color="000000" w:sz="2" w:space="0"/>
            </w:tcBorders>
            <w:vAlign w:val="top"/>
          </w:tcPr>
          <w:p w14:paraId="10EFB936">
            <w:pPr>
              <w:rPr>
                <w:rFonts w:ascii="Arial"/>
                <w:sz w:val="21"/>
              </w:rPr>
            </w:pPr>
          </w:p>
        </w:tc>
        <w:tc>
          <w:tcPr>
            <w:tcW w:w="8425" w:type="dxa"/>
            <w:tcBorders>
              <w:left w:val="single" w:color="000000" w:sz="2" w:space="0"/>
            </w:tcBorders>
            <w:vAlign w:val="top"/>
          </w:tcPr>
          <w:p w14:paraId="0F8DAB47">
            <w:pPr>
              <w:pStyle w:val="6"/>
              <w:spacing w:before="100" w:line="351" w:lineRule="auto"/>
              <w:ind w:left="103" w:right="94"/>
              <w:jc w:val="both"/>
            </w:pPr>
            <w:r>
              <w:rPr>
                <w:spacing w:val="1"/>
              </w:rPr>
              <w:t>矿物油暂存区）、拆解车间、导流槽、事故收集池划定划定为重点防渗区；报</w:t>
            </w:r>
            <w:r>
              <w:rPr>
                <w:spacing w:val="16"/>
              </w:rPr>
              <w:t xml:space="preserve"> </w:t>
            </w:r>
            <w:r>
              <w:rPr>
                <w:spacing w:val="1"/>
              </w:rPr>
              <w:t>废后农机暂存区、拆解后物料储存区、防渗旱厕为一般防渗区；厂区地面、办</w:t>
            </w:r>
            <w:r>
              <w:rPr>
                <w:spacing w:val="16"/>
              </w:rPr>
              <w:t xml:space="preserve"> </w:t>
            </w:r>
            <w:r>
              <w:t>公区、接待办地</w:t>
            </w:r>
            <w:r>
              <w:rPr>
                <w:sz w:val="20"/>
                <w:szCs w:val="20"/>
              </w:rPr>
              <w:t>面</w:t>
            </w:r>
            <w:r>
              <w:t>为简单防渗区，地下水污染防渗分区详见下表。</w:t>
            </w:r>
          </w:p>
          <w:p w14:paraId="5A2339E0">
            <w:pPr>
              <w:pStyle w:val="6"/>
              <w:spacing w:before="35" w:line="217" w:lineRule="auto"/>
              <w:ind w:left="583"/>
            </w:pPr>
            <w:r>
              <w:rPr>
                <w:spacing w:val="-2"/>
              </w:rPr>
              <w:t>①重点防渗区</w:t>
            </w:r>
          </w:p>
          <w:p w14:paraId="2FD65889">
            <w:pPr>
              <w:pStyle w:val="6"/>
              <w:spacing w:before="179" w:line="358" w:lineRule="auto"/>
              <w:ind w:left="100" w:right="38" w:firstLine="487"/>
            </w:pPr>
            <w:r>
              <w:rPr>
                <w:spacing w:val="1"/>
              </w:rPr>
              <w:t>指可能污染地下水环境的污染物泄露后不容易被及时发现和处理的区域或</w:t>
            </w:r>
            <w:r>
              <w:rPr>
                <w:spacing w:val="14"/>
              </w:rPr>
              <w:t xml:space="preserve"> </w:t>
            </w:r>
            <w:r>
              <w:rPr>
                <w:spacing w:val="2"/>
              </w:rPr>
              <w:t>部位。本项目重点防渗区主要包括危险废物贮存库（</w:t>
            </w:r>
            <w:r>
              <w:rPr>
                <w:rFonts w:ascii="Times New Roman" w:hAnsi="Times New Roman" w:eastAsia="Times New Roman" w:cs="Times New Roman"/>
                <w:spacing w:val="2"/>
              </w:rPr>
              <w:t>1#</w:t>
            </w:r>
            <w:r>
              <w:rPr>
                <w:spacing w:val="2"/>
              </w:rPr>
              <w:t>其他危险废物暂存区、</w:t>
            </w:r>
            <w:r>
              <w:rPr>
                <w:spacing w:val="7"/>
              </w:rPr>
              <w:t xml:space="preserve"> </w:t>
            </w:r>
            <w:r>
              <w:rPr>
                <w:rFonts w:ascii="Times New Roman" w:hAnsi="Times New Roman" w:eastAsia="Times New Roman" w:cs="Times New Roman"/>
                <w:spacing w:val="2"/>
              </w:rPr>
              <w:t>2#</w:t>
            </w:r>
            <w:r>
              <w:rPr>
                <w:spacing w:val="2"/>
              </w:rPr>
              <w:t>废蓄电池暂存区、</w:t>
            </w:r>
            <w:r>
              <w:rPr>
                <w:rFonts w:ascii="Times New Roman" w:hAnsi="Times New Roman" w:eastAsia="Times New Roman" w:cs="Times New Roman"/>
                <w:spacing w:val="2"/>
              </w:rPr>
              <w:t>3#</w:t>
            </w:r>
            <w:r>
              <w:rPr>
                <w:spacing w:val="2"/>
              </w:rPr>
              <w:t>废矿物油暂存区）、拆解车间、导油槽和事故收集池。</w:t>
            </w:r>
            <w:r>
              <w:rPr>
                <w:spacing w:val="12"/>
              </w:rPr>
              <w:t xml:space="preserve"> </w:t>
            </w:r>
            <w:r>
              <w:rPr>
                <w:spacing w:val="-1"/>
              </w:rPr>
              <w:t xml:space="preserve">拆解车间作业区地面混凝土强度等级不低于 </w:t>
            </w:r>
            <w:r>
              <w:rPr>
                <w:rFonts w:ascii="Times New Roman" w:hAnsi="Times New Roman" w:eastAsia="Times New Roman" w:cs="Times New Roman"/>
                <w:spacing w:val="-1"/>
              </w:rPr>
              <w:t>C20</w:t>
            </w:r>
            <w:r>
              <w:rPr>
                <w:rFonts w:ascii="Times New Roman" w:hAnsi="Times New Roman" w:eastAsia="Times New Roman" w:cs="Times New Roman"/>
                <w:spacing w:val="-27"/>
              </w:rPr>
              <w:t xml:space="preserve"> </w:t>
            </w:r>
            <w:r>
              <w:rPr>
                <w:spacing w:val="-1"/>
              </w:rPr>
              <w:t>，厚度不低于</w:t>
            </w:r>
            <w:r>
              <w:rPr>
                <w:spacing w:val="33"/>
              </w:rPr>
              <w:t xml:space="preserve"> </w:t>
            </w:r>
            <w:r>
              <w:rPr>
                <w:rFonts w:ascii="Times New Roman" w:hAnsi="Times New Roman" w:eastAsia="Times New Roman" w:cs="Times New Roman"/>
                <w:spacing w:val="-1"/>
              </w:rPr>
              <w:t>150 mm</w:t>
            </w:r>
            <w:r>
              <w:rPr>
                <w:rFonts w:ascii="Times New Roman" w:hAnsi="Times New Roman" w:eastAsia="Times New Roman" w:cs="Times New Roman"/>
                <w:spacing w:val="-30"/>
              </w:rPr>
              <w:t xml:space="preserve"> </w:t>
            </w:r>
            <w:r>
              <w:rPr>
                <w:spacing w:val="-1"/>
              </w:rPr>
              <w:t>，其中</w:t>
            </w:r>
            <w:r>
              <w:t xml:space="preserve"> </w:t>
            </w:r>
            <w:r>
              <w:rPr>
                <w:spacing w:val="-3"/>
              </w:rPr>
              <w:t xml:space="preserve">物流通道路面和拆解作业区域强度不低于 </w:t>
            </w:r>
            <w:r>
              <w:rPr>
                <w:rFonts w:ascii="Times New Roman" w:hAnsi="Times New Roman" w:eastAsia="Times New Roman" w:cs="Times New Roman"/>
                <w:spacing w:val="-3"/>
              </w:rPr>
              <w:t>C30</w:t>
            </w:r>
            <w:r>
              <w:rPr>
                <w:spacing w:val="-3"/>
              </w:rPr>
              <w:t xml:space="preserve">，厚度不低于 </w:t>
            </w:r>
            <w:r>
              <w:rPr>
                <w:rFonts w:ascii="Times New Roman" w:hAnsi="Times New Roman" w:eastAsia="Times New Roman" w:cs="Times New Roman"/>
                <w:spacing w:val="-3"/>
              </w:rPr>
              <w:t>200mm</w:t>
            </w:r>
            <w:r>
              <w:rPr>
                <w:spacing w:val="-4"/>
              </w:rPr>
              <w:t>，满足《报</w:t>
            </w:r>
            <w:r>
              <w:t xml:space="preserve"> </w:t>
            </w:r>
            <w:r>
              <w:rPr>
                <w:spacing w:val="-3"/>
              </w:rPr>
              <w:t>废机动车拆解企业污染控制技术规范》</w:t>
            </w:r>
            <w:r>
              <w:rPr>
                <w:spacing w:val="-34"/>
              </w:rPr>
              <w:t xml:space="preserve"> </w:t>
            </w:r>
            <w:r>
              <w:rPr>
                <w:rFonts w:ascii="Times New Roman" w:hAnsi="Times New Roman" w:eastAsia="Times New Roman" w:cs="Times New Roman"/>
                <w:spacing w:val="-3"/>
              </w:rPr>
              <w:t>(HJ348-2022)</w:t>
            </w:r>
            <w:r>
              <w:rPr>
                <w:spacing w:val="-3"/>
              </w:rPr>
              <w:t>中防渗、混凝土强度要求；</w:t>
            </w:r>
            <w:r>
              <w:t xml:space="preserve"> 危险废物贮存库、拆解车间四周设置</w:t>
            </w:r>
            <w:r>
              <w:rPr>
                <w:spacing w:val="-52"/>
              </w:rPr>
              <w:t xml:space="preserve"> </w:t>
            </w:r>
            <w:r>
              <w:rPr>
                <w:rFonts w:ascii="Times New Roman" w:hAnsi="Times New Roman" w:eastAsia="Times New Roman" w:cs="Times New Roman"/>
              </w:rPr>
              <w:t>0.4m×0.5m</w:t>
            </w:r>
            <w:r>
              <w:rPr>
                <w:rFonts w:ascii="Times New Roman" w:hAnsi="Times New Roman" w:eastAsia="Times New Roman" w:cs="Times New Roman"/>
                <w:spacing w:val="19"/>
                <w:w w:val="101"/>
              </w:rPr>
              <w:t xml:space="preserve"> </w:t>
            </w:r>
            <w:r>
              <w:t>导流槽，于拆解车</w:t>
            </w:r>
            <w:r>
              <w:rPr>
                <w:spacing w:val="-1"/>
              </w:rPr>
              <w:t>间外侧西南</w:t>
            </w:r>
            <w:r>
              <w:t xml:space="preserve"> </w:t>
            </w:r>
            <w:r>
              <w:rPr>
                <w:spacing w:val="-3"/>
              </w:rPr>
              <w:t>角建设</w:t>
            </w:r>
            <w:r>
              <w:rPr>
                <w:spacing w:val="-29"/>
              </w:rPr>
              <w:t xml:space="preserve"> </w:t>
            </w:r>
            <w:r>
              <w:rPr>
                <w:rFonts w:ascii="Times New Roman" w:hAnsi="Times New Roman" w:eastAsia="Times New Roman" w:cs="Times New Roman"/>
                <w:spacing w:val="-3"/>
              </w:rPr>
              <w:t>10m</w:t>
            </w:r>
            <w:r>
              <w:rPr>
                <w:rFonts w:ascii="Times New Roman" w:hAnsi="Times New Roman" w:eastAsia="Times New Roman" w:cs="Times New Roman"/>
                <w:spacing w:val="-3"/>
                <w:position w:val="8"/>
                <w:sz w:val="15"/>
                <w:szCs w:val="15"/>
              </w:rPr>
              <w:t>3</w:t>
            </w:r>
            <w:r>
              <w:rPr>
                <w:rFonts w:ascii="Times New Roman" w:hAnsi="Times New Roman" w:eastAsia="Times New Roman" w:cs="Times New Roman"/>
                <w:spacing w:val="9"/>
                <w:w w:val="101"/>
                <w:position w:val="8"/>
                <w:sz w:val="15"/>
                <w:szCs w:val="15"/>
              </w:rPr>
              <w:t xml:space="preserve"> </w:t>
            </w:r>
            <w:r>
              <w:rPr>
                <w:spacing w:val="-3"/>
              </w:rPr>
              <w:t>事故收集池，导流槽将泄漏物质导流入收集池，导流槽和收集池相</w:t>
            </w:r>
            <w:r>
              <w:t xml:space="preserve"> </w:t>
            </w:r>
            <w:r>
              <w:rPr>
                <w:spacing w:val="2"/>
              </w:rPr>
              <w:t>应按重点防渗区要求做好防渗处理。废油液</w:t>
            </w:r>
            <w:r>
              <w:rPr>
                <w:spacing w:val="1"/>
              </w:rPr>
              <w:t>采用桶装，桶下设置托盘。废铅酸</w:t>
            </w:r>
            <w:r>
              <w:t xml:space="preserve"> </w:t>
            </w:r>
            <w:r>
              <w:rPr>
                <w:spacing w:val="9"/>
              </w:rPr>
              <w:t>蓄电池采用专用的存放箱存放，严防电解液外泄。危险废物贮存库</w:t>
            </w:r>
            <w:r>
              <w:rPr>
                <w:spacing w:val="8"/>
              </w:rPr>
              <w:t>地面采用</w:t>
            </w:r>
            <w:r>
              <w:t xml:space="preserve"> </w:t>
            </w:r>
            <w:r>
              <w:rPr>
                <w:rFonts w:ascii="Times New Roman" w:hAnsi="Times New Roman" w:eastAsia="Times New Roman" w:cs="Times New Roman"/>
                <w:spacing w:val="17"/>
              </w:rPr>
              <w:t>2.0</w:t>
            </w:r>
            <w:r>
              <w:rPr>
                <w:rFonts w:ascii="Times New Roman" w:hAnsi="Times New Roman" w:eastAsia="Times New Roman" w:cs="Times New Roman"/>
              </w:rPr>
              <w:t>mm</w:t>
            </w:r>
            <w:r>
              <w:rPr>
                <w:rFonts w:ascii="Times New Roman" w:hAnsi="Times New Roman" w:eastAsia="Times New Roman" w:cs="Times New Roman"/>
                <w:spacing w:val="17"/>
              </w:rPr>
              <w:t xml:space="preserve">  </w:t>
            </w:r>
            <w:r>
              <w:rPr>
                <w:spacing w:val="17"/>
              </w:rPr>
              <w:t>厚高密度聚乙烯膜或至少</w:t>
            </w:r>
            <w:r>
              <w:rPr>
                <w:spacing w:val="70"/>
              </w:rPr>
              <w:t xml:space="preserve"> </w:t>
            </w:r>
            <w:r>
              <w:rPr>
                <w:rFonts w:ascii="Times New Roman" w:hAnsi="Times New Roman" w:eastAsia="Times New Roman" w:cs="Times New Roman"/>
                <w:spacing w:val="17"/>
              </w:rPr>
              <w:t>2</w:t>
            </w:r>
            <w:r>
              <w:rPr>
                <w:rFonts w:ascii="Times New Roman" w:hAnsi="Times New Roman" w:eastAsia="Times New Roman" w:cs="Times New Roman"/>
              </w:rPr>
              <w:t>mm</w:t>
            </w:r>
            <w:r>
              <w:rPr>
                <w:rFonts w:ascii="Times New Roman" w:hAnsi="Times New Roman" w:eastAsia="Times New Roman" w:cs="Times New Roman"/>
                <w:spacing w:val="17"/>
              </w:rPr>
              <w:t xml:space="preserve">  </w:t>
            </w:r>
            <w:r>
              <w:rPr>
                <w:spacing w:val="17"/>
              </w:rPr>
              <w:t>厚的其它人工材料</w:t>
            </w:r>
            <w:r>
              <w:rPr>
                <w:spacing w:val="-67"/>
              </w:rPr>
              <w:t xml:space="preserve"> </w:t>
            </w:r>
            <w:r>
              <w:rPr>
                <w:spacing w:val="17"/>
              </w:rPr>
              <w:t>，渗透系数≤</w:t>
            </w:r>
            <w:r>
              <w:t xml:space="preserve"> </w:t>
            </w:r>
            <w:r>
              <w:rPr>
                <w:rFonts w:ascii="Times New Roman" w:hAnsi="Times New Roman" w:eastAsia="Times New Roman" w:cs="Times New Roman"/>
                <w:spacing w:val="-1"/>
              </w:rPr>
              <w:t>10</w:t>
            </w:r>
            <w:r>
              <w:rPr>
                <w:rFonts w:ascii="Times New Roman" w:hAnsi="Times New Roman" w:eastAsia="Times New Roman" w:cs="Times New Roman"/>
                <w:spacing w:val="-1"/>
                <w:position w:val="7"/>
                <w:sz w:val="15"/>
                <w:szCs w:val="15"/>
              </w:rPr>
              <w:t>-10</w:t>
            </w:r>
            <w:r>
              <w:rPr>
                <w:rFonts w:ascii="Times New Roman" w:hAnsi="Times New Roman" w:eastAsia="Times New Roman" w:cs="Times New Roman"/>
                <w:spacing w:val="-1"/>
              </w:rPr>
              <w:t>cm/s</w:t>
            </w:r>
            <w:r>
              <w:rPr>
                <w:rFonts w:ascii="Times New Roman" w:hAnsi="Times New Roman" w:eastAsia="Times New Roman" w:cs="Times New Roman"/>
                <w:spacing w:val="-30"/>
              </w:rPr>
              <w:t xml:space="preserve"> </w:t>
            </w:r>
            <w:r>
              <w:rPr>
                <w:spacing w:val="-1"/>
              </w:rPr>
              <w:t>，符合等效黏土防渗层</w:t>
            </w:r>
            <w:r>
              <w:rPr>
                <w:spacing w:val="-2"/>
              </w:rPr>
              <w:t xml:space="preserve"> </w:t>
            </w:r>
            <w:r>
              <w:rPr>
                <w:rFonts w:ascii="Times New Roman" w:hAnsi="Times New Roman" w:eastAsia="Times New Roman" w:cs="Times New Roman"/>
                <w:spacing w:val="-2"/>
              </w:rPr>
              <w:t>Mb</w:t>
            </w:r>
            <w:r>
              <w:rPr>
                <w:spacing w:val="-2"/>
              </w:rPr>
              <w:t>≥</w:t>
            </w:r>
            <w:r>
              <w:rPr>
                <w:rFonts w:ascii="Times New Roman" w:hAnsi="Times New Roman" w:eastAsia="Times New Roman" w:cs="Times New Roman"/>
                <w:spacing w:val="-2"/>
              </w:rPr>
              <w:t>6.0m</w:t>
            </w:r>
            <w:r>
              <w:rPr>
                <w:rFonts w:ascii="Times New Roman" w:hAnsi="Times New Roman" w:eastAsia="Times New Roman" w:cs="Times New Roman"/>
                <w:spacing w:val="30"/>
              </w:rPr>
              <w:t xml:space="preserve"> </w:t>
            </w:r>
            <w:r>
              <w:rPr>
                <w:spacing w:val="-2"/>
              </w:rPr>
              <w:t>的要求，并张贴醒目的标识。</w:t>
            </w:r>
          </w:p>
          <w:p w14:paraId="6E021FCB">
            <w:pPr>
              <w:pStyle w:val="6"/>
              <w:spacing w:before="37" w:line="217" w:lineRule="auto"/>
              <w:ind w:left="582"/>
            </w:pPr>
            <w:r>
              <w:rPr>
                <w:spacing w:val="-2"/>
              </w:rPr>
              <w:t>②一般防渗区</w:t>
            </w:r>
          </w:p>
          <w:p w14:paraId="0A1A45E9">
            <w:pPr>
              <w:pStyle w:val="6"/>
              <w:spacing w:before="186" w:line="351" w:lineRule="auto"/>
              <w:ind w:left="105" w:right="94" w:firstLine="482"/>
            </w:pPr>
            <w:r>
              <w:rPr>
                <w:spacing w:val="1"/>
              </w:rPr>
              <w:t>一般防渗区为报废后农机暂存区、拆解后物料储存区、防渗旱厕。地面为</w:t>
            </w:r>
            <w:r>
              <w:rPr>
                <w:spacing w:val="13"/>
              </w:rPr>
              <w:t xml:space="preserve"> </w:t>
            </w:r>
            <w:r>
              <w:rPr>
                <w:spacing w:val="-1"/>
              </w:rPr>
              <w:t>厚度不小于</w:t>
            </w:r>
            <w:r>
              <w:rPr>
                <w:spacing w:val="-38"/>
              </w:rPr>
              <w:t xml:space="preserve"> </w:t>
            </w:r>
            <w:r>
              <w:rPr>
                <w:rFonts w:ascii="Times New Roman" w:hAnsi="Times New Roman" w:eastAsia="Times New Roman" w:cs="Times New Roman"/>
                <w:spacing w:val="-1"/>
              </w:rPr>
              <w:t>200mm</w:t>
            </w:r>
            <w:r>
              <w:rPr>
                <w:rFonts w:ascii="Times New Roman" w:hAnsi="Times New Roman" w:eastAsia="Times New Roman" w:cs="Times New Roman"/>
                <w:spacing w:val="27"/>
                <w:w w:val="101"/>
              </w:rPr>
              <w:t xml:space="preserve"> </w:t>
            </w:r>
            <w:r>
              <w:rPr>
                <w:spacing w:val="-1"/>
              </w:rPr>
              <w:t>的</w:t>
            </w:r>
            <w:r>
              <w:rPr>
                <w:spacing w:val="-54"/>
              </w:rPr>
              <w:t xml:space="preserve"> </w:t>
            </w:r>
            <w:r>
              <w:rPr>
                <w:rFonts w:ascii="Times New Roman" w:hAnsi="Times New Roman" w:eastAsia="Times New Roman" w:cs="Times New Roman"/>
                <w:spacing w:val="-1"/>
              </w:rPr>
              <w:t xml:space="preserve">P6 </w:t>
            </w:r>
            <w:r>
              <w:rPr>
                <w:spacing w:val="-1"/>
              </w:rPr>
              <w:t>抗渗混凝土硬化地面，其防渗技术要求可满足等效黏</w:t>
            </w:r>
            <w:r>
              <w:t xml:space="preserve"> </w:t>
            </w:r>
            <w:r>
              <w:rPr>
                <w:spacing w:val="-4"/>
              </w:rPr>
              <w:t>土防渗层</w:t>
            </w:r>
            <w:r>
              <w:rPr>
                <w:spacing w:val="-44"/>
              </w:rPr>
              <w:t xml:space="preserve"> </w:t>
            </w:r>
            <w:r>
              <w:rPr>
                <w:rFonts w:ascii="Times New Roman" w:hAnsi="Times New Roman" w:eastAsia="Times New Roman" w:cs="Times New Roman"/>
                <w:spacing w:val="-4"/>
              </w:rPr>
              <w:t>Mb</w:t>
            </w:r>
            <w:r>
              <w:rPr>
                <w:spacing w:val="-4"/>
              </w:rPr>
              <w:t>≥</w:t>
            </w:r>
            <w:r>
              <w:rPr>
                <w:rFonts w:ascii="Times New Roman" w:hAnsi="Times New Roman" w:eastAsia="Times New Roman" w:cs="Times New Roman"/>
                <w:spacing w:val="-4"/>
              </w:rPr>
              <w:t>1.5m</w:t>
            </w:r>
            <w:r>
              <w:rPr>
                <w:rFonts w:ascii="Times New Roman" w:hAnsi="Times New Roman" w:eastAsia="Times New Roman" w:cs="Times New Roman"/>
                <w:spacing w:val="-30"/>
              </w:rPr>
              <w:t xml:space="preserve"> </w:t>
            </w:r>
            <w:r>
              <w:rPr>
                <w:spacing w:val="-4"/>
              </w:rPr>
              <w:t>，</w:t>
            </w:r>
            <w:r>
              <w:rPr>
                <w:rFonts w:ascii="Times New Roman" w:hAnsi="Times New Roman" w:eastAsia="Times New Roman" w:cs="Times New Roman"/>
                <w:spacing w:val="-4"/>
              </w:rPr>
              <w:t>K</w:t>
            </w:r>
            <w:r>
              <w:rPr>
                <w:spacing w:val="-4"/>
              </w:rPr>
              <w:t>≤</w:t>
            </w:r>
            <w:r>
              <w:rPr>
                <w:rFonts w:ascii="Times New Roman" w:hAnsi="Times New Roman" w:eastAsia="Times New Roman" w:cs="Times New Roman"/>
                <w:spacing w:val="-4"/>
              </w:rPr>
              <w:t>1</w:t>
            </w:r>
            <w:r>
              <w:rPr>
                <w:spacing w:val="-4"/>
              </w:rPr>
              <w:t>×</w:t>
            </w:r>
            <w:r>
              <w:rPr>
                <w:spacing w:val="-92"/>
              </w:rPr>
              <w:t xml:space="preserve"> </w:t>
            </w:r>
            <w:r>
              <w:rPr>
                <w:rFonts w:ascii="Times New Roman" w:hAnsi="Times New Roman" w:eastAsia="Times New Roman" w:cs="Times New Roman"/>
                <w:spacing w:val="-4"/>
              </w:rPr>
              <w:t>10</w:t>
            </w:r>
            <w:r>
              <w:rPr>
                <w:rFonts w:ascii="Times New Roman" w:hAnsi="Times New Roman" w:eastAsia="Times New Roman" w:cs="Times New Roman"/>
                <w:spacing w:val="-4"/>
                <w:position w:val="7"/>
                <w:sz w:val="15"/>
                <w:szCs w:val="15"/>
              </w:rPr>
              <w:t>-7</w:t>
            </w:r>
            <w:r>
              <w:rPr>
                <w:rFonts w:ascii="Times New Roman" w:hAnsi="Times New Roman" w:eastAsia="Times New Roman" w:cs="Times New Roman"/>
                <w:spacing w:val="-4"/>
              </w:rPr>
              <w:t>cm/s</w:t>
            </w:r>
            <w:r>
              <w:rPr>
                <w:rFonts w:ascii="Times New Roman" w:hAnsi="Times New Roman" w:eastAsia="Times New Roman" w:cs="Times New Roman"/>
                <w:spacing w:val="14"/>
              </w:rPr>
              <w:t xml:space="preserve">  </w:t>
            </w:r>
            <w:r>
              <w:rPr>
                <w:spacing w:val="-4"/>
              </w:rPr>
              <w:t>的要求。</w:t>
            </w:r>
          </w:p>
          <w:p w14:paraId="05EC3C2C">
            <w:pPr>
              <w:pStyle w:val="6"/>
              <w:spacing w:before="35" w:line="217" w:lineRule="auto"/>
              <w:ind w:left="582"/>
            </w:pPr>
            <w:r>
              <w:rPr>
                <w:spacing w:val="-2"/>
              </w:rPr>
              <w:t>③简单防渗区</w:t>
            </w:r>
          </w:p>
          <w:p w14:paraId="583169E3">
            <w:pPr>
              <w:pStyle w:val="6"/>
              <w:spacing w:before="106" w:line="219" w:lineRule="auto"/>
              <w:ind w:left="587"/>
            </w:pPr>
            <w:r>
              <w:rPr>
                <w:spacing w:val="-1"/>
              </w:rPr>
              <w:t>厂区地面、场内办公室、接待室属于简单防渗区，地面进行水泥硬化。</w:t>
            </w:r>
          </w:p>
          <w:p w14:paraId="7A2170CE">
            <w:pPr>
              <w:pStyle w:val="6"/>
              <w:spacing w:before="180" w:line="219" w:lineRule="auto"/>
              <w:ind w:left="588"/>
              <w:outlineLvl w:val="2"/>
            </w:pPr>
            <w:r>
              <w:rPr>
                <w:spacing w:val="-2"/>
              </w:rPr>
              <w:t>项目分区防渗图见附图</w:t>
            </w:r>
            <w:r>
              <w:rPr>
                <w:spacing w:val="-51"/>
              </w:rPr>
              <w:t xml:space="preserve"> </w:t>
            </w:r>
            <w:r>
              <w:rPr>
                <w:rFonts w:ascii="Times New Roman" w:hAnsi="Times New Roman" w:eastAsia="Times New Roman" w:cs="Times New Roman"/>
                <w:spacing w:val="-2"/>
              </w:rPr>
              <w:t>7</w:t>
            </w:r>
            <w:r>
              <w:rPr>
                <w:spacing w:val="-2"/>
              </w:rPr>
              <w:t>。</w:t>
            </w:r>
          </w:p>
          <w:p w14:paraId="7D675C44">
            <w:pPr>
              <w:pStyle w:val="6"/>
              <w:spacing w:before="182" w:line="217" w:lineRule="auto"/>
              <w:ind w:left="582"/>
            </w:pPr>
            <w:r>
              <w:rPr>
                <w:spacing w:val="-2"/>
              </w:rPr>
              <w:t>④其他防治措施</w:t>
            </w:r>
          </w:p>
          <w:p w14:paraId="6B8E7806">
            <w:pPr>
              <w:pStyle w:val="6"/>
              <w:spacing w:before="188" w:line="350" w:lineRule="auto"/>
              <w:ind w:left="106" w:right="94" w:firstLine="478"/>
            </w:pPr>
            <w:r>
              <w:rPr>
                <w:spacing w:val="1"/>
              </w:rPr>
              <w:t>加强对人员的培训，制定相应的管理制度，定期对可能造成地下水污染的</w:t>
            </w:r>
            <w:r>
              <w:rPr>
                <w:spacing w:val="17"/>
              </w:rPr>
              <w:t xml:space="preserve"> </w:t>
            </w:r>
            <w:r>
              <w:rPr>
                <w:spacing w:val="1"/>
              </w:rPr>
              <w:t>设施进行检查；同时加强设备维护、检修，防止因设备故障渗漏引起地下水的</w:t>
            </w:r>
            <w:r>
              <w:rPr>
                <w:spacing w:val="13"/>
              </w:rPr>
              <w:t xml:space="preserve"> </w:t>
            </w:r>
            <w:r>
              <w:rPr>
                <w:spacing w:val="-4"/>
              </w:rPr>
              <w:t>污染。</w:t>
            </w:r>
          </w:p>
          <w:p w14:paraId="5D328EB3">
            <w:pPr>
              <w:pStyle w:val="6"/>
              <w:spacing w:before="35" w:line="350" w:lineRule="auto"/>
              <w:ind w:left="105" w:right="94" w:firstLine="482"/>
              <w:jc w:val="both"/>
            </w:pPr>
            <w:r>
              <w:rPr>
                <w:spacing w:val="1"/>
              </w:rPr>
              <w:t>项目所在地孔隙潜水主要接受大气降水入渗补给，以侧向径流及蒸发为主</w:t>
            </w:r>
            <w:r>
              <w:rPr>
                <w:spacing w:val="13"/>
              </w:rPr>
              <w:t xml:space="preserve"> </w:t>
            </w:r>
            <w:r>
              <w:rPr>
                <w:spacing w:val="1"/>
              </w:rPr>
              <w:t>要排泄途径。当发生地下水污染后，污染物通过侧向径流进入附近地表水，且</w:t>
            </w:r>
            <w:r>
              <w:rPr>
                <w:spacing w:val="14"/>
              </w:rPr>
              <w:t xml:space="preserve"> </w:t>
            </w:r>
            <w:r>
              <w:t>项目周边无集中居民区。因此，对周边地下水</w:t>
            </w:r>
            <w:r>
              <w:rPr>
                <w:spacing w:val="-1"/>
              </w:rPr>
              <w:t>环境和居民生活影响较小。</w:t>
            </w:r>
          </w:p>
        </w:tc>
      </w:tr>
    </w:tbl>
    <w:p w14:paraId="062482C3">
      <w:pPr>
        <w:pStyle w:val="2"/>
        <w:spacing w:line="198" w:lineRule="exact"/>
        <w:rPr>
          <w:sz w:val="17"/>
        </w:rPr>
      </w:pPr>
    </w:p>
    <w:p w14:paraId="7D07E61D">
      <w:pPr>
        <w:spacing w:line="198" w:lineRule="exact"/>
        <w:rPr>
          <w:sz w:val="17"/>
          <w:szCs w:val="17"/>
        </w:rPr>
        <w:sectPr>
          <w:footerReference r:id="rId88"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50F58A52">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72" w:hRule="atLeast"/>
        </w:trPr>
        <w:tc>
          <w:tcPr>
            <w:tcW w:w="477" w:type="dxa"/>
            <w:tcBorders>
              <w:right w:val="single" w:color="000000" w:sz="2" w:space="0"/>
            </w:tcBorders>
            <w:vAlign w:val="top"/>
          </w:tcPr>
          <w:p w14:paraId="68A71E4E">
            <w:pPr>
              <w:rPr>
                <w:rFonts w:ascii="Arial"/>
                <w:sz w:val="21"/>
              </w:rPr>
            </w:pPr>
          </w:p>
        </w:tc>
        <w:tc>
          <w:tcPr>
            <w:tcW w:w="8425" w:type="dxa"/>
            <w:tcBorders>
              <w:left w:val="single" w:color="000000" w:sz="2" w:space="0"/>
            </w:tcBorders>
            <w:vAlign w:val="top"/>
          </w:tcPr>
          <w:p w14:paraId="259CBCA8">
            <w:pPr>
              <w:pStyle w:val="6"/>
              <w:spacing w:before="21" w:line="219" w:lineRule="auto"/>
              <w:ind w:left="596"/>
            </w:pPr>
            <w:r>
              <w:rPr>
                <w:spacing w:val="-2"/>
              </w:rPr>
              <w:t>（</w:t>
            </w:r>
            <w:r>
              <w:rPr>
                <w:rFonts w:ascii="Times New Roman" w:hAnsi="Times New Roman" w:eastAsia="Times New Roman" w:cs="Times New Roman"/>
                <w:spacing w:val="-2"/>
              </w:rPr>
              <w:t>3</w:t>
            </w:r>
            <w:r>
              <w:rPr>
                <w:spacing w:val="-2"/>
              </w:rPr>
              <w:t>）地下水跟踪监测计划</w:t>
            </w:r>
          </w:p>
          <w:p w14:paraId="32AD97EC">
            <w:pPr>
              <w:pStyle w:val="6"/>
              <w:spacing w:before="181" w:line="350" w:lineRule="auto"/>
              <w:ind w:left="104" w:right="35" w:firstLine="480"/>
              <w:jc w:val="both"/>
            </w:pPr>
            <w:r>
              <w:t>针对本项目特征，根据《危险废物贮存污染控制标准》（</w:t>
            </w:r>
            <w:r>
              <w:rPr>
                <w:rFonts w:ascii="Times New Roman" w:hAnsi="Times New Roman" w:eastAsia="Times New Roman" w:cs="Times New Roman"/>
              </w:rPr>
              <w:t>GB18</w:t>
            </w:r>
            <w:r>
              <w:rPr>
                <w:rFonts w:ascii="Times New Roman" w:hAnsi="Times New Roman" w:eastAsia="Times New Roman" w:cs="Times New Roman"/>
                <w:spacing w:val="-1"/>
              </w:rPr>
              <w:t>597-2023</w:t>
            </w:r>
            <w:r>
              <w:rPr>
                <w:spacing w:val="-1"/>
              </w:rPr>
              <w:t>）</w:t>
            </w:r>
            <w:r>
              <w:t xml:space="preserve"> </w:t>
            </w:r>
            <w:r>
              <w:rPr>
                <w:spacing w:val="-4"/>
              </w:rPr>
              <w:t>的要求，在其运行期应建立地下水污染监控体系并按有关规范进行地下水监测，</w:t>
            </w:r>
            <w:r>
              <w:rPr>
                <w:spacing w:val="8"/>
              </w:rPr>
              <w:t xml:space="preserve"> </w:t>
            </w:r>
            <w:r>
              <w:rPr>
                <w:spacing w:val="-1"/>
              </w:rPr>
              <w:t>地下水监测应按以下要求进行：</w:t>
            </w:r>
          </w:p>
          <w:p w14:paraId="4E1EAA66">
            <w:pPr>
              <w:pStyle w:val="6"/>
              <w:spacing w:before="115" w:line="219" w:lineRule="auto"/>
              <w:ind w:left="603"/>
            </w:pPr>
            <w:r>
              <w:rPr>
                <w:rFonts w:ascii="Times New Roman" w:hAnsi="Times New Roman" w:eastAsia="Times New Roman" w:cs="Times New Roman"/>
                <w:spacing w:val="-3"/>
              </w:rPr>
              <w:t>1</w:t>
            </w:r>
            <w:r>
              <w:rPr>
                <w:spacing w:val="-3"/>
              </w:rPr>
              <w:t>）在地下水水流上游方向应设不少于</w:t>
            </w:r>
            <w:r>
              <w:rPr>
                <w:spacing w:val="-21"/>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4"/>
                <w:w w:val="101"/>
              </w:rPr>
              <w:t xml:space="preserve"> </w:t>
            </w:r>
            <w:r>
              <w:rPr>
                <w:spacing w:val="-3"/>
              </w:rPr>
              <w:t>眼地下水背景或对照监控井；</w:t>
            </w:r>
          </w:p>
          <w:p w14:paraId="0A435C3C">
            <w:pPr>
              <w:pStyle w:val="6"/>
              <w:spacing w:before="182" w:line="219" w:lineRule="auto"/>
              <w:ind w:left="580"/>
            </w:pPr>
            <w:r>
              <w:rPr>
                <w:rFonts w:ascii="Times New Roman" w:hAnsi="Times New Roman" w:eastAsia="Times New Roman" w:cs="Times New Roman"/>
                <w:spacing w:val="-3"/>
              </w:rPr>
              <w:t>2</w:t>
            </w:r>
            <w:r>
              <w:rPr>
                <w:spacing w:val="-3"/>
              </w:rPr>
              <w:t>）在厂区附近布设不少于</w:t>
            </w:r>
            <w:r>
              <w:rPr>
                <w:spacing w:val="-22"/>
              </w:rPr>
              <w:t xml:space="preserve"> </w:t>
            </w:r>
            <w:r>
              <w:rPr>
                <w:rFonts w:ascii="Times New Roman" w:hAnsi="Times New Roman" w:eastAsia="Times New Roman" w:cs="Times New Roman"/>
                <w:spacing w:val="-3"/>
              </w:rPr>
              <w:t>1</w:t>
            </w:r>
            <w:r>
              <w:rPr>
                <w:rFonts w:ascii="Times New Roman" w:hAnsi="Times New Roman" w:eastAsia="Times New Roman" w:cs="Times New Roman"/>
                <w:spacing w:val="24"/>
                <w:w w:val="101"/>
              </w:rPr>
              <w:t xml:space="preserve"> </w:t>
            </w:r>
            <w:r>
              <w:rPr>
                <w:spacing w:val="-3"/>
              </w:rPr>
              <w:t>眼地下水污染监控井；</w:t>
            </w:r>
          </w:p>
          <w:p w14:paraId="69994954">
            <w:pPr>
              <w:pStyle w:val="6"/>
              <w:spacing w:before="182" w:line="290" w:lineRule="auto"/>
              <w:ind w:left="104" w:right="97" w:firstLine="480"/>
            </w:pPr>
            <w:r>
              <w:rPr>
                <w:rFonts w:ascii="Times New Roman" w:hAnsi="Times New Roman" w:eastAsia="Times New Roman" w:cs="Times New Roman"/>
                <w:spacing w:val="-2"/>
              </w:rPr>
              <w:t>3</w:t>
            </w:r>
            <w:r>
              <w:rPr>
                <w:spacing w:val="-2"/>
              </w:rPr>
              <w:t>）在项目场地外可能受到影响的地下水环境敏感目标的</w:t>
            </w:r>
            <w:r>
              <w:rPr>
                <w:spacing w:val="-3"/>
              </w:rPr>
              <w:t>上游应至少布设眼</w:t>
            </w:r>
            <w:r>
              <w:t xml:space="preserve"> </w:t>
            </w:r>
            <w:r>
              <w:rPr>
                <w:spacing w:val="-2"/>
              </w:rPr>
              <w:t>地下水污染扩散井；</w:t>
            </w:r>
          </w:p>
          <w:p w14:paraId="0DCE8CB9">
            <w:pPr>
              <w:pStyle w:val="6"/>
              <w:spacing w:before="182" w:line="290" w:lineRule="auto"/>
              <w:ind w:left="124" w:right="97" w:firstLine="454"/>
            </w:pPr>
            <w:r>
              <w:rPr>
                <w:rFonts w:ascii="Times New Roman" w:hAnsi="Times New Roman" w:eastAsia="Times New Roman" w:cs="Times New Roman"/>
                <w:spacing w:val="-2"/>
              </w:rPr>
              <w:t>4</w:t>
            </w:r>
            <w:r>
              <w:rPr>
                <w:spacing w:val="-2"/>
              </w:rPr>
              <w:t>）以取水层为监测目的层，以浅层潜水含水层为主，并应考虑可能受</w:t>
            </w:r>
            <w:r>
              <w:rPr>
                <w:spacing w:val="-3"/>
              </w:rPr>
              <w:t>影响</w:t>
            </w:r>
            <w:r>
              <w:t xml:space="preserve"> </w:t>
            </w:r>
            <w:r>
              <w:rPr>
                <w:spacing w:val="-5"/>
              </w:rPr>
              <w:t>的承压含水层；</w:t>
            </w:r>
          </w:p>
          <w:p w14:paraId="6D4DA00F">
            <w:pPr>
              <w:pStyle w:val="6"/>
              <w:spacing w:before="183" w:line="220" w:lineRule="auto"/>
              <w:ind w:left="586"/>
            </w:pPr>
            <w:r>
              <w:rPr>
                <w:rFonts w:ascii="Times New Roman" w:hAnsi="Times New Roman" w:eastAsia="Times New Roman" w:cs="Times New Roman"/>
                <w:spacing w:val="-1"/>
              </w:rPr>
              <w:t>5</w:t>
            </w:r>
            <w:r>
              <w:rPr>
                <w:spacing w:val="-1"/>
              </w:rPr>
              <w:t>）在重点污染防治区加密监测。</w:t>
            </w:r>
          </w:p>
          <w:p w14:paraId="6DFA4F8F">
            <w:pPr>
              <w:pStyle w:val="6"/>
              <w:spacing w:before="181" w:line="290" w:lineRule="auto"/>
              <w:ind w:left="108" w:right="97" w:firstLine="477"/>
            </w:pPr>
            <w:r>
              <w:rPr>
                <w:rFonts w:ascii="Times New Roman" w:hAnsi="Times New Roman" w:eastAsia="Times New Roman" w:cs="Times New Roman"/>
                <w:spacing w:val="-2"/>
              </w:rPr>
              <w:t>6</w:t>
            </w:r>
            <w:r>
              <w:rPr>
                <w:spacing w:val="-2"/>
              </w:rPr>
              <w:t>）充分利用现有民井、监测井，污染事件发生后监测井</w:t>
            </w:r>
            <w:r>
              <w:rPr>
                <w:spacing w:val="-3"/>
              </w:rPr>
              <w:t>可以作为地下水污</w:t>
            </w:r>
            <w:r>
              <w:t xml:space="preserve"> </w:t>
            </w:r>
            <w:r>
              <w:rPr>
                <w:spacing w:val="-2"/>
              </w:rPr>
              <w:t>染事故应急处置的抽水井；</w:t>
            </w:r>
          </w:p>
          <w:p w14:paraId="4C87676B">
            <w:pPr>
              <w:pStyle w:val="6"/>
              <w:spacing w:before="181" w:line="325" w:lineRule="auto"/>
              <w:ind w:left="105" w:right="94" w:firstLine="478"/>
            </w:pPr>
            <w:r>
              <w:rPr>
                <w:rFonts w:ascii="Times New Roman" w:hAnsi="Times New Roman" w:eastAsia="Times New Roman" w:cs="Times New Roman"/>
                <w:spacing w:val="1"/>
              </w:rPr>
              <w:t>7</w:t>
            </w:r>
            <w:r>
              <w:rPr>
                <w:spacing w:val="1"/>
              </w:rPr>
              <w:t>）水质监测项目参照《地下水质量标准》（</w:t>
            </w:r>
            <w:r>
              <w:rPr>
                <w:rFonts w:ascii="Times New Roman" w:hAnsi="Times New Roman" w:eastAsia="Times New Roman" w:cs="Times New Roman"/>
              </w:rPr>
              <w:t>GB</w:t>
            </w:r>
            <w:r>
              <w:rPr>
                <w:rFonts w:ascii="Times New Roman" w:hAnsi="Times New Roman" w:eastAsia="Times New Roman" w:cs="Times New Roman"/>
                <w:spacing w:val="1"/>
              </w:rPr>
              <w:t>/T</w:t>
            </w:r>
            <w:r>
              <w:rPr>
                <w:rFonts w:ascii="Times New Roman" w:hAnsi="Times New Roman" w:eastAsia="Times New Roman" w:cs="Times New Roman"/>
                <w:spacing w:val="44"/>
              </w:rPr>
              <w:t xml:space="preserve"> </w:t>
            </w:r>
            <w:r>
              <w:rPr>
                <w:rFonts w:ascii="Times New Roman" w:hAnsi="Times New Roman" w:eastAsia="Times New Roman" w:cs="Times New Roman"/>
                <w:spacing w:val="1"/>
              </w:rPr>
              <w:t>14848-2017</w:t>
            </w:r>
            <w:r>
              <w:rPr>
                <w:spacing w:val="1"/>
              </w:rPr>
              <w:t>）相关要求</w:t>
            </w:r>
            <w:r>
              <w:t xml:space="preserve"> </w:t>
            </w:r>
            <w:r>
              <w:rPr>
                <w:spacing w:val="1"/>
              </w:rPr>
              <w:t>和潜在污染源特征污染因子确定，各监测井可依据监测目的不同适当增加和减</w:t>
            </w:r>
            <w:r>
              <w:rPr>
                <w:spacing w:val="14"/>
              </w:rPr>
              <w:t xml:space="preserve"> </w:t>
            </w:r>
            <w:r>
              <w:rPr>
                <w:spacing w:val="1"/>
              </w:rPr>
              <w:t>少监测项目。建设单位设立地下水动态监测小组，专人负责监测或者委托专业</w:t>
            </w:r>
            <w:r>
              <w:rPr>
                <w:spacing w:val="14"/>
              </w:rPr>
              <w:t xml:space="preserve"> </w:t>
            </w:r>
            <w:r>
              <w:rPr>
                <w:spacing w:val="-2"/>
              </w:rPr>
              <w:t>的机构分析。</w:t>
            </w:r>
          </w:p>
          <w:p w14:paraId="6A993CC2">
            <w:pPr>
              <w:pStyle w:val="6"/>
              <w:spacing w:before="185" w:line="289" w:lineRule="auto"/>
              <w:ind w:left="105" w:right="97" w:firstLine="490"/>
            </w:pPr>
            <w:r>
              <w:rPr>
                <w:spacing w:val="-3"/>
              </w:rPr>
              <w:t>（</w:t>
            </w:r>
            <w:r>
              <w:rPr>
                <w:rFonts w:ascii="Times New Roman" w:hAnsi="Times New Roman" w:eastAsia="Times New Roman" w:cs="Times New Roman"/>
                <w:spacing w:val="-3"/>
              </w:rPr>
              <w:t>8</w:t>
            </w:r>
            <w:r>
              <w:rPr>
                <w:spacing w:val="-3"/>
              </w:rPr>
              <w:t>）监测数据及时统计和汇总监测数据，按规定上报管理部门和存档，对</w:t>
            </w:r>
            <w:r>
              <w:rPr>
                <w:spacing w:val="14"/>
              </w:rPr>
              <w:t xml:space="preserve"> </w:t>
            </w:r>
            <w:r>
              <w:rPr>
                <w:spacing w:val="-1"/>
              </w:rPr>
              <w:t>监测中发现的问题应上报环境管理部门，以便及时采取对策。</w:t>
            </w:r>
          </w:p>
          <w:p w14:paraId="79FFE58B">
            <w:pPr>
              <w:pStyle w:val="6"/>
              <w:spacing w:before="183" w:line="219" w:lineRule="auto"/>
              <w:ind w:left="2263"/>
            </w:pPr>
            <w:r>
              <w:rPr>
                <w:b/>
                <w:bCs/>
                <w:spacing w:val="-3"/>
              </w:rPr>
              <w:t>表</w:t>
            </w:r>
            <w:r>
              <w:rPr>
                <w:spacing w:val="-39"/>
              </w:rPr>
              <w:t xml:space="preserve"> </w:t>
            </w:r>
            <w:r>
              <w:rPr>
                <w:b/>
                <w:bCs/>
                <w:spacing w:val="-3"/>
              </w:rPr>
              <w:t>4-13</w:t>
            </w:r>
            <w:r>
              <w:rPr>
                <w:spacing w:val="-3"/>
              </w:rPr>
              <w:t xml:space="preserve">   </w:t>
            </w:r>
            <w:r>
              <w:rPr>
                <w:b/>
                <w:bCs/>
                <w:spacing w:val="-3"/>
              </w:rPr>
              <w:t>地下水监测井布设情况</w:t>
            </w:r>
          </w:p>
          <w:p w14:paraId="40AAEDC9">
            <w:pPr>
              <w:spacing w:line="69" w:lineRule="exact"/>
            </w:pPr>
          </w:p>
          <w:tbl>
            <w:tblPr>
              <w:tblStyle w:val="5"/>
              <w:tblW w:w="7914" w:type="dxa"/>
              <w:tblInd w:w="246"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66"/>
              <w:gridCol w:w="1200"/>
              <w:gridCol w:w="502"/>
              <w:gridCol w:w="685"/>
              <w:gridCol w:w="714"/>
              <w:gridCol w:w="590"/>
              <w:gridCol w:w="2287"/>
              <w:gridCol w:w="758"/>
              <w:gridCol w:w="712"/>
            </w:tblGrid>
            <w:tr w14:paraId="636D71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466" w:type="dxa"/>
                  <w:tcBorders>
                    <w:left w:val="nil"/>
                  </w:tcBorders>
                  <w:textDirection w:val="tbRlV"/>
                  <w:vAlign w:val="top"/>
                </w:tcPr>
                <w:p w14:paraId="673AB6C0">
                  <w:pPr>
                    <w:pStyle w:val="6"/>
                    <w:spacing w:before="127" w:line="217" w:lineRule="auto"/>
                    <w:ind w:left="64"/>
                    <w:rPr>
                      <w:sz w:val="20"/>
                      <w:szCs w:val="20"/>
                    </w:rPr>
                  </w:pPr>
                  <w:r>
                    <w:rPr>
                      <w:spacing w:val="8"/>
                      <w:sz w:val="20"/>
                      <w:szCs w:val="20"/>
                    </w:rPr>
                    <w:t>点</w:t>
                  </w:r>
                  <w:r>
                    <w:rPr>
                      <w:spacing w:val="-9"/>
                      <w:sz w:val="20"/>
                      <w:szCs w:val="20"/>
                    </w:rPr>
                    <w:t xml:space="preserve"> </w:t>
                  </w:r>
                  <w:r>
                    <w:rPr>
                      <w:spacing w:val="8"/>
                      <w:sz w:val="20"/>
                      <w:szCs w:val="20"/>
                    </w:rPr>
                    <w:t>位</w:t>
                  </w:r>
                </w:p>
              </w:tc>
              <w:tc>
                <w:tcPr>
                  <w:tcW w:w="1200" w:type="dxa"/>
                  <w:vAlign w:val="top"/>
                </w:tcPr>
                <w:p w14:paraId="302459AD">
                  <w:pPr>
                    <w:pStyle w:val="6"/>
                    <w:spacing w:before="213" w:line="228" w:lineRule="auto"/>
                    <w:ind w:left="397"/>
                    <w:rPr>
                      <w:sz w:val="20"/>
                      <w:szCs w:val="20"/>
                    </w:rPr>
                  </w:pPr>
                  <w:r>
                    <w:rPr>
                      <w:spacing w:val="4"/>
                      <w:sz w:val="20"/>
                      <w:szCs w:val="20"/>
                    </w:rPr>
                    <w:t>坐标</w:t>
                  </w:r>
                </w:p>
              </w:tc>
              <w:tc>
                <w:tcPr>
                  <w:tcW w:w="502" w:type="dxa"/>
                  <w:vAlign w:val="top"/>
                </w:tcPr>
                <w:p w14:paraId="592D802E">
                  <w:pPr>
                    <w:pStyle w:val="6"/>
                    <w:spacing w:before="213" w:line="229" w:lineRule="auto"/>
                    <w:ind w:left="47"/>
                    <w:rPr>
                      <w:sz w:val="20"/>
                      <w:szCs w:val="20"/>
                    </w:rPr>
                  </w:pPr>
                  <w:r>
                    <w:rPr>
                      <w:spacing w:val="4"/>
                      <w:sz w:val="20"/>
                      <w:szCs w:val="20"/>
                    </w:rPr>
                    <w:t>方位</w:t>
                  </w:r>
                </w:p>
              </w:tc>
              <w:tc>
                <w:tcPr>
                  <w:tcW w:w="685" w:type="dxa"/>
                  <w:vAlign w:val="top"/>
                </w:tcPr>
                <w:p w14:paraId="1A500D02">
                  <w:pPr>
                    <w:pStyle w:val="6"/>
                    <w:spacing w:before="29" w:line="280" w:lineRule="exact"/>
                    <w:ind w:left="98"/>
                    <w:rPr>
                      <w:rFonts w:ascii="Calibri" w:hAnsi="Calibri" w:eastAsia="Calibri" w:cs="Calibri"/>
                      <w:sz w:val="20"/>
                      <w:szCs w:val="20"/>
                    </w:rPr>
                  </w:pPr>
                  <w:r>
                    <w:rPr>
                      <w:spacing w:val="5"/>
                      <w:position w:val="2"/>
                      <w:sz w:val="20"/>
                      <w:szCs w:val="20"/>
                    </w:rPr>
                    <w:t>井深</w:t>
                  </w:r>
                  <w:r>
                    <w:rPr>
                      <w:rFonts w:ascii="Calibri" w:hAnsi="Calibri" w:eastAsia="Calibri" w:cs="Calibri"/>
                      <w:spacing w:val="5"/>
                      <w:position w:val="2"/>
                      <w:sz w:val="20"/>
                      <w:szCs w:val="20"/>
                    </w:rPr>
                    <w:t>/</w:t>
                  </w:r>
                </w:p>
                <w:p w14:paraId="73FF9E6E">
                  <w:pPr>
                    <w:spacing w:before="134" w:line="154" w:lineRule="exact"/>
                    <w:ind w:left="271"/>
                    <w:rPr>
                      <w:rFonts w:ascii="Calibri" w:hAnsi="Calibri" w:eastAsia="Calibri" w:cs="Calibri"/>
                      <w:sz w:val="20"/>
                      <w:szCs w:val="20"/>
                    </w:rPr>
                  </w:pPr>
                  <w:r>
                    <w:rPr>
                      <w:rFonts w:ascii="Calibri" w:hAnsi="Calibri" w:eastAsia="Calibri" w:cs="Calibri"/>
                      <w:sz w:val="20"/>
                      <w:szCs w:val="20"/>
                    </w:rPr>
                    <w:t>m</w:t>
                  </w:r>
                </w:p>
              </w:tc>
              <w:tc>
                <w:tcPr>
                  <w:tcW w:w="714" w:type="dxa"/>
                  <w:vAlign w:val="top"/>
                </w:tcPr>
                <w:p w14:paraId="46503640">
                  <w:pPr>
                    <w:pStyle w:val="6"/>
                    <w:spacing w:before="213" w:line="228" w:lineRule="auto"/>
                    <w:ind w:left="49"/>
                    <w:rPr>
                      <w:sz w:val="20"/>
                      <w:szCs w:val="20"/>
                    </w:rPr>
                  </w:pPr>
                  <w:r>
                    <w:rPr>
                      <w:spacing w:val="6"/>
                      <w:sz w:val="20"/>
                      <w:szCs w:val="20"/>
                    </w:rPr>
                    <w:t>井结构</w:t>
                  </w:r>
                </w:p>
              </w:tc>
              <w:tc>
                <w:tcPr>
                  <w:tcW w:w="590" w:type="dxa"/>
                  <w:vAlign w:val="top"/>
                </w:tcPr>
                <w:p w14:paraId="79B31637">
                  <w:pPr>
                    <w:pStyle w:val="6"/>
                    <w:spacing w:before="64" w:line="246" w:lineRule="auto"/>
                    <w:ind w:left="91" w:right="83"/>
                    <w:rPr>
                      <w:sz w:val="20"/>
                      <w:szCs w:val="20"/>
                    </w:rPr>
                  </w:pPr>
                  <w:r>
                    <w:rPr>
                      <w:spacing w:val="4"/>
                      <w:sz w:val="20"/>
                      <w:szCs w:val="20"/>
                    </w:rPr>
                    <w:t>监测</w:t>
                  </w:r>
                  <w:r>
                    <w:rPr>
                      <w:sz w:val="20"/>
                      <w:szCs w:val="20"/>
                    </w:rPr>
                    <w:t xml:space="preserve"> </w:t>
                  </w:r>
                  <w:r>
                    <w:rPr>
                      <w:spacing w:val="4"/>
                      <w:sz w:val="20"/>
                      <w:szCs w:val="20"/>
                    </w:rPr>
                    <w:t>层位</w:t>
                  </w:r>
                </w:p>
              </w:tc>
              <w:tc>
                <w:tcPr>
                  <w:tcW w:w="2287" w:type="dxa"/>
                  <w:vAlign w:val="top"/>
                </w:tcPr>
                <w:p w14:paraId="6B26ABF2">
                  <w:pPr>
                    <w:pStyle w:val="6"/>
                    <w:spacing w:before="213" w:line="228" w:lineRule="auto"/>
                    <w:ind w:left="731"/>
                    <w:rPr>
                      <w:sz w:val="20"/>
                      <w:szCs w:val="20"/>
                    </w:rPr>
                  </w:pPr>
                  <w:r>
                    <w:rPr>
                      <w:spacing w:val="7"/>
                      <w:sz w:val="20"/>
                      <w:szCs w:val="20"/>
                    </w:rPr>
                    <w:t>监测因子</w:t>
                  </w:r>
                </w:p>
              </w:tc>
              <w:tc>
                <w:tcPr>
                  <w:tcW w:w="758" w:type="dxa"/>
                  <w:vAlign w:val="top"/>
                </w:tcPr>
                <w:p w14:paraId="268C8649">
                  <w:pPr>
                    <w:pStyle w:val="6"/>
                    <w:spacing w:before="64" w:line="246" w:lineRule="auto"/>
                    <w:ind w:left="177" w:right="167"/>
                    <w:rPr>
                      <w:sz w:val="20"/>
                      <w:szCs w:val="20"/>
                    </w:rPr>
                  </w:pPr>
                  <w:r>
                    <w:rPr>
                      <w:spacing w:val="4"/>
                      <w:sz w:val="20"/>
                      <w:szCs w:val="20"/>
                    </w:rPr>
                    <w:t>监测</w:t>
                  </w:r>
                  <w:r>
                    <w:rPr>
                      <w:sz w:val="20"/>
                      <w:szCs w:val="20"/>
                    </w:rPr>
                    <w:t xml:space="preserve"> </w:t>
                  </w:r>
                  <w:r>
                    <w:rPr>
                      <w:spacing w:val="4"/>
                      <w:sz w:val="20"/>
                      <w:szCs w:val="20"/>
                    </w:rPr>
                    <w:t>频次</w:t>
                  </w:r>
                </w:p>
              </w:tc>
              <w:tc>
                <w:tcPr>
                  <w:tcW w:w="712" w:type="dxa"/>
                  <w:tcBorders>
                    <w:right w:val="nil"/>
                  </w:tcBorders>
                  <w:vAlign w:val="top"/>
                </w:tcPr>
                <w:p w14:paraId="679B944C">
                  <w:pPr>
                    <w:pStyle w:val="6"/>
                    <w:spacing w:before="64" w:line="246" w:lineRule="auto"/>
                    <w:ind w:left="155" w:right="147" w:hanging="3"/>
                    <w:rPr>
                      <w:sz w:val="20"/>
                      <w:szCs w:val="20"/>
                    </w:rPr>
                  </w:pPr>
                  <w:r>
                    <w:rPr>
                      <w:spacing w:val="4"/>
                      <w:sz w:val="20"/>
                      <w:szCs w:val="20"/>
                    </w:rPr>
                    <w:t>基本</w:t>
                  </w:r>
                  <w:r>
                    <w:rPr>
                      <w:sz w:val="20"/>
                      <w:szCs w:val="20"/>
                    </w:rPr>
                    <w:t xml:space="preserve"> </w:t>
                  </w:r>
                  <w:r>
                    <w:rPr>
                      <w:spacing w:val="3"/>
                      <w:sz w:val="20"/>
                      <w:szCs w:val="20"/>
                    </w:rPr>
                    <w:t>功能</w:t>
                  </w:r>
                </w:p>
              </w:tc>
            </w:tr>
            <w:tr w14:paraId="4F0F2F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06" w:hRule="atLeast"/>
              </w:trPr>
              <w:tc>
                <w:tcPr>
                  <w:tcW w:w="466" w:type="dxa"/>
                  <w:tcBorders>
                    <w:left w:val="nil"/>
                  </w:tcBorders>
                  <w:vAlign w:val="top"/>
                </w:tcPr>
                <w:p w14:paraId="2D23B5C9">
                  <w:pPr>
                    <w:spacing w:line="272" w:lineRule="auto"/>
                    <w:rPr>
                      <w:rFonts w:ascii="Arial"/>
                      <w:sz w:val="21"/>
                    </w:rPr>
                  </w:pPr>
                </w:p>
                <w:p w14:paraId="5425B15E">
                  <w:pPr>
                    <w:spacing w:line="272" w:lineRule="auto"/>
                    <w:rPr>
                      <w:rFonts w:ascii="Arial"/>
                      <w:sz w:val="21"/>
                    </w:rPr>
                  </w:pPr>
                </w:p>
                <w:p w14:paraId="27B347DA">
                  <w:pPr>
                    <w:spacing w:line="272" w:lineRule="auto"/>
                    <w:rPr>
                      <w:rFonts w:ascii="Arial"/>
                      <w:sz w:val="21"/>
                    </w:rPr>
                  </w:pPr>
                </w:p>
                <w:p w14:paraId="4E1C3086">
                  <w:pPr>
                    <w:spacing w:line="273" w:lineRule="auto"/>
                    <w:rPr>
                      <w:rFonts w:ascii="Arial"/>
                      <w:sz w:val="21"/>
                    </w:rPr>
                  </w:pPr>
                </w:p>
                <w:p w14:paraId="1DFF1936">
                  <w:pPr>
                    <w:spacing w:before="61" w:line="185" w:lineRule="auto"/>
                    <w:ind w:left="145"/>
                    <w:rPr>
                      <w:rFonts w:ascii="Calibri" w:hAnsi="Calibri" w:eastAsia="Calibri" w:cs="Calibri"/>
                      <w:sz w:val="20"/>
                      <w:szCs w:val="20"/>
                    </w:rPr>
                  </w:pPr>
                  <w:r>
                    <w:rPr>
                      <w:rFonts w:ascii="Calibri" w:hAnsi="Calibri" w:eastAsia="Calibri" w:cs="Calibri"/>
                      <w:spacing w:val="-5"/>
                      <w:sz w:val="20"/>
                      <w:szCs w:val="20"/>
                    </w:rPr>
                    <w:t>1#</w:t>
                  </w:r>
                </w:p>
              </w:tc>
              <w:tc>
                <w:tcPr>
                  <w:tcW w:w="1200" w:type="dxa"/>
                  <w:vAlign w:val="top"/>
                </w:tcPr>
                <w:p w14:paraId="3626CBE7">
                  <w:pPr>
                    <w:spacing w:line="303" w:lineRule="auto"/>
                    <w:rPr>
                      <w:rFonts w:ascii="Arial"/>
                      <w:sz w:val="21"/>
                    </w:rPr>
                  </w:pPr>
                </w:p>
                <w:p w14:paraId="348AA111">
                  <w:pPr>
                    <w:spacing w:line="303" w:lineRule="auto"/>
                    <w:rPr>
                      <w:rFonts w:ascii="Arial"/>
                      <w:sz w:val="21"/>
                    </w:rPr>
                  </w:pPr>
                </w:p>
                <w:p w14:paraId="3C9155C3">
                  <w:pPr>
                    <w:pStyle w:val="6"/>
                    <w:spacing w:before="65" w:line="276" w:lineRule="auto"/>
                    <w:ind w:left="84" w:right="76" w:firstLine="7"/>
                    <w:rPr>
                      <w:sz w:val="20"/>
                      <w:szCs w:val="20"/>
                    </w:rPr>
                  </w:pPr>
                  <w:r>
                    <w:rPr>
                      <w:rFonts w:ascii="Calibri" w:hAnsi="Calibri" w:eastAsia="Calibri" w:cs="Calibri"/>
                      <w:spacing w:val="-5"/>
                      <w:sz w:val="20"/>
                      <w:szCs w:val="20"/>
                    </w:rPr>
                    <w:t>E</w:t>
                  </w:r>
                  <w:r>
                    <w:rPr>
                      <w:spacing w:val="-5"/>
                      <w:sz w:val="20"/>
                      <w:szCs w:val="20"/>
                    </w:rPr>
                    <w:t>124</w:t>
                  </w:r>
                  <w:r>
                    <w:rPr>
                      <w:spacing w:val="-69"/>
                      <w:sz w:val="20"/>
                      <w:szCs w:val="20"/>
                    </w:rPr>
                    <w:t xml:space="preserve"> </w:t>
                  </w:r>
                  <w:r>
                    <w:rPr>
                      <w:spacing w:val="-5"/>
                      <w:sz w:val="20"/>
                      <w:szCs w:val="20"/>
                    </w:rPr>
                    <w:t>°49</w:t>
                  </w:r>
                  <w:r>
                    <w:rPr>
                      <w:spacing w:val="-64"/>
                      <w:sz w:val="20"/>
                      <w:szCs w:val="20"/>
                    </w:rPr>
                    <w:t xml:space="preserve"> </w:t>
                  </w:r>
                  <w:r>
                    <w:rPr>
                      <w:spacing w:val="-5"/>
                      <w:sz w:val="20"/>
                      <w:szCs w:val="20"/>
                    </w:rPr>
                    <w:t>′</w:t>
                  </w:r>
                  <w:r>
                    <w:rPr>
                      <w:sz w:val="20"/>
                      <w:szCs w:val="20"/>
                    </w:rPr>
                    <w:t xml:space="preserve"> </w:t>
                  </w:r>
                  <w:r>
                    <w:rPr>
                      <w:spacing w:val="-4"/>
                      <w:sz w:val="20"/>
                      <w:szCs w:val="20"/>
                    </w:rPr>
                    <w:t>35.554</w:t>
                  </w:r>
                  <w:r>
                    <w:rPr>
                      <w:spacing w:val="-60"/>
                      <w:sz w:val="20"/>
                      <w:szCs w:val="20"/>
                    </w:rPr>
                    <w:t xml:space="preserve"> </w:t>
                  </w:r>
                  <w:r>
                    <w:rPr>
                      <w:spacing w:val="-4"/>
                      <w:sz w:val="20"/>
                      <w:szCs w:val="20"/>
                    </w:rPr>
                    <w:t>″</w:t>
                  </w:r>
                  <w:r>
                    <w:rPr>
                      <w:spacing w:val="-75"/>
                      <w:sz w:val="20"/>
                      <w:szCs w:val="20"/>
                    </w:rPr>
                    <w:t xml:space="preserve"> </w:t>
                  </w:r>
                  <w:r>
                    <w:rPr>
                      <w:spacing w:val="-4"/>
                      <w:sz w:val="20"/>
                      <w:szCs w:val="20"/>
                    </w:rPr>
                    <w:t>，</w:t>
                  </w:r>
                  <w:r>
                    <w:rPr>
                      <w:sz w:val="20"/>
                      <w:szCs w:val="20"/>
                    </w:rPr>
                    <w:t xml:space="preserve"> </w:t>
                  </w:r>
                  <w:r>
                    <w:rPr>
                      <w:rFonts w:ascii="Calibri" w:hAnsi="Calibri" w:eastAsia="Calibri" w:cs="Calibri"/>
                      <w:spacing w:val="5"/>
                      <w:sz w:val="20"/>
                      <w:szCs w:val="20"/>
                    </w:rPr>
                    <w:t>N</w:t>
                  </w:r>
                  <w:r>
                    <w:rPr>
                      <w:spacing w:val="5"/>
                      <w:sz w:val="20"/>
                      <w:szCs w:val="20"/>
                    </w:rPr>
                    <w:t>47</w:t>
                  </w:r>
                  <w:r>
                    <w:rPr>
                      <w:spacing w:val="-75"/>
                      <w:sz w:val="20"/>
                      <w:szCs w:val="20"/>
                    </w:rPr>
                    <w:t xml:space="preserve"> </w:t>
                  </w:r>
                  <w:r>
                    <w:rPr>
                      <w:spacing w:val="5"/>
                      <w:sz w:val="20"/>
                      <w:szCs w:val="20"/>
                    </w:rPr>
                    <w:t>°09</w:t>
                  </w:r>
                  <w:r>
                    <w:rPr>
                      <w:spacing w:val="-64"/>
                      <w:sz w:val="20"/>
                      <w:szCs w:val="20"/>
                    </w:rPr>
                    <w:t xml:space="preserve"> </w:t>
                  </w:r>
                  <w:r>
                    <w:rPr>
                      <w:spacing w:val="5"/>
                      <w:sz w:val="20"/>
                      <w:szCs w:val="20"/>
                    </w:rPr>
                    <w:t>′</w:t>
                  </w:r>
                </w:p>
                <w:p w14:paraId="399BE1AA">
                  <w:pPr>
                    <w:pStyle w:val="6"/>
                    <w:spacing w:before="1" w:line="207" w:lineRule="auto"/>
                    <w:ind w:left="189"/>
                    <w:rPr>
                      <w:sz w:val="20"/>
                      <w:szCs w:val="20"/>
                    </w:rPr>
                  </w:pPr>
                  <w:r>
                    <w:rPr>
                      <w:spacing w:val="2"/>
                      <w:sz w:val="20"/>
                      <w:szCs w:val="20"/>
                    </w:rPr>
                    <w:t>30.827</w:t>
                  </w:r>
                  <w:r>
                    <w:rPr>
                      <w:spacing w:val="-58"/>
                      <w:sz w:val="20"/>
                      <w:szCs w:val="20"/>
                    </w:rPr>
                    <w:t xml:space="preserve"> </w:t>
                  </w:r>
                  <w:r>
                    <w:rPr>
                      <w:spacing w:val="2"/>
                      <w:sz w:val="20"/>
                      <w:szCs w:val="20"/>
                    </w:rPr>
                    <w:t>″</w:t>
                  </w:r>
                </w:p>
              </w:tc>
              <w:tc>
                <w:tcPr>
                  <w:tcW w:w="502" w:type="dxa"/>
                  <w:vAlign w:val="top"/>
                </w:tcPr>
                <w:p w14:paraId="054B73DE">
                  <w:pPr>
                    <w:spacing w:line="247" w:lineRule="auto"/>
                    <w:rPr>
                      <w:rFonts w:ascii="Arial"/>
                      <w:sz w:val="21"/>
                    </w:rPr>
                  </w:pPr>
                </w:p>
                <w:p w14:paraId="6AD2CD74">
                  <w:pPr>
                    <w:spacing w:line="248" w:lineRule="auto"/>
                    <w:rPr>
                      <w:rFonts w:ascii="Arial"/>
                      <w:sz w:val="21"/>
                    </w:rPr>
                  </w:pPr>
                </w:p>
                <w:p w14:paraId="75B34C0E">
                  <w:pPr>
                    <w:spacing w:line="248" w:lineRule="auto"/>
                    <w:rPr>
                      <w:rFonts w:ascii="Arial"/>
                      <w:sz w:val="21"/>
                    </w:rPr>
                  </w:pPr>
                </w:p>
                <w:p w14:paraId="35F8EF7A">
                  <w:pPr>
                    <w:pStyle w:val="6"/>
                    <w:spacing w:before="65" w:line="267" w:lineRule="auto"/>
                    <w:ind w:left="50" w:right="41" w:hanging="2"/>
                    <w:jc w:val="both"/>
                    <w:rPr>
                      <w:sz w:val="20"/>
                      <w:szCs w:val="20"/>
                    </w:rPr>
                  </w:pPr>
                  <w:r>
                    <w:rPr>
                      <w:spacing w:val="3"/>
                      <w:sz w:val="20"/>
                      <w:szCs w:val="20"/>
                    </w:rPr>
                    <w:t>厂区</w:t>
                  </w:r>
                  <w:r>
                    <w:rPr>
                      <w:sz w:val="20"/>
                      <w:szCs w:val="20"/>
                    </w:rPr>
                    <w:t xml:space="preserve"> </w:t>
                  </w:r>
                  <w:r>
                    <w:rPr>
                      <w:spacing w:val="2"/>
                      <w:sz w:val="20"/>
                      <w:szCs w:val="20"/>
                    </w:rPr>
                    <w:t>西南</w:t>
                  </w:r>
                  <w:r>
                    <w:rPr>
                      <w:sz w:val="20"/>
                      <w:szCs w:val="20"/>
                    </w:rPr>
                    <w:t xml:space="preserve"> </w:t>
                  </w:r>
                  <w:r>
                    <w:rPr>
                      <w:spacing w:val="25"/>
                      <w:w w:val="138"/>
                      <w:sz w:val="20"/>
                      <w:szCs w:val="20"/>
                    </w:rPr>
                    <w:t>侧</w:t>
                  </w:r>
                </w:p>
              </w:tc>
              <w:tc>
                <w:tcPr>
                  <w:tcW w:w="685" w:type="dxa"/>
                  <w:vAlign w:val="top"/>
                </w:tcPr>
                <w:p w14:paraId="414661CB">
                  <w:pPr>
                    <w:spacing w:line="272" w:lineRule="auto"/>
                    <w:rPr>
                      <w:rFonts w:ascii="Arial"/>
                      <w:sz w:val="21"/>
                    </w:rPr>
                  </w:pPr>
                </w:p>
                <w:p w14:paraId="64B8A7CF">
                  <w:pPr>
                    <w:spacing w:line="272" w:lineRule="auto"/>
                    <w:rPr>
                      <w:rFonts w:ascii="Arial"/>
                      <w:sz w:val="21"/>
                    </w:rPr>
                  </w:pPr>
                </w:p>
                <w:p w14:paraId="691CECE7">
                  <w:pPr>
                    <w:spacing w:line="272" w:lineRule="auto"/>
                    <w:rPr>
                      <w:rFonts w:ascii="Arial"/>
                      <w:sz w:val="21"/>
                    </w:rPr>
                  </w:pPr>
                </w:p>
                <w:p w14:paraId="10707D2B">
                  <w:pPr>
                    <w:spacing w:line="273" w:lineRule="auto"/>
                    <w:rPr>
                      <w:rFonts w:ascii="Arial"/>
                      <w:sz w:val="21"/>
                    </w:rPr>
                  </w:pPr>
                </w:p>
                <w:p w14:paraId="2151E83E">
                  <w:pPr>
                    <w:spacing w:before="61" w:line="185" w:lineRule="auto"/>
                    <w:ind w:left="252"/>
                    <w:rPr>
                      <w:rFonts w:ascii="Calibri" w:hAnsi="Calibri" w:eastAsia="Calibri" w:cs="Calibri"/>
                      <w:sz w:val="20"/>
                      <w:szCs w:val="20"/>
                    </w:rPr>
                  </w:pPr>
                  <w:r>
                    <w:rPr>
                      <w:rFonts w:ascii="Calibri" w:hAnsi="Calibri" w:eastAsia="Calibri" w:cs="Calibri"/>
                      <w:spacing w:val="-5"/>
                      <w:sz w:val="20"/>
                      <w:szCs w:val="20"/>
                    </w:rPr>
                    <w:t>15</w:t>
                  </w:r>
                </w:p>
              </w:tc>
              <w:tc>
                <w:tcPr>
                  <w:tcW w:w="714" w:type="dxa"/>
                  <w:vAlign w:val="top"/>
                </w:tcPr>
                <w:p w14:paraId="6AD4D70E">
                  <w:pPr>
                    <w:spacing w:line="297" w:lineRule="auto"/>
                    <w:rPr>
                      <w:rFonts w:ascii="Arial"/>
                      <w:sz w:val="21"/>
                    </w:rPr>
                  </w:pPr>
                </w:p>
                <w:p w14:paraId="2ED5FD09">
                  <w:pPr>
                    <w:spacing w:line="297" w:lineRule="auto"/>
                    <w:rPr>
                      <w:rFonts w:ascii="Arial"/>
                      <w:sz w:val="21"/>
                    </w:rPr>
                  </w:pPr>
                </w:p>
                <w:p w14:paraId="38E71263">
                  <w:pPr>
                    <w:spacing w:line="297" w:lineRule="auto"/>
                    <w:rPr>
                      <w:rFonts w:ascii="Arial"/>
                      <w:sz w:val="21"/>
                    </w:rPr>
                  </w:pPr>
                </w:p>
                <w:p w14:paraId="7159B599">
                  <w:pPr>
                    <w:pStyle w:val="6"/>
                    <w:spacing w:before="65" w:line="262" w:lineRule="auto"/>
                    <w:ind w:left="154" w:right="146"/>
                    <w:rPr>
                      <w:sz w:val="20"/>
                      <w:szCs w:val="20"/>
                    </w:rPr>
                  </w:pPr>
                  <w:r>
                    <w:rPr>
                      <w:spacing w:val="3"/>
                      <w:sz w:val="20"/>
                      <w:szCs w:val="20"/>
                    </w:rPr>
                    <w:t>单管</w:t>
                  </w:r>
                  <w:r>
                    <w:rPr>
                      <w:sz w:val="20"/>
                      <w:szCs w:val="20"/>
                    </w:rPr>
                    <w:t xml:space="preserve"> </w:t>
                  </w:r>
                  <w:r>
                    <w:rPr>
                      <w:spacing w:val="3"/>
                      <w:sz w:val="20"/>
                      <w:szCs w:val="20"/>
                    </w:rPr>
                    <w:t>单层</w:t>
                  </w:r>
                </w:p>
              </w:tc>
              <w:tc>
                <w:tcPr>
                  <w:tcW w:w="590" w:type="dxa"/>
                  <w:vAlign w:val="top"/>
                </w:tcPr>
                <w:p w14:paraId="3B97AD76">
                  <w:pPr>
                    <w:spacing w:line="260" w:lineRule="auto"/>
                    <w:rPr>
                      <w:rFonts w:ascii="Arial"/>
                      <w:sz w:val="21"/>
                    </w:rPr>
                  </w:pPr>
                </w:p>
                <w:p w14:paraId="20116E09">
                  <w:pPr>
                    <w:spacing w:line="260" w:lineRule="auto"/>
                    <w:rPr>
                      <w:rFonts w:ascii="Arial"/>
                      <w:sz w:val="21"/>
                    </w:rPr>
                  </w:pPr>
                </w:p>
                <w:p w14:paraId="2F822CCB">
                  <w:pPr>
                    <w:spacing w:line="260" w:lineRule="auto"/>
                    <w:rPr>
                      <w:rFonts w:ascii="Arial"/>
                      <w:sz w:val="21"/>
                    </w:rPr>
                  </w:pPr>
                </w:p>
                <w:p w14:paraId="0C7808CE">
                  <w:pPr>
                    <w:spacing w:line="260" w:lineRule="auto"/>
                    <w:rPr>
                      <w:rFonts w:ascii="Arial"/>
                      <w:sz w:val="21"/>
                    </w:rPr>
                  </w:pPr>
                </w:p>
                <w:p w14:paraId="0918473E">
                  <w:pPr>
                    <w:pStyle w:val="6"/>
                    <w:spacing w:before="65" w:line="228" w:lineRule="auto"/>
                    <w:ind w:left="90"/>
                    <w:rPr>
                      <w:sz w:val="20"/>
                      <w:szCs w:val="20"/>
                    </w:rPr>
                  </w:pPr>
                  <w:r>
                    <w:rPr>
                      <w:spacing w:val="5"/>
                      <w:sz w:val="20"/>
                      <w:szCs w:val="20"/>
                    </w:rPr>
                    <w:t>潜水</w:t>
                  </w:r>
                </w:p>
              </w:tc>
              <w:tc>
                <w:tcPr>
                  <w:tcW w:w="2287" w:type="dxa"/>
                  <w:vAlign w:val="top"/>
                </w:tcPr>
                <w:p w14:paraId="07AB60E3">
                  <w:pPr>
                    <w:pStyle w:val="6"/>
                    <w:spacing w:before="64" w:line="272" w:lineRule="auto"/>
                    <w:ind w:left="33" w:firstLine="53"/>
                    <w:rPr>
                      <w:sz w:val="20"/>
                      <w:szCs w:val="20"/>
                    </w:rPr>
                  </w:pPr>
                  <w:r>
                    <w:rPr>
                      <w:spacing w:val="4"/>
                      <w:sz w:val="20"/>
                      <w:szCs w:val="20"/>
                    </w:rPr>
                    <w:t>必测项目：</w:t>
                  </w:r>
                  <w:r>
                    <w:rPr>
                      <w:rFonts w:ascii="Calibri" w:hAnsi="Calibri" w:eastAsia="Calibri" w:cs="Calibri"/>
                      <w:sz w:val="20"/>
                      <w:szCs w:val="20"/>
                    </w:rPr>
                    <w:t>pH</w:t>
                  </w:r>
                  <w:r>
                    <w:rPr>
                      <w:rFonts w:ascii="Calibri" w:hAnsi="Calibri" w:eastAsia="Calibri" w:cs="Calibri"/>
                      <w:spacing w:val="-19"/>
                      <w:sz w:val="20"/>
                      <w:szCs w:val="20"/>
                    </w:rPr>
                    <w:t xml:space="preserve"> </w:t>
                  </w:r>
                  <w:r>
                    <w:rPr>
                      <w:spacing w:val="4"/>
                      <w:sz w:val="20"/>
                      <w:szCs w:val="20"/>
                    </w:rPr>
                    <w:t>、氨氮、</w:t>
                  </w:r>
                  <w:r>
                    <w:rPr>
                      <w:sz w:val="20"/>
                      <w:szCs w:val="20"/>
                    </w:rPr>
                    <w:t xml:space="preserve">  </w:t>
                  </w:r>
                  <w:r>
                    <w:rPr>
                      <w:spacing w:val="-2"/>
                      <w:sz w:val="20"/>
                      <w:szCs w:val="20"/>
                    </w:rPr>
                    <w:t>硝酸盐、亚硝酸盐、挥发</w:t>
                  </w:r>
                  <w:r>
                    <w:rPr>
                      <w:sz w:val="20"/>
                      <w:szCs w:val="20"/>
                    </w:rPr>
                    <w:t xml:space="preserve"> </w:t>
                  </w:r>
                  <w:r>
                    <w:rPr>
                      <w:spacing w:val="-13"/>
                      <w:sz w:val="20"/>
                      <w:szCs w:val="20"/>
                    </w:rPr>
                    <w:t>性酚类、氰化物、砷、汞、</w:t>
                  </w:r>
                  <w:r>
                    <w:rPr>
                      <w:spacing w:val="3"/>
                      <w:sz w:val="20"/>
                      <w:szCs w:val="20"/>
                    </w:rPr>
                    <w:t xml:space="preserve"> </w:t>
                  </w:r>
                  <w:r>
                    <w:rPr>
                      <w:spacing w:val="-13"/>
                      <w:sz w:val="20"/>
                      <w:szCs w:val="20"/>
                    </w:rPr>
                    <w:t>铬（六价）、总硬度、铅、</w:t>
                  </w:r>
                  <w:r>
                    <w:rPr>
                      <w:spacing w:val="3"/>
                      <w:sz w:val="20"/>
                      <w:szCs w:val="20"/>
                    </w:rPr>
                    <w:t xml:space="preserve"> </w:t>
                  </w:r>
                  <w:r>
                    <w:rPr>
                      <w:spacing w:val="-2"/>
                      <w:sz w:val="20"/>
                      <w:szCs w:val="20"/>
                    </w:rPr>
                    <w:t>氟、镉、铁、锰、溶解性</w:t>
                  </w:r>
                  <w:r>
                    <w:rPr>
                      <w:sz w:val="20"/>
                      <w:szCs w:val="20"/>
                    </w:rPr>
                    <w:t xml:space="preserve"> </w:t>
                  </w:r>
                  <w:r>
                    <w:rPr>
                      <w:spacing w:val="-13"/>
                      <w:sz w:val="20"/>
                      <w:szCs w:val="20"/>
                    </w:rPr>
                    <w:t>总固体、耗氧量、硫酸盐、</w:t>
                  </w:r>
                  <w:r>
                    <w:rPr>
                      <w:spacing w:val="3"/>
                      <w:sz w:val="20"/>
                      <w:szCs w:val="20"/>
                    </w:rPr>
                    <w:t xml:space="preserve"> </w:t>
                  </w:r>
                  <w:r>
                    <w:rPr>
                      <w:spacing w:val="-2"/>
                      <w:sz w:val="20"/>
                      <w:szCs w:val="20"/>
                    </w:rPr>
                    <w:t>氯化物、总大肠菌群、菌</w:t>
                  </w:r>
                </w:p>
                <w:p w14:paraId="280FAD7E">
                  <w:pPr>
                    <w:pStyle w:val="6"/>
                    <w:spacing w:before="33" w:line="217" w:lineRule="auto"/>
                    <w:ind w:left="415"/>
                    <w:rPr>
                      <w:sz w:val="20"/>
                      <w:szCs w:val="20"/>
                    </w:rPr>
                  </w:pPr>
                  <w:r>
                    <w:rPr>
                      <w:spacing w:val="8"/>
                      <w:sz w:val="20"/>
                      <w:szCs w:val="20"/>
                    </w:rPr>
                    <w:t>落总数、石油类</w:t>
                  </w:r>
                </w:p>
              </w:tc>
              <w:tc>
                <w:tcPr>
                  <w:tcW w:w="758" w:type="dxa"/>
                  <w:vAlign w:val="top"/>
                </w:tcPr>
                <w:p w14:paraId="02650C60">
                  <w:pPr>
                    <w:spacing w:line="286" w:lineRule="auto"/>
                    <w:rPr>
                      <w:rFonts w:ascii="Arial"/>
                      <w:sz w:val="21"/>
                    </w:rPr>
                  </w:pPr>
                </w:p>
                <w:p w14:paraId="4043B331">
                  <w:pPr>
                    <w:spacing w:line="286" w:lineRule="auto"/>
                    <w:rPr>
                      <w:rFonts w:ascii="Arial"/>
                      <w:sz w:val="21"/>
                    </w:rPr>
                  </w:pPr>
                </w:p>
                <w:p w14:paraId="50CDB2CD">
                  <w:pPr>
                    <w:spacing w:line="286" w:lineRule="auto"/>
                    <w:rPr>
                      <w:rFonts w:ascii="Arial"/>
                      <w:sz w:val="21"/>
                    </w:rPr>
                  </w:pPr>
                </w:p>
                <w:p w14:paraId="12D075F5">
                  <w:pPr>
                    <w:pStyle w:val="6"/>
                    <w:spacing w:before="65" w:line="267" w:lineRule="auto"/>
                    <w:ind w:left="280" w:right="151" w:hanging="111"/>
                    <w:rPr>
                      <w:sz w:val="20"/>
                      <w:szCs w:val="20"/>
                    </w:rPr>
                  </w:pPr>
                  <w:r>
                    <w:rPr>
                      <w:rFonts w:ascii="Calibri" w:hAnsi="Calibri" w:eastAsia="Calibri" w:cs="Calibri"/>
                      <w:spacing w:val="-5"/>
                      <w:sz w:val="20"/>
                      <w:szCs w:val="20"/>
                    </w:rPr>
                    <w:t>1</w:t>
                  </w:r>
                  <w:r>
                    <w:rPr>
                      <w:rFonts w:ascii="Calibri" w:hAnsi="Calibri" w:eastAsia="Calibri" w:cs="Calibri"/>
                      <w:spacing w:val="22"/>
                      <w:w w:val="101"/>
                      <w:sz w:val="20"/>
                      <w:szCs w:val="20"/>
                    </w:rPr>
                    <w:t xml:space="preserve"> </w:t>
                  </w:r>
                  <w:r>
                    <w:rPr>
                      <w:spacing w:val="-5"/>
                      <w:sz w:val="20"/>
                      <w:szCs w:val="20"/>
                    </w:rPr>
                    <w:t>次</w:t>
                  </w:r>
                  <w:r>
                    <w:rPr>
                      <w:rFonts w:ascii="Calibri" w:hAnsi="Calibri" w:eastAsia="Calibri" w:cs="Calibri"/>
                      <w:spacing w:val="-5"/>
                      <w:sz w:val="20"/>
                      <w:szCs w:val="20"/>
                    </w:rPr>
                    <w:t>/</w:t>
                  </w:r>
                  <w:r>
                    <w:rPr>
                      <w:rFonts w:ascii="Calibri" w:hAnsi="Calibri" w:eastAsia="Calibri" w:cs="Calibri"/>
                      <w:sz w:val="20"/>
                      <w:szCs w:val="20"/>
                    </w:rPr>
                    <w:t xml:space="preserve"> </w:t>
                  </w:r>
                  <w:r>
                    <w:rPr>
                      <w:sz w:val="20"/>
                      <w:szCs w:val="20"/>
                    </w:rPr>
                    <w:t>年</w:t>
                  </w:r>
                </w:p>
              </w:tc>
              <w:tc>
                <w:tcPr>
                  <w:tcW w:w="712" w:type="dxa"/>
                  <w:tcBorders>
                    <w:right w:val="nil"/>
                  </w:tcBorders>
                  <w:vAlign w:val="top"/>
                </w:tcPr>
                <w:p w14:paraId="2D981F26">
                  <w:pPr>
                    <w:spacing w:line="296" w:lineRule="auto"/>
                    <w:rPr>
                      <w:rFonts w:ascii="Arial"/>
                      <w:sz w:val="21"/>
                    </w:rPr>
                  </w:pPr>
                </w:p>
                <w:p w14:paraId="15101E10">
                  <w:pPr>
                    <w:spacing w:line="296" w:lineRule="auto"/>
                    <w:rPr>
                      <w:rFonts w:ascii="Arial"/>
                      <w:sz w:val="21"/>
                    </w:rPr>
                  </w:pPr>
                </w:p>
                <w:p w14:paraId="737F3822">
                  <w:pPr>
                    <w:spacing w:line="297" w:lineRule="auto"/>
                    <w:rPr>
                      <w:rFonts w:ascii="Arial"/>
                      <w:sz w:val="21"/>
                    </w:rPr>
                  </w:pPr>
                </w:p>
                <w:p w14:paraId="3EE90772">
                  <w:pPr>
                    <w:pStyle w:val="6"/>
                    <w:spacing w:before="65" w:line="263" w:lineRule="auto"/>
                    <w:ind w:left="153" w:right="41" w:hanging="108"/>
                    <w:rPr>
                      <w:sz w:val="20"/>
                      <w:szCs w:val="20"/>
                    </w:rPr>
                  </w:pPr>
                  <w:r>
                    <w:rPr>
                      <w:spacing w:val="7"/>
                      <w:sz w:val="20"/>
                      <w:szCs w:val="20"/>
                    </w:rPr>
                    <w:t>跟踪监</w:t>
                  </w:r>
                  <w:r>
                    <w:rPr>
                      <w:sz w:val="20"/>
                      <w:szCs w:val="20"/>
                    </w:rPr>
                    <w:t xml:space="preserve"> </w:t>
                  </w:r>
                  <w:r>
                    <w:rPr>
                      <w:spacing w:val="4"/>
                      <w:sz w:val="20"/>
                      <w:szCs w:val="20"/>
                    </w:rPr>
                    <w:t>测井</w:t>
                  </w:r>
                </w:p>
              </w:tc>
            </w:tr>
          </w:tbl>
          <w:p w14:paraId="04BEA62D">
            <w:pPr>
              <w:pStyle w:val="6"/>
              <w:spacing w:before="126" w:line="221" w:lineRule="auto"/>
              <w:ind w:left="596"/>
              <w:outlineLvl w:val="2"/>
            </w:pPr>
            <w:r>
              <w:rPr>
                <w:spacing w:val="-5"/>
              </w:rPr>
              <w:t>（</w:t>
            </w:r>
            <w:r>
              <w:rPr>
                <w:rFonts w:ascii="Times New Roman" w:hAnsi="Times New Roman" w:eastAsia="Times New Roman" w:cs="Times New Roman"/>
                <w:spacing w:val="-5"/>
              </w:rPr>
              <w:t>4</w:t>
            </w:r>
            <w:r>
              <w:rPr>
                <w:spacing w:val="-5"/>
              </w:rPr>
              <w:t>）结论</w:t>
            </w:r>
          </w:p>
          <w:p w14:paraId="4637060D">
            <w:pPr>
              <w:pStyle w:val="6"/>
              <w:spacing w:before="202" w:line="218" w:lineRule="auto"/>
              <w:ind w:left="587"/>
              <w:outlineLvl w:val="2"/>
            </w:pPr>
            <w:r>
              <w:rPr>
                <w:spacing w:val="1"/>
              </w:rPr>
              <w:t>综上所述，在认真落实评价提出的各种污染防治措施的基础上，本项目不</w:t>
            </w:r>
          </w:p>
          <w:p w14:paraId="12CEC55C">
            <w:pPr>
              <w:pStyle w:val="6"/>
              <w:spacing w:before="206" w:line="219" w:lineRule="auto"/>
              <w:ind w:left="120"/>
            </w:pPr>
            <w:r>
              <w:rPr>
                <w:spacing w:val="-1"/>
              </w:rPr>
              <w:t>易对土壤和地下水造成污染，从土壤、地下水保护环境角度分析可行。</w:t>
            </w:r>
          </w:p>
        </w:tc>
      </w:tr>
    </w:tbl>
    <w:p w14:paraId="165D2EA3">
      <w:pPr>
        <w:pStyle w:val="2"/>
      </w:pPr>
    </w:p>
    <w:p w14:paraId="1906DE87">
      <w:pPr>
        <w:sectPr>
          <w:footerReference r:id="rId89"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4AC87F43">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527" w:hRule="atLeast"/>
        </w:trPr>
        <w:tc>
          <w:tcPr>
            <w:tcW w:w="477" w:type="dxa"/>
            <w:tcBorders>
              <w:right w:val="single" w:color="000000" w:sz="2" w:space="0"/>
            </w:tcBorders>
            <w:vAlign w:val="top"/>
          </w:tcPr>
          <w:p w14:paraId="27638C70">
            <w:pPr>
              <w:rPr>
                <w:rFonts w:ascii="Arial"/>
                <w:sz w:val="21"/>
              </w:rPr>
            </w:pPr>
          </w:p>
        </w:tc>
        <w:tc>
          <w:tcPr>
            <w:tcW w:w="8425" w:type="dxa"/>
            <w:tcBorders>
              <w:left w:val="single" w:color="000000" w:sz="2" w:space="0"/>
            </w:tcBorders>
            <w:vAlign w:val="top"/>
          </w:tcPr>
          <w:p w14:paraId="2A622931">
            <w:pPr>
              <w:pStyle w:val="6"/>
              <w:spacing w:before="100" w:line="220" w:lineRule="auto"/>
              <w:ind w:left="584"/>
            </w:pPr>
            <w:r>
              <w:rPr>
                <w:rFonts w:ascii="Times New Roman" w:hAnsi="Times New Roman" w:eastAsia="Times New Roman" w:cs="Times New Roman"/>
                <w:b/>
                <w:bCs/>
                <w:spacing w:val="-8"/>
              </w:rPr>
              <w:t>6</w:t>
            </w:r>
            <w:r>
              <w:rPr>
                <w:rFonts w:ascii="Times New Roman" w:hAnsi="Times New Roman" w:eastAsia="Times New Roman" w:cs="Times New Roman"/>
                <w:b/>
                <w:bCs/>
                <w:spacing w:val="-30"/>
              </w:rPr>
              <w:t xml:space="preserve"> </w:t>
            </w:r>
            <w:r>
              <w:rPr>
                <w:b/>
                <w:bCs/>
                <w:spacing w:val="-8"/>
              </w:rPr>
              <w:t>、防沙治沙</w:t>
            </w:r>
          </w:p>
          <w:p w14:paraId="2E5D728F">
            <w:pPr>
              <w:pStyle w:val="6"/>
              <w:spacing w:before="182" w:line="351" w:lineRule="auto"/>
              <w:ind w:left="103" w:right="97" w:firstLine="480"/>
              <w:jc w:val="both"/>
            </w:pPr>
            <w:r>
              <w:rPr>
                <w:spacing w:val="-1"/>
              </w:rPr>
              <w:t>根据关于印发《关于贯彻落实</w:t>
            </w:r>
            <w:r>
              <w:rPr>
                <w:rFonts w:ascii="Times New Roman" w:hAnsi="Times New Roman" w:eastAsia="Times New Roman" w:cs="Times New Roman"/>
                <w:spacing w:val="-1"/>
              </w:rPr>
              <w:t>&lt;</w:t>
            </w:r>
            <w:r>
              <w:rPr>
                <w:spacing w:val="-1"/>
              </w:rPr>
              <w:t>沙化土地封禁保护修复制度方案</w:t>
            </w:r>
            <w:r>
              <w:rPr>
                <w:rFonts w:ascii="Times New Roman" w:hAnsi="Times New Roman" w:eastAsia="Times New Roman" w:cs="Times New Roman"/>
                <w:spacing w:val="-1"/>
              </w:rPr>
              <w:t>&gt;</w:t>
            </w:r>
            <w:r>
              <w:rPr>
                <w:rFonts w:ascii="Times New Roman" w:hAnsi="Times New Roman" w:eastAsia="Times New Roman" w:cs="Times New Roman"/>
                <w:spacing w:val="-11"/>
              </w:rPr>
              <w:t xml:space="preserve"> </w:t>
            </w:r>
            <w:r>
              <w:rPr>
                <w:spacing w:val="-1"/>
              </w:rPr>
              <w:t>的实施意</w:t>
            </w:r>
            <w:r>
              <w:t xml:space="preserve"> </w:t>
            </w:r>
            <w:r>
              <w:rPr>
                <w:spacing w:val="2"/>
              </w:rPr>
              <w:t>见》（黑防沙发【</w:t>
            </w:r>
            <w:r>
              <w:rPr>
                <w:rFonts w:ascii="Times New Roman" w:hAnsi="Times New Roman" w:eastAsia="Times New Roman" w:cs="Times New Roman"/>
                <w:spacing w:val="2"/>
              </w:rPr>
              <w:t>2020</w:t>
            </w:r>
            <w:r>
              <w:rPr>
                <w:spacing w:val="2"/>
              </w:rPr>
              <w:t>】</w:t>
            </w:r>
            <w:r>
              <w:rPr>
                <w:rFonts w:ascii="Times New Roman" w:hAnsi="Times New Roman" w:eastAsia="Times New Roman" w:cs="Times New Roman"/>
                <w:spacing w:val="2"/>
              </w:rPr>
              <w:t>3</w:t>
            </w:r>
            <w:r>
              <w:rPr>
                <w:rFonts w:ascii="Times New Roman" w:hAnsi="Times New Roman" w:eastAsia="Times New Roman" w:cs="Times New Roman"/>
                <w:spacing w:val="36"/>
              </w:rPr>
              <w:t xml:space="preserve"> </w:t>
            </w:r>
            <w:r>
              <w:rPr>
                <w:spacing w:val="2"/>
              </w:rPr>
              <w:t>号）的通知，本项目位于大庆市林甸县，不属于实</w:t>
            </w:r>
            <w:r>
              <w:t xml:space="preserve"> </w:t>
            </w:r>
            <w:r>
              <w:rPr>
                <w:spacing w:val="-1"/>
              </w:rPr>
              <w:t>施意见中的实施范围内。</w:t>
            </w:r>
          </w:p>
          <w:p w14:paraId="63437F33">
            <w:pPr>
              <w:pStyle w:val="6"/>
              <w:spacing w:before="34" w:line="218" w:lineRule="auto"/>
              <w:ind w:left="590"/>
            </w:pPr>
            <w:r>
              <w:rPr>
                <w:spacing w:val="-1"/>
              </w:rPr>
              <w:t>结合实施意见中相关要求，本评价要求企业采取以下措施进行防沙治沙。</w:t>
            </w:r>
          </w:p>
          <w:p w14:paraId="74E98AB7">
            <w:pPr>
              <w:pStyle w:val="6"/>
              <w:spacing w:before="185" w:line="313" w:lineRule="auto"/>
              <w:ind w:left="105" w:right="97" w:firstLine="490"/>
            </w:pPr>
            <w:r>
              <w:rPr>
                <w:spacing w:val="-3"/>
              </w:rPr>
              <w:t>（</w:t>
            </w:r>
            <w:r>
              <w:rPr>
                <w:rFonts w:ascii="Times New Roman" w:hAnsi="Times New Roman" w:eastAsia="Times New Roman" w:cs="Times New Roman"/>
                <w:spacing w:val="-3"/>
              </w:rPr>
              <w:t>1</w:t>
            </w:r>
            <w:r>
              <w:rPr>
                <w:spacing w:val="-3"/>
              </w:rPr>
              <w:t>）建设单位按照《黑龙江省三北防护林工程管理办法》，强化工程质量</w:t>
            </w:r>
            <w:r>
              <w:rPr>
                <w:spacing w:val="14"/>
              </w:rPr>
              <w:t xml:space="preserve"> </w:t>
            </w:r>
            <w:r>
              <w:rPr>
                <w:spacing w:val="1"/>
              </w:rPr>
              <w:t>监管，严格执行按规划设计、按设计施工、按标准检查验收，实行全过程质量</w:t>
            </w:r>
            <w:r>
              <w:rPr>
                <w:spacing w:val="12"/>
              </w:rPr>
              <w:t xml:space="preserve"> </w:t>
            </w:r>
            <w:r>
              <w:rPr>
                <w:spacing w:val="-4"/>
              </w:rPr>
              <w:t>管理。</w:t>
            </w:r>
          </w:p>
          <w:p w14:paraId="0DA11687">
            <w:pPr>
              <w:pStyle w:val="6"/>
              <w:spacing w:before="183" w:line="289" w:lineRule="auto"/>
              <w:ind w:left="104" w:right="97" w:firstLine="491"/>
            </w:pPr>
            <w:r>
              <w:rPr>
                <w:spacing w:val="-3"/>
              </w:rPr>
              <w:t>（</w:t>
            </w:r>
            <w:r>
              <w:rPr>
                <w:rFonts w:ascii="Times New Roman" w:hAnsi="Times New Roman" w:eastAsia="Times New Roman" w:cs="Times New Roman"/>
                <w:spacing w:val="-3"/>
              </w:rPr>
              <w:t>2</w:t>
            </w:r>
            <w:r>
              <w:rPr>
                <w:spacing w:val="-3"/>
              </w:rPr>
              <w:t>）严禁向周边耕地范围内擅自建房、挖沙、采石、采矿、取土、严禁向</w:t>
            </w:r>
            <w:r>
              <w:rPr>
                <w:spacing w:val="14"/>
              </w:rPr>
              <w:t xml:space="preserve"> </w:t>
            </w:r>
            <w:r>
              <w:t>耕地范围内排放有害废物、倾倒垃圾。严禁违法占用</w:t>
            </w:r>
            <w:r>
              <w:rPr>
                <w:spacing w:val="-1"/>
              </w:rPr>
              <w:t>、限值荒芜耕地等行为。</w:t>
            </w:r>
          </w:p>
          <w:p w14:paraId="013F201D">
            <w:pPr>
              <w:pStyle w:val="6"/>
              <w:spacing w:before="184" w:line="219" w:lineRule="auto"/>
              <w:ind w:left="596"/>
            </w:pPr>
            <w:r>
              <w:rPr>
                <w:spacing w:val="-1"/>
              </w:rPr>
              <w:t>（</w:t>
            </w:r>
            <w:r>
              <w:rPr>
                <w:rFonts w:ascii="Times New Roman" w:hAnsi="Times New Roman" w:eastAsia="Times New Roman" w:cs="Times New Roman"/>
                <w:spacing w:val="-1"/>
              </w:rPr>
              <w:t>3</w:t>
            </w:r>
            <w:r>
              <w:rPr>
                <w:spacing w:val="-1"/>
              </w:rPr>
              <w:t>）厂区地面硬质化，厂内不能有裸露地面。</w:t>
            </w:r>
          </w:p>
          <w:p w14:paraId="41C94094">
            <w:pPr>
              <w:pStyle w:val="6"/>
              <w:spacing w:before="184" w:line="351" w:lineRule="auto"/>
              <w:ind w:left="104" w:right="97" w:firstLine="479"/>
              <w:jc w:val="both"/>
            </w:pPr>
            <w:r>
              <w:rPr>
                <w:spacing w:val="1"/>
              </w:rPr>
              <w:t>施工期的环境影响是短暂的，一般会随着施工工程结束而消失，但同时建</w:t>
            </w:r>
            <w:r>
              <w:rPr>
                <w:spacing w:val="16"/>
              </w:rPr>
              <w:t xml:space="preserve"> </w:t>
            </w:r>
            <w:r>
              <w:rPr>
                <w:spacing w:val="1"/>
              </w:rPr>
              <w:t>设施工单位应认真落实本报告表提出的环境保护措施，从而使施工期对环境的</w:t>
            </w:r>
            <w:r>
              <w:rPr>
                <w:spacing w:val="13"/>
              </w:rPr>
              <w:t xml:space="preserve"> </w:t>
            </w:r>
            <w:r>
              <w:rPr>
                <w:spacing w:val="-1"/>
              </w:rPr>
              <w:t>影响降低到最低限度。</w:t>
            </w:r>
          </w:p>
          <w:p w14:paraId="294E6389">
            <w:pPr>
              <w:pStyle w:val="6"/>
              <w:spacing w:before="34" w:line="220" w:lineRule="auto"/>
              <w:ind w:left="583"/>
            </w:pPr>
            <w:r>
              <w:rPr>
                <w:rFonts w:ascii="Times New Roman" w:hAnsi="Times New Roman" w:eastAsia="Times New Roman" w:cs="Times New Roman"/>
                <w:b/>
                <w:bCs/>
                <w:spacing w:val="-8"/>
              </w:rPr>
              <w:t>7</w:t>
            </w:r>
            <w:r>
              <w:rPr>
                <w:rFonts w:ascii="Times New Roman" w:hAnsi="Times New Roman" w:eastAsia="Times New Roman" w:cs="Times New Roman"/>
                <w:b/>
                <w:bCs/>
                <w:spacing w:val="-29"/>
              </w:rPr>
              <w:t xml:space="preserve"> </w:t>
            </w:r>
            <w:r>
              <w:rPr>
                <w:b/>
                <w:bCs/>
                <w:spacing w:val="-8"/>
              </w:rPr>
              <w:t>、环境风险</w:t>
            </w:r>
          </w:p>
          <w:p w14:paraId="614EFE10">
            <w:pPr>
              <w:pStyle w:val="6"/>
              <w:spacing w:before="182" w:line="218" w:lineRule="auto"/>
              <w:ind w:left="596"/>
            </w:pPr>
            <w:r>
              <w:rPr>
                <w:spacing w:val="-3"/>
              </w:rPr>
              <w:t>（</w:t>
            </w:r>
            <w:r>
              <w:rPr>
                <w:rFonts w:ascii="Times New Roman" w:hAnsi="Times New Roman" w:eastAsia="Times New Roman" w:cs="Times New Roman"/>
                <w:spacing w:val="-3"/>
              </w:rPr>
              <w:t>1</w:t>
            </w:r>
            <w:r>
              <w:rPr>
                <w:spacing w:val="-3"/>
              </w:rPr>
              <w:t>）评价工作等级</w:t>
            </w:r>
          </w:p>
          <w:p w14:paraId="181847E7">
            <w:pPr>
              <w:pStyle w:val="6"/>
              <w:spacing w:before="185" w:line="218" w:lineRule="auto"/>
              <w:ind w:left="584"/>
            </w:pPr>
            <w:r>
              <w:rPr>
                <w:spacing w:val="2"/>
              </w:rPr>
              <w:t>根据《建设项目环境风险评价技术导则》（</w:t>
            </w:r>
            <w:r>
              <w:rPr>
                <w:rFonts w:ascii="Times New Roman" w:hAnsi="Times New Roman" w:eastAsia="Times New Roman" w:cs="Times New Roman"/>
              </w:rPr>
              <w:t>HJ</w:t>
            </w:r>
            <w:r>
              <w:rPr>
                <w:rFonts w:ascii="Times New Roman" w:hAnsi="Times New Roman" w:eastAsia="Times New Roman" w:cs="Times New Roman"/>
                <w:spacing w:val="2"/>
              </w:rPr>
              <w:t>169-</w:t>
            </w:r>
            <w:r>
              <w:rPr>
                <w:rFonts w:ascii="Times New Roman" w:hAnsi="Times New Roman" w:eastAsia="Times New Roman" w:cs="Times New Roman"/>
                <w:spacing w:val="1"/>
              </w:rPr>
              <w:t>2018</w:t>
            </w:r>
            <w:r>
              <w:rPr>
                <w:spacing w:val="1"/>
              </w:rPr>
              <w:t>）中的规定，环境</w:t>
            </w:r>
          </w:p>
          <w:p w14:paraId="015D18AB">
            <w:pPr>
              <w:pStyle w:val="6"/>
              <w:spacing w:before="184" w:line="218" w:lineRule="auto"/>
              <w:ind w:left="105"/>
            </w:pPr>
            <w:r>
              <w:rPr>
                <w:spacing w:val="-1"/>
              </w:rPr>
              <w:t>风险评价工作等级划分判据详见下表。</w:t>
            </w:r>
          </w:p>
          <w:p w14:paraId="0A62D2D0">
            <w:pPr>
              <w:pStyle w:val="6"/>
              <w:spacing w:before="106" w:line="212" w:lineRule="auto"/>
              <w:ind w:left="1673"/>
            </w:pPr>
            <w:r>
              <w:rPr>
                <w:b/>
                <w:bCs/>
                <w:spacing w:val="-2"/>
              </w:rPr>
              <w:t>表</w:t>
            </w:r>
            <w:r>
              <w:rPr>
                <w:spacing w:val="-50"/>
              </w:rPr>
              <w:t xml:space="preserve"> </w:t>
            </w:r>
            <w:r>
              <w:rPr>
                <w:rFonts w:ascii="Times New Roman" w:hAnsi="Times New Roman" w:eastAsia="Times New Roman" w:cs="Times New Roman"/>
                <w:b/>
                <w:bCs/>
                <w:spacing w:val="-2"/>
              </w:rPr>
              <w:t xml:space="preserve">4-14    </w:t>
            </w:r>
            <w:r>
              <w:rPr>
                <w:b/>
                <w:bCs/>
                <w:spacing w:val="-2"/>
              </w:rPr>
              <w:t>环境风险评价工作级别划分判据一览表</w:t>
            </w:r>
          </w:p>
          <w:tbl>
            <w:tblPr>
              <w:tblStyle w:val="5"/>
              <w:tblW w:w="8213" w:type="dxa"/>
              <w:tblInd w:w="9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47"/>
              <w:gridCol w:w="1369"/>
              <w:gridCol w:w="1454"/>
              <w:gridCol w:w="1548"/>
              <w:gridCol w:w="2195"/>
            </w:tblGrid>
            <w:tr w14:paraId="342D12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1647" w:type="dxa"/>
                  <w:vAlign w:val="top"/>
                </w:tcPr>
                <w:p w14:paraId="24687719">
                  <w:pPr>
                    <w:pStyle w:val="6"/>
                    <w:spacing w:before="139" w:line="228" w:lineRule="auto"/>
                    <w:ind w:left="198"/>
                    <w:rPr>
                      <w:sz w:val="20"/>
                      <w:szCs w:val="20"/>
                    </w:rPr>
                  </w:pPr>
                  <w:r>
                    <w:rPr>
                      <w:spacing w:val="8"/>
                      <w:sz w:val="20"/>
                      <w:szCs w:val="20"/>
                    </w:rPr>
                    <w:t>环境风险潜势</w:t>
                  </w:r>
                </w:p>
              </w:tc>
              <w:tc>
                <w:tcPr>
                  <w:tcW w:w="1369" w:type="dxa"/>
                  <w:vAlign w:val="top"/>
                </w:tcPr>
                <w:p w14:paraId="0826FA16">
                  <w:pPr>
                    <w:pStyle w:val="6"/>
                    <w:spacing w:before="179" w:line="183" w:lineRule="auto"/>
                    <w:ind w:left="30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Ⅳ</w:t>
                  </w:r>
                  <w:r>
                    <w:rPr>
                      <w:rFonts w:ascii="Times New Roman" w:hAnsi="Times New Roman" w:eastAsia="Times New Roman" w:cs="Times New Roman"/>
                      <w:spacing w:val="-26"/>
                      <w:sz w:val="20"/>
                      <w:szCs w:val="20"/>
                    </w:rPr>
                    <w:t xml:space="preserve"> </w:t>
                  </w:r>
                  <w:r>
                    <w:rPr>
                      <w:spacing w:val="1"/>
                      <w:sz w:val="20"/>
                      <w:szCs w:val="20"/>
                    </w:rPr>
                    <w:t>、</w:t>
                  </w:r>
                  <w:r>
                    <w:rPr>
                      <w:rFonts w:ascii="Times New Roman" w:hAnsi="Times New Roman" w:eastAsia="Times New Roman" w:cs="Times New Roman"/>
                      <w:spacing w:val="1"/>
                      <w:sz w:val="20"/>
                      <w:szCs w:val="20"/>
                    </w:rPr>
                    <w:t>Ⅳ+</w:t>
                  </w:r>
                </w:p>
              </w:tc>
              <w:tc>
                <w:tcPr>
                  <w:tcW w:w="1454" w:type="dxa"/>
                  <w:vAlign w:val="top"/>
                </w:tcPr>
                <w:p w14:paraId="03F56436">
                  <w:pPr>
                    <w:spacing w:before="178" w:line="192" w:lineRule="auto"/>
                    <w:ind w:left="62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Ⅲ</w:t>
                  </w:r>
                </w:p>
              </w:tc>
              <w:tc>
                <w:tcPr>
                  <w:tcW w:w="1548" w:type="dxa"/>
                  <w:vAlign w:val="top"/>
                </w:tcPr>
                <w:p w14:paraId="5AEF1607">
                  <w:pPr>
                    <w:spacing w:before="178" w:line="192" w:lineRule="auto"/>
                    <w:ind w:left="707"/>
                    <w:rPr>
                      <w:rFonts w:ascii="Times New Roman" w:hAnsi="Times New Roman" w:eastAsia="Times New Roman" w:cs="Times New Roman"/>
                      <w:sz w:val="20"/>
                      <w:szCs w:val="20"/>
                    </w:rPr>
                  </w:pPr>
                  <w:r>
                    <w:rPr>
                      <w:rFonts w:ascii="Times New Roman" w:hAnsi="Times New Roman" w:eastAsia="Times New Roman" w:cs="Times New Roman"/>
                      <w:sz w:val="20"/>
                      <w:szCs w:val="20"/>
                    </w:rPr>
                    <w:t>Ⅱ</w:t>
                  </w:r>
                </w:p>
              </w:tc>
              <w:tc>
                <w:tcPr>
                  <w:tcW w:w="2195" w:type="dxa"/>
                  <w:vAlign w:val="top"/>
                </w:tcPr>
                <w:p w14:paraId="27D9AEEF">
                  <w:pPr>
                    <w:spacing w:before="178" w:line="192" w:lineRule="auto"/>
                    <w:ind w:left="1065"/>
                    <w:rPr>
                      <w:rFonts w:ascii="Times New Roman" w:hAnsi="Times New Roman" w:eastAsia="Times New Roman" w:cs="Times New Roman"/>
                      <w:sz w:val="20"/>
                      <w:szCs w:val="20"/>
                    </w:rPr>
                  </w:pPr>
                  <w:r>
                    <w:rPr>
                      <w:rFonts w:ascii="Times New Roman" w:hAnsi="Times New Roman" w:eastAsia="Times New Roman" w:cs="Times New Roman"/>
                      <w:sz w:val="20"/>
                      <w:szCs w:val="20"/>
                    </w:rPr>
                    <w:t>Ⅰ</w:t>
                  </w:r>
                </w:p>
              </w:tc>
            </w:tr>
            <w:tr w14:paraId="00D951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4" w:hRule="atLeast"/>
              </w:trPr>
              <w:tc>
                <w:tcPr>
                  <w:tcW w:w="1647" w:type="dxa"/>
                  <w:vAlign w:val="top"/>
                </w:tcPr>
                <w:p w14:paraId="5D8FE644">
                  <w:pPr>
                    <w:pStyle w:val="6"/>
                    <w:spacing w:before="152" w:line="226" w:lineRule="auto"/>
                    <w:ind w:left="197"/>
                    <w:rPr>
                      <w:sz w:val="20"/>
                      <w:szCs w:val="20"/>
                    </w:rPr>
                  </w:pPr>
                  <w:r>
                    <w:rPr>
                      <w:spacing w:val="8"/>
                      <w:sz w:val="20"/>
                      <w:szCs w:val="20"/>
                    </w:rPr>
                    <w:t>评价工作等级</w:t>
                  </w:r>
                </w:p>
              </w:tc>
              <w:tc>
                <w:tcPr>
                  <w:tcW w:w="1369" w:type="dxa"/>
                  <w:vAlign w:val="top"/>
                </w:tcPr>
                <w:p w14:paraId="75368C8C">
                  <w:pPr>
                    <w:pStyle w:val="6"/>
                    <w:spacing w:before="230" w:line="156" w:lineRule="exact"/>
                    <w:ind w:left="587"/>
                    <w:rPr>
                      <w:sz w:val="20"/>
                      <w:szCs w:val="20"/>
                    </w:rPr>
                  </w:pPr>
                  <w:r>
                    <w:rPr>
                      <w:position w:val="-4"/>
                      <w:sz w:val="20"/>
                      <w:szCs w:val="20"/>
                    </w:rPr>
                    <w:t>一</w:t>
                  </w:r>
                </w:p>
              </w:tc>
              <w:tc>
                <w:tcPr>
                  <w:tcW w:w="1454" w:type="dxa"/>
                  <w:vAlign w:val="top"/>
                </w:tcPr>
                <w:p w14:paraId="6DC20FD9">
                  <w:pPr>
                    <w:pStyle w:val="6"/>
                    <w:spacing w:before="191" w:line="183" w:lineRule="auto"/>
                    <w:ind w:left="629"/>
                    <w:rPr>
                      <w:sz w:val="20"/>
                      <w:szCs w:val="20"/>
                    </w:rPr>
                  </w:pPr>
                  <w:r>
                    <w:rPr>
                      <w:sz w:val="20"/>
                      <w:szCs w:val="20"/>
                    </w:rPr>
                    <w:t>二</w:t>
                  </w:r>
                </w:p>
              </w:tc>
              <w:tc>
                <w:tcPr>
                  <w:tcW w:w="1548" w:type="dxa"/>
                  <w:vAlign w:val="top"/>
                </w:tcPr>
                <w:p w14:paraId="66D52315">
                  <w:pPr>
                    <w:pStyle w:val="6"/>
                    <w:spacing w:before="152" w:line="265" w:lineRule="exact"/>
                    <w:ind w:left="674"/>
                    <w:rPr>
                      <w:sz w:val="20"/>
                      <w:szCs w:val="20"/>
                    </w:rPr>
                  </w:pPr>
                  <w:r>
                    <w:rPr>
                      <w:position w:val="1"/>
                      <w:sz w:val="20"/>
                      <w:szCs w:val="20"/>
                    </w:rPr>
                    <w:t>三</w:t>
                  </w:r>
                </w:p>
              </w:tc>
              <w:tc>
                <w:tcPr>
                  <w:tcW w:w="2195" w:type="dxa"/>
                  <w:vAlign w:val="top"/>
                </w:tcPr>
                <w:p w14:paraId="78C75C44">
                  <w:pPr>
                    <w:pStyle w:val="6"/>
                    <w:spacing w:before="151" w:line="227" w:lineRule="auto"/>
                    <w:ind w:left="614"/>
                    <w:rPr>
                      <w:rFonts w:ascii="Times New Roman" w:hAnsi="Times New Roman" w:eastAsia="Times New Roman" w:cs="Times New Roman"/>
                      <w:sz w:val="20"/>
                      <w:szCs w:val="20"/>
                    </w:rPr>
                  </w:pPr>
                  <w:r>
                    <w:rPr>
                      <w:spacing w:val="5"/>
                      <w:sz w:val="20"/>
                      <w:szCs w:val="20"/>
                    </w:rPr>
                    <w:t>简单分析</w:t>
                  </w:r>
                  <w:r>
                    <w:rPr>
                      <w:spacing w:val="-38"/>
                      <w:sz w:val="20"/>
                      <w:szCs w:val="20"/>
                    </w:rPr>
                    <w:t xml:space="preserve"> </w:t>
                  </w:r>
                  <w:r>
                    <w:rPr>
                      <w:rFonts w:ascii="Times New Roman" w:hAnsi="Times New Roman" w:eastAsia="Times New Roman" w:cs="Times New Roman"/>
                      <w:spacing w:val="5"/>
                      <w:sz w:val="20"/>
                      <w:szCs w:val="20"/>
                    </w:rPr>
                    <w:t>a</w:t>
                  </w:r>
                </w:p>
              </w:tc>
            </w:tr>
            <w:tr w14:paraId="707CD2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3" w:hRule="atLeast"/>
              </w:trPr>
              <w:tc>
                <w:tcPr>
                  <w:tcW w:w="8213" w:type="dxa"/>
                  <w:gridSpan w:val="5"/>
                  <w:vAlign w:val="top"/>
                </w:tcPr>
                <w:p w14:paraId="1CBE266D">
                  <w:pPr>
                    <w:pStyle w:val="6"/>
                    <w:spacing w:before="55" w:line="226" w:lineRule="auto"/>
                    <w:ind w:left="128"/>
                    <w:rPr>
                      <w:sz w:val="20"/>
                      <w:szCs w:val="20"/>
                    </w:rPr>
                  </w:pPr>
                  <w:r>
                    <w:rPr>
                      <w:rFonts w:ascii="Times New Roman" w:hAnsi="Times New Roman" w:eastAsia="Times New Roman" w:cs="Times New Roman"/>
                      <w:spacing w:val="9"/>
                      <w:sz w:val="20"/>
                      <w:szCs w:val="20"/>
                    </w:rPr>
                    <w:t xml:space="preserve">a  </w:t>
                  </w:r>
                  <w:r>
                    <w:rPr>
                      <w:spacing w:val="9"/>
                      <w:sz w:val="20"/>
                      <w:szCs w:val="20"/>
                    </w:rPr>
                    <w:t>是相对于详细评价工作内容而言，在描述危险物质、环境影响途径、环境危害后果、</w:t>
                  </w:r>
                </w:p>
                <w:p w14:paraId="2441DC49">
                  <w:pPr>
                    <w:pStyle w:val="6"/>
                    <w:spacing w:before="67" w:line="226" w:lineRule="auto"/>
                    <w:ind w:left="436"/>
                    <w:rPr>
                      <w:sz w:val="20"/>
                      <w:szCs w:val="20"/>
                    </w:rPr>
                  </w:pPr>
                  <w:r>
                    <w:rPr>
                      <w:spacing w:val="9"/>
                      <w:sz w:val="20"/>
                      <w:szCs w:val="20"/>
                    </w:rPr>
                    <w:t>风险防范措施等方面给出定性的说明，详见《建设项目环境风险评价技术导则》</w:t>
                  </w:r>
                </w:p>
                <w:p w14:paraId="36E68DCD">
                  <w:pPr>
                    <w:pStyle w:val="6"/>
                    <w:spacing w:before="66" w:line="227" w:lineRule="auto"/>
                    <w:ind w:left="2975"/>
                    <w:rPr>
                      <w:sz w:val="20"/>
                      <w:szCs w:val="20"/>
                    </w:rPr>
                  </w:pPr>
                  <w:r>
                    <w:rPr>
                      <w:spacing w:val="5"/>
                      <w:sz w:val="20"/>
                      <w:szCs w:val="20"/>
                    </w:rPr>
                    <w:t>（</w:t>
                  </w:r>
                  <w:r>
                    <w:rPr>
                      <w:rFonts w:ascii="Times New Roman" w:hAnsi="Times New Roman" w:eastAsia="Times New Roman" w:cs="Times New Roman"/>
                      <w:sz w:val="20"/>
                      <w:szCs w:val="20"/>
                    </w:rPr>
                    <w:t>HJ</w:t>
                  </w:r>
                  <w:r>
                    <w:rPr>
                      <w:rFonts w:ascii="Times New Roman" w:hAnsi="Times New Roman" w:eastAsia="Times New Roman" w:cs="Times New Roman"/>
                      <w:spacing w:val="5"/>
                      <w:sz w:val="20"/>
                      <w:szCs w:val="20"/>
                    </w:rPr>
                    <w:t>169-2018</w:t>
                  </w:r>
                  <w:r>
                    <w:rPr>
                      <w:spacing w:val="5"/>
                      <w:sz w:val="20"/>
                      <w:szCs w:val="20"/>
                    </w:rPr>
                    <w:t>）附录</w:t>
                  </w:r>
                  <w:r>
                    <w:rPr>
                      <w:spacing w:val="-43"/>
                      <w:sz w:val="20"/>
                      <w:szCs w:val="20"/>
                    </w:rPr>
                    <w:t xml:space="preserve"> </w:t>
                  </w:r>
                  <w:r>
                    <w:rPr>
                      <w:rFonts w:ascii="Times New Roman" w:hAnsi="Times New Roman" w:eastAsia="Times New Roman" w:cs="Times New Roman"/>
                      <w:spacing w:val="5"/>
                      <w:sz w:val="20"/>
                      <w:szCs w:val="20"/>
                    </w:rPr>
                    <w:t>A</w:t>
                  </w:r>
                  <w:r>
                    <w:rPr>
                      <w:spacing w:val="5"/>
                      <w:sz w:val="20"/>
                      <w:szCs w:val="20"/>
                    </w:rPr>
                    <w:t>。</w:t>
                  </w:r>
                </w:p>
              </w:tc>
            </w:tr>
          </w:tbl>
          <w:p w14:paraId="718B29E1">
            <w:pPr>
              <w:pStyle w:val="6"/>
              <w:spacing w:before="114" w:line="212" w:lineRule="auto"/>
              <w:ind w:left="587"/>
            </w:pPr>
            <w:r>
              <w:rPr>
                <w:spacing w:val="-1"/>
              </w:rPr>
              <w:t>危险物质数量与临界量比值（</w:t>
            </w:r>
            <w:r>
              <w:rPr>
                <w:rFonts w:ascii="Times New Roman" w:hAnsi="Times New Roman" w:eastAsia="Times New Roman" w:cs="Times New Roman"/>
                <w:spacing w:val="-1"/>
              </w:rPr>
              <w:t>Q</w:t>
            </w:r>
            <w:r>
              <w:rPr>
                <w:spacing w:val="-1"/>
              </w:rPr>
              <w:t>）</w:t>
            </w:r>
          </w:p>
          <w:p w14:paraId="10E149C1">
            <w:pPr>
              <w:pStyle w:val="6"/>
              <w:spacing w:before="193" w:line="348" w:lineRule="auto"/>
              <w:ind w:left="105" w:right="94" w:firstLine="479"/>
            </w:pPr>
            <w:r>
              <w:rPr>
                <w:spacing w:val="1"/>
              </w:rPr>
              <w:t>计算所涉及的每种危险物质在厂界内的最大存在总量与其在《建设项目环</w:t>
            </w:r>
            <w:r>
              <w:rPr>
                <w:spacing w:val="17"/>
              </w:rPr>
              <w:t xml:space="preserve"> </w:t>
            </w:r>
            <w:r>
              <w:rPr>
                <w:spacing w:val="-1"/>
              </w:rPr>
              <w:t>境风险评价技术导则》（</w:t>
            </w:r>
            <w:r>
              <w:rPr>
                <w:rFonts w:ascii="Times New Roman" w:hAnsi="Times New Roman" w:eastAsia="Times New Roman" w:cs="Times New Roman"/>
                <w:spacing w:val="-1"/>
              </w:rPr>
              <w:t>HJ169-20</w:t>
            </w:r>
            <w:r>
              <w:rPr>
                <w:rFonts w:ascii="Times New Roman" w:hAnsi="Times New Roman" w:eastAsia="Times New Roman" w:cs="Times New Roman"/>
                <w:spacing w:val="-2"/>
              </w:rPr>
              <w:t>18</w:t>
            </w:r>
            <w:r>
              <w:rPr>
                <w:spacing w:val="-2"/>
              </w:rPr>
              <w:t>）附录</w:t>
            </w:r>
            <w:r>
              <w:rPr>
                <w:spacing w:val="-54"/>
              </w:rPr>
              <w:t xml:space="preserve"> </w:t>
            </w:r>
            <w:r>
              <w:rPr>
                <w:rFonts w:ascii="Times New Roman" w:hAnsi="Times New Roman" w:eastAsia="Times New Roman" w:cs="Times New Roman"/>
                <w:spacing w:val="-2"/>
              </w:rPr>
              <w:t>B</w:t>
            </w:r>
            <w:r>
              <w:rPr>
                <w:rFonts w:ascii="Times New Roman" w:hAnsi="Times New Roman" w:eastAsia="Times New Roman" w:cs="Times New Roman"/>
                <w:spacing w:val="35"/>
                <w:w w:val="101"/>
              </w:rPr>
              <w:t xml:space="preserve"> </w:t>
            </w:r>
            <w:r>
              <w:rPr>
                <w:spacing w:val="-2"/>
              </w:rPr>
              <w:t>中对应临界量的比值</w:t>
            </w:r>
            <w:r>
              <w:rPr>
                <w:spacing w:val="-49"/>
              </w:rPr>
              <w:t xml:space="preserve"> </w:t>
            </w:r>
            <w:r>
              <w:rPr>
                <w:rFonts w:ascii="Times New Roman" w:hAnsi="Times New Roman" w:eastAsia="Times New Roman" w:cs="Times New Roman"/>
                <w:spacing w:val="-2"/>
              </w:rPr>
              <w:t>Q</w:t>
            </w:r>
            <w:r>
              <w:rPr>
                <w:rFonts w:ascii="Times New Roman" w:hAnsi="Times New Roman" w:eastAsia="Times New Roman" w:cs="Times New Roman"/>
                <w:spacing w:val="-28"/>
              </w:rPr>
              <w:t xml:space="preserve"> </w:t>
            </w:r>
            <w:r>
              <w:rPr>
                <w:spacing w:val="-2"/>
              </w:rPr>
              <w:t>。在不同</w:t>
            </w:r>
            <w:r>
              <w:t xml:space="preserve"> </w:t>
            </w:r>
            <w:r>
              <w:rPr>
                <w:spacing w:val="-1"/>
              </w:rPr>
              <w:t>厂区的每一种物质，按其在厂界内的最大存在总量计算。</w:t>
            </w:r>
          </w:p>
          <w:p w14:paraId="7AE07CC7">
            <w:pPr>
              <w:pStyle w:val="6"/>
              <w:spacing w:before="47" w:line="212" w:lineRule="auto"/>
              <w:ind w:left="599"/>
            </w:pPr>
            <w:r>
              <w:rPr>
                <w:spacing w:val="-1"/>
              </w:rPr>
              <w:t>当只涉及一种危险物质时，计算该物质的总量与其临界量比值，即为</w:t>
            </w:r>
            <w:r>
              <w:rPr>
                <w:spacing w:val="-52"/>
              </w:rPr>
              <w:t xml:space="preserve"> </w:t>
            </w:r>
            <w:r>
              <w:rPr>
                <w:rFonts w:ascii="Times New Roman" w:hAnsi="Times New Roman" w:eastAsia="Times New Roman" w:cs="Times New Roman"/>
                <w:spacing w:val="-2"/>
              </w:rPr>
              <w:t>Q</w:t>
            </w:r>
            <w:r>
              <w:rPr>
                <w:spacing w:val="-2"/>
              </w:rPr>
              <w:t>；</w:t>
            </w:r>
          </w:p>
          <w:p w14:paraId="191F2EF7">
            <w:pPr>
              <w:pStyle w:val="6"/>
              <w:spacing w:before="192" w:line="212" w:lineRule="auto"/>
              <w:ind w:left="599"/>
            </w:pPr>
            <w:r>
              <w:rPr>
                <w:spacing w:val="-1"/>
              </w:rPr>
              <w:t>当存在多种危险物质时，则按下式计算物质总量与其临界量比值（</w:t>
            </w:r>
            <w:r>
              <w:rPr>
                <w:rFonts w:ascii="Times New Roman" w:hAnsi="Times New Roman" w:eastAsia="Times New Roman" w:cs="Times New Roman"/>
                <w:spacing w:val="-1"/>
              </w:rPr>
              <w:t>Q</w:t>
            </w:r>
            <w:r>
              <w:rPr>
                <w:spacing w:val="2"/>
              </w:rPr>
              <w:t>）：</w:t>
            </w:r>
          </w:p>
        </w:tc>
      </w:tr>
    </w:tbl>
    <w:p w14:paraId="5EB3CB5E">
      <w:pPr>
        <w:pStyle w:val="2"/>
      </w:pPr>
    </w:p>
    <w:p w14:paraId="0C404857">
      <w:pPr>
        <w:sectPr>
          <w:footerReference r:id="rId90"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3FD36E41">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373" w:hRule="atLeast"/>
        </w:trPr>
        <w:tc>
          <w:tcPr>
            <w:tcW w:w="477" w:type="dxa"/>
            <w:tcBorders>
              <w:right w:val="single" w:color="000000" w:sz="2" w:space="0"/>
            </w:tcBorders>
            <w:vAlign w:val="top"/>
          </w:tcPr>
          <w:p w14:paraId="7A99E07F">
            <w:pPr>
              <w:rPr>
                <w:rFonts w:ascii="Arial"/>
                <w:sz w:val="21"/>
              </w:rPr>
            </w:pPr>
          </w:p>
        </w:tc>
        <w:tc>
          <w:tcPr>
            <w:tcW w:w="8425" w:type="dxa"/>
            <w:tcBorders>
              <w:left w:val="single" w:color="000000" w:sz="2" w:space="0"/>
            </w:tcBorders>
            <w:vAlign w:val="top"/>
          </w:tcPr>
          <w:p w14:paraId="2D2A533E">
            <w:pPr>
              <w:spacing w:before="227" w:line="507" w:lineRule="exact"/>
              <w:ind w:left="3397"/>
            </w:pPr>
            <w:r>
              <w:rPr>
                <w:position w:val="-10"/>
              </w:rPr>
              <w:drawing>
                <wp:inline distT="0" distB="0" distL="0" distR="0">
                  <wp:extent cx="1328420" cy="321945"/>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123"/>
                          <a:stretch>
                            <a:fillRect/>
                          </a:stretch>
                        </pic:blipFill>
                        <pic:spPr>
                          <a:xfrm>
                            <a:off x="0" y="0"/>
                            <a:ext cx="1328439" cy="322411"/>
                          </a:xfrm>
                          <a:prstGeom prst="rect">
                            <a:avLst/>
                          </a:prstGeom>
                        </pic:spPr>
                      </pic:pic>
                    </a:graphicData>
                  </a:graphic>
                </wp:inline>
              </w:drawing>
            </w:r>
          </w:p>
          <w:p w14:paraId="34E2F9B0">
            <w:pPr>
              <w:spacing w:line="338" w:lineRule="auto"/>
              <w:rPr>
                <w:rFonts w:ascii="Arial"/>
                <w:sz w:val="21"/>
              </w:rPr>
            </w:pPr>
          </w:p>
          <w:p w14:paraId="631E0794">
            <w:pPr>
              <w:pStyle w:val="6"/>
              <w:spacing w:before="78" w:line="371" w:lineRule="auto"/>
              <w:ind w:left="1094" w:right="2130" w:hanging="505"/>
            </w:pPr>
            <w:r>
              <w:rPr>
                <w:spacing w:val="2"/>
                <w:position w:val="1"/>
              </w:rPr>
              <w:t>式中</w:t>
            </w:r>
            <w:r>
              <w:rPr>
                <w:rFonts w:ascii="Times New Roman" w:hAnsi="Times New Roman" w:eastAsia="Times New Roman" w:cs="Times New Roman"/>
                <w:i/>
                <w:iCs/>
                <w:spacing w:val="2"/>
                <w:position w:val="1"/>
                <w:sz w:val="23"/>
                <w:szCs w:val="23"/>
              </w:rPr>
              <w:t>q</w:t>
            </w:r>
            <w:r>
              <w:rPr>
                <w:rFonts w:ascii="Times New Roman" w:hAnsi="Times New Roman" w:eastAsia="Times New Roman" w:cs="Times New Roman"/>
                <w:spacing w:val="2"/>
                <w:position w:val="9"/>
                <w:sz w:val="13"/>
                <w:szCs w:val="13"/>
              </w:rPr>
              <w:t>1</w:t>
            </w:r>
            <w:r>
              <w:rPr>
                <w:rFonts w:ascii="Times New Roman" w:hAnsi="Times New Roman" w:eastAsia="Times New Roman" w:cs="Times New Roman"/>
                <w:spacing w:val="2"/>
                <w:position w:val="9"/>
                <w:sz w:val="23"/>
                <w:szCs w:val="23"/>
              </w:rPr>
              <w:t>,</w:t>
            </w:r>
            <w:r>
              <w:rPr>
                <w:rFonts w:ascii="Times New Roman" w:hAnsi="Times New Roman" w:eastAsia="Times New Roman" w:cs="Times New Roman"/>
                <w:spacing w:val="-22"/>
                <w:position w:val="9"/>
                <w:sz w:val="23"/>
                <w:szCs w:val="23"/>
              </w:rPr>
              <w:t xml:space="preserve"> </w:t>
            </w:r>
            <w:r>
              <w:rPr>
                <w:rFonts w:ascii="Times New Roman" w:hAnsi="Times New Roman" w:eastAsia="Times New Roman" w:cs="Times New Roman"/>
                <w:i/>
                <w:iCs/>
                <w:spacing w:val="2"/>
                <w:position w:val="9"/>
                <w:sz w:val="23"/>
                <w:szCs w:val="23"/>
              </w:rPr>
              <w:t>q</w:t>
            </w:r>
            <w:r>
              <w:rPr>
                <w:rFonts w:ascii="Times New Roman" w:hAnsi="Times New Roman" w:eastAsia="Times New Roman" w:cs="Times New Roman"/>
                <w:spacing w:val="2"/>
                <w:position w:val="6"/>
                <w:sz w:val="13"/>
                <w:szCs w:val="13"/>
              </w:rPr>
              <w:t>2</w:t>
            </w:r>
            <w:r>
              <w:rPr>
                <w:rFonts w:ascii="Times New Roman" w:hAnsi="Times New Roman" w:eastAsia="Times New Roman" w:cs="Times New Roman"/>
                <w:spacing w:val="2"/>
                <w:position w:val="6"/>
                <w:sz w:val="23"/>
                <w:szCs w:val="23"/>
              </w:rPr>
              <w:t>,</w:t>
            </w:r>
            <w:r>
              <w:rPr>
                <w:rFonts w:ascii="Times New Roman" w:hAnsi="Times New Roman" w:eastAsia="Times New Roman" w:cs="Times New Roman"/>
                <w:spacing w:val="-19"/>
                <w:position w:val="6"/>
                <w:sz w:val="23"/>
                <w:szCs w:val="23"/>
              </w:rPr>
              <w:t xml:space="preserve"> </w:t>
            </w:r>
            <w:r>
              <w:rPr>
                <w:rFonts w:ascii="Arial" w:hAnsi="Arial" w:eastAsia="Arial" w:cs="Arial"/>
                <w:b/>
                <w:bCs/>
                <w:spacing w:val="2"/>
                <w:position w:val="10"/>
                <w:sz w:val="23"/>
                <w:szCs w:val="23"/>
              </w:rPr>
              <w:t>…</w:t>
            </w:r>
            <w:r>
              <w:rPr>
                <w:rFonts w:ascii="Times New Roman" w:hAnsi="Times New Roman" w:eastAsia="Times New Roman" w:cs="Times New Roman"/>
                <w:i/>
                <w:iCs/>
                <w:position w:val="10"/>
                <w:sz w:val="23"/>
                <w:szCs w:val="23"/>
              </w:rPr>
              <w:t>q</w:t>
            </w:r>
            <w:r>
              <w:rPr>
                <w:rFonts w:ascii="Times New Roman" w:hAnsi="Times New Roman" w:eastAsia="Times New Roman" w:cs="Times New Roman"/>
                <w:i/>
                <w:iCs/>
                <w:position w:val="4"/>
                <w:sz w:val="13"/>
                <w:szCs w:val="13"/>
              </w:rPr>
              <w:t>n</w:t>
            </w:r>
            <w:r>
              <w:rPr>
                <w:rFonts w:ascii="Times New Roman" w:hAnsi="Times New Roman" w:eastAsia="Times New Roman" w:cs="Times New Roman"/>
                <w:i/>
                <w:iCs/>
                <w:spacing w:val="21"/>
                <w:position w:val="4"/>
                <w:sz w:val="13"/>
                <w:szCs w:val="13"/>
              </w:rPr>
              <w:t xml:space="preserve"> </w:t>
            </w:r>
            <w:r>
              <w:rPr>
                <w:rFonts w:ascii="Times New Roman" w:hAnsi="Times New Roman" w:eastAsia="Times New Roman" w:cs="Times New Roman"/>
                <w:spacing w:val="2"/>
                <w:position w:val="-1"/>
              </w:rPr>
              <w:t>——</w:t>
            </w:r>
            <w:r>
              <w:rPr>
                <w:spacing w:val="2"/>
                <w:position w:val="-1"/>
              </w:rPr>
              <w:t>每种危险物质的最大存在</w:t>
            </w:r>
            <w:r>
              <w:rPr>
                <w:spacing w:val="1"/>
                <w:position w:val="-1"/>
              </w:rPr>
              <w:t>总量，</w:t>
            </w:r>
            <w:r>
              <w:rPr>
                <w:rFonts w:ascii="Times New Roman" w:hAnsi="Times New Roman" w:eastAsia="Times New Roman" w:cs="Times New Roman"/>
                <w:spacing w:val="1"/>
              </w:rPr>
              <w:t>t</w:t>
            </w:r>
            <w:r>
              <w:rPr>
                <w:spacing w:val="1"/>
                <w:position w:val="-1"/>
              </w:rPr>
              <w:t>；</w:t>
            </w:r>
            <w:r>
              <w:rPr>
                <w:position w:val="-1"/>
              </w:rPr>
              <w:t xml:space="preserve"> </w:t>
            </w:r>
            <w:r>
              <w:rPr>
                <w:rFonts w:ascii="Times New Roman" w:hAnsi="Times New Roman" w:eastAsia="Times New Roman" w:cs="Times New Roman"/>
                <w:i/>
                <w:iCs/>
                <w:spacing w:val="1"/>
                <w:position w:val="9"/>
                <w:sz w:val="23"/>
                <w:szCs w:val="23"/>
              </w:rPr>
              <w:t>Q</w:t>
            </w:r>
            <w:r>
              <w:rPr>
                <w:rFonts w:ascii="Times New Roman" w:hAnsi="Times New Roman" w:eastAsia="Times New Roman" w:cs="Times New Roman"/>
                <w:spacing w:val="1"/>
                <w:position w:val="5"/>
                <w:sz w:val="13"/>
                <w:szCs w:val="13"/>
              </w:rPr>
              <w:t>1</w:t>
            </w:r>
            <w:r>
              <w:rPr>
                <w:rFonts w:ascii="Times New Roman" w:hAnsi="Times New Roman" w:eastAsia="Times New Roman" w:cs="Times New Roman"/>
                <w:spacing w:val="1"/>
                <w:position w:val="5"/>
                <w:sz w:val="23"/>
                <w:szCs w:val="23"/>
              </w:rPr>
              <w:t>,</w:t>
            </w:r>
            <w:r>
              <w:rPr>
                <w:rFonts w:ascii="Times New Roman" w:hAnsi="Times New Roman" w:eastAsia="Times New Roman" w:cs="Times New Roman"/>
                <w:spacing w:val="-23"/>
                <w:position w:val="5"/>
                <w:sz w:val="23"/>
                <w:szCs w:val="23"/>
              </w:rPr>
              <w:t xml:space="preserve"> </w:t>
            </w:r>
            <w:r>
              <w:rPr>
                <w:rFonts w:ascii="Times New Roman" w:hAnsi="Times New Roman" w:eastAsia="Times New Roman" w:cs="Times New Roman"/>
                <w:i/>
                <w:iCs/>
                <w:spacing w:val="1"/>
                <w:position w:val="9"/>
                <w:sz w:val="23"/>
                <w:szCs w:val="23"/>
              </w:rPr>
              <w:t>Q</w:t>
            </w:r>
            <w:r>
              <w:rPr>
                <w:rFonts w:ascii="Times New Roman" w:hAnsi="Times New Roman" w:eastAsia="Times New Roman" w:cs="Times New Roman"/>
                <w:spacing w:val="1"/>
                <w:position w:val="5"/>
                <w:sz w:val="13"/>
                <w:szCs w:val="13"/>
              </w:rPr>
              <w:t>2</w:t>
            </w:r>
            <w:r>
              <w:rPr>
                <w:rFonts w:ascii="Times New Roman" w:hAnsi="Times New Roman" w:eastAsia="Times New Roman" w:cs="Times New Roman"/>
                <w:spacing w:val="1"/>
                <w:position w:val="5"/>
                <w:sz w:val="23"/>
                <w:szCs w:val="23"/>
              </w:rPr>
              <w:t>,</w:t>
            </w:r>
            <w:r>
              <w:rPr>
                <w:rFonts w:ascii="Times New Roman" w:hAnsi="Times New Roman" w:eastAsia="Times New Roman" w:cs="Times New Roman"/>
                <w:spacing w:val="-19"/>
                <w:position w:val="5"/>
                <w:sz w:val="23"/>
                <w:szCs w:val="23"/>
              </w:rPr>
              <w:t xml:space="preserve"> </w:t>
            </w:r>
            <w:r>
              <w:rPr>
                <w:rFonts w:ascii="Arial" w:hAnsi="Arial" w:eastAsia="Arial" w:cs="Arial"/>
                <w:b/>
                <w:bCs/>
                <w:spacing w:val="1"/>
                <w:position w:val="9"/>
                <w:sz w:val="23"/>
                <w:szCs w:val="23"/>
              </w:rPr>
              <w:t>…</w:t>
            </w:r>
            <w:r>
              <w:rPr>
                <w:rFonts w:ascii="Arial" w:hAnsi="Arial" w:eastAsia="Arial" w:cs="Arial"/>
                <w:b/>
                <w:bCs/>
                <w:spacing w:val="-42"/>
                <w:position w:val="9"/>
                <w:sz w:val="23"/>
                <w:szCs w:val="23"/>
              </w:rPr>
              <w:t xml:space="preserve"> </w:t>
            </w:r>
            <w:r>
              <w:rPr>
                <w:rFonts w:ascii="Times New Roman" w:hAnsi="Times New Roman" w:eastAsia="Times New Roman" w:cs="Times New Roman"/>
                <w:i/>
                <w:iCs/>
                <w:position w:val="9"/>
                <w:sz w:val="23"/>
                <w:szCs w:val="23"/>
              </w:rPr>
              <w:t>Q</w:t>
            </w:r>
            <w:r>
              <w:rPr>
                <w:rFonts w:ascii="Times New Roman" w:hAnsi="Times New Roman" w:eastAsia="Times New Roman" w:cs="Times New Roman"/>
                <w:i/>
                <w:iCs/>
                <w:position w:val="3"/>
                <w:sz w:val="13"/>
                <w:szCs w:val="13"/>
              </w:rPr>
              <w:t>n</w:t>
            </w:r>
            <w:r>
              <w:rPr>
                <w:rFonts w:ascii="Times New Roman" w:hAnsi="Times New Roman" w:eastAsia="Times New Roman" w:cs="Times New Roman"/>
                <w:i/>
                <w:iCs/>
                <w:spacing w:val="21"/>
                <w:position w:val="3"/>
                <w:sz w:val="13"/>
                <w:szCs w:val="13"/>
              </w:rPr>
              <w:t xml:space="preserve"> </w:t>
            </w:r>
            <w:r>
              <w:rPr>
                <w:rFonts w:ascii="Times New Roman" w:hAnsi="Times New Roman" w:eastAsia="Times New Roman" w:cs="Times New Roman"/>
                <w:i/>
                <w:iCs/>
                <w:spacing w:val="2"/>
                <w:position w:val="3"/>
                <w:sz w:val="13"/>
                <w:szCs w:val="13"/>
                <w:u w:val="single" w:color="auto"/>
              </w:rPr>
              <w:t xml:space="preserve">              </w:t>
            </w:r>
            <w:r>
              <w:rPr>
                <w:rFonts w:ascii="Times New Roman" w:hAnsi="Times New Roman" w:eastAsia="Times New Roman" w:cs="Times New Roman"/>
                <w:i/>
                <w:iCs/>
                <w:spacing w:val="-24"/>
                <w:position w:val="3"/>
                <w:sz w:val="13"/>
                <w:szCs w:val="13"/>
              </w:rPr>
              <w:t xml:space="preserve"> </w:t>
            </w:r>
            <w:r>
              <w:rPr>
                <w:spacing w:val="1"/>
              </w:rPr>
              <w:t>每种危险物质的的临界量</w:t>
            </w:r>
            <w:r>
              <w:rPr>
                <w:spacing w:val="1"/>
                <w:position w:val="-2"/>
              </w:rPr>
              <w:t>，</w:t>
            </w:r>
            <w:r>
              <w:rPr>
                <w:rFonts w:ascii="Times New Roman" w:hAnsi="Times New Roman" w:eastAsia="Times New Roman" w:cs="Times New Roman"/>
                <w:spacing w:val="1"/>
                <w:position w:val="-2"/>
              </w:rPr>
              <w:t>t</w:t>
            </w:r>
            <w:r>
              <w:rPr>
                <w:spacing w:val="1"/>
                <w:position w:val="-2"/>
              </w:rPr>
              <w:t>。</w:t>
            </w:r>
          </w:p>
          <w:p w14:paraId="1FDF23E2">
            <w:pPr>
              <w:pStyle w:val="6"/>
              <w:spacing w:line="210" w:lineRule="auto"/>
              <w:ind w:left="599"/>
            </w:pPr>
            <w:r>
              <w:rPr>
                <w:spacing w:val="-4"/>
              </w:rPr>
              <w:t>当</w:t>
            </w:r>
            <w:r>
              <w:rPr>
                <w:spacing w:val="-35"/>
              </w:rPr>
              <w:t xml:space="preserve"> </w:t>
            </w:r>
            <w:r>
              <w:rPr>
                <w:rFonts w:ascii="Times New Roman" w:hAnsi="Times New Roman" w:eastAsia="Times New Roman" w:cs="Times New Roman"/>
                <w:spacing w:val="-4"/>
              </w:rPr>
              <w:t>Q</w:t>
            </w:r>
            <w:r>
              <w:rPr>
                <w:spacing w:val="-4"/>
              </w:rPr>
              <w:t>＜</w:t>
            </w:r>
            <w:r>
              <w:rPr>
                <w:rFonts w:ascii="Times New Roman" w:hAnsi="Times New Roman" w:eastAsia="Times New Roman" w:cs="Times New Roman"/>
                <w:spacing w:val="-4"/>
              </w:rPr>
              <w:t>1</w:t>
            </w:r>
            <w:r>
              <w:rPr>
                <w:rFonts w:ascii="Times New Roman" w:hAnsi="Times New Roman" w:eastAsia="Times New Roman" w:cs="Times New Roman"/>
                <w:spacing w:val="20"/>
                <w:w w:val="101"/>
              </w:rPr>
              <w:t xml:space="preserve"> </w:t>
            </w:r>
            <w:r>
              <w:rPr>
                <w:spacing w:val="-4"/>
              </w:rPr>
              <w:t>时，该项目环境风险潜势为</w:t>
            </w:r>
            <w:r>
              <w:rPr>
                <w:rFonts w:ascii="Times New Roman" w:hAnsi="Times New Roman" w:eastAsia="Times New Roman" w:cs="Times New Roman"/>
                <w:spacing w:val="-4"/>
              </w:rPr>
              <w:t>Ⅰ</w:t>
            </w:r>
            <w:r>
              <w:rPr>
                <w:spacing w:val="-4"/>
              </w:rPr>
              <w:t>。</w:t>
            </w:r>
          </w:p>
          <w:p w14:paraId="72BF96BB">
            <w:pPr>
              <w:pStyle w:val="6"/>
              <w:spacing w:before="193" w:line="330" w:lineRule="auto"/>
              <w:ind w:left="588" w:right="16" w:firstLine="11"/>
            </w:pPr>
            <w:r>
              <w:rPr>
                <w:spacing w:val="-4"/>
              </w:rPr>
              <w:t>当</w:t>
            </w:r>
            <w:r>
              <w:rPr>
                <w:spacing w:val="-52"/>
              </w:rPr>
              <w:t xml:space="preserve"> </w:t>
            </w:r>
            <w:r>
              <w:rPr>
                <w:rFonts w:ascii="Times New Roman" w:hAnsi="Times New Roman" w:eastAsia="Times New Roman" w:cs="Times New Roman"/>
                <w:spacing w:val="-4"/>
              </w:rPr>
              <w:t>Q≥1</w:t>
            </w:r>
            <w:r>
              <w:rPr>
                <w:rFonts w:ascii="Times New Roman" w:hAnsi="Times New Roman" w:eastAsia="Times New Roman" w:cs="Times New Roman"/>
                <w:spacing w:val="21"/>
              </w:rPr>
              <w:t xml:space="preserve"> </w:t>
            </w:r>
            <w:r>
              <w:rPr>
                <w:spacing w:val="-4"/>
              </w:rPr>
              <w:t>时，将</w:t>
            </w:r>
            <w:r>
              <w:rPr>
                <w:spacing w:val="-52"/>
              </w:rPr>
              <w:t xml:space="preserve"> </w:t>
            </w:r>
            <w:r>
              <w:rPr>
                <w:rFonts w:ascii="Times New Roman" w:hAnsi="Times New Roman" w:eastAsia="Times New Roman" w:cs="Times New Roman"/>
                <w:spacing w:val="-4"/>
              </w:rPr>
              <w:t xml:space="preserve">Q </w:t>
            </w:r>
            <w:r>
              <w:rPr>
                <w:spacing w:val="-4"/>
              </w:rPr>
              <w:t>值划分为</w:t>
            </w:r>
            <w:r>
              <w:rPr>
                <w:spacing w:val="-53"/>
              </w:rPr>
              <w:t>：（</w:t>
            </w:r>
            <w:r>
              <w:rPr>
                <w:rFonts w:ascii="Times New Roman" w:hAnsi="Times New Roman" w:eastAsia="Times New Roman" w:cs="Times New Roman"/>
                <w:spacing w:val="-4"/>
              </w:rPr>
              <w:t>1</w:t>
            </w:r>
            <w:r>
              <w:rPr>
                <w:spacing w:val="-4"/>
              </w:rPr>
              <w:t>）</w:t>
            </w:r>
            <w:r>
              <w:rPr>
                <w:rFonts w:ascii="Times New Roman" w:hAnsi="Times New Roman" w:eastAsia="Times New Roman" w:cs="Times New Roman"/>
                <w:spacing w:val="-4"/>
              </w:rPr>
              <w:t>1≤Q</w:t>
            </w:r>
            <w:r>
              <w:rPr>
                <w:spacing w:val="-4"/>
              </w:rPr>
              <w:t>＜</w:t>
            </w:r>
            <w:r>
              <w:rPr>
                <w:rFonts w:ascii="Times New Roman" w:hAnsi="Times New Roman" w:eastAsia="Times New Roman" w:cs="Times New Roman"/>
                <w:spacing w:val="-4"/>
              </w:rPr>
              <w:t>10</w:t>
            </w:r>
            <w:r>
              <w:rPr>
                <w:spacing w:val="-53"/>
              </w:rPr>
              <w:t>；（</w:t>
            </w:r>
            <w:r>
              <w:rPr>
                <w:rFonts w:ascii="Times New Roman" w:hAnsi="Times New Roman" w:eastAsia="Times New Roman" w:cs="Times New Roman"/>
                <w:spacing w:val="-4"/>
              </w:rPr>
              <w:t>2</w:t>
            </w:r>
            <w:r>
              <w:rPr>
                <w:spacing w:val="-4"/>
              </w:rPr>
              <w:t>）</w:t>
            </w:r>
            <w:r>
              <w:rPr>
                <w:rFonts w:ascii="Times New Roman" w:hAnsi="Times New Roman" w:eastAsia="Times New Roman" w:cs="Times New Roman"/>
                <w:spacing w:val="-4"/>
              </w:rPr>
              <w:t>10≤Q</w:t>
            </w:r>
            <w:r>
              <w:rPr>
                <w:spacing w:val="-4"/>
              </w:rPr>
              <w:t>＜</w:t>
            </w:r>
            <w:r>
              <w:rPr>
                <w:rFonts w:ascii="Times New Roman" w:hAnsi="Times New Roman" w:eastAsia="Times New Roman" w:cs="Times New Roman"/>
                <w:spacing w:val="-4"/>
              </w:rPr>
              <w:t>100</w:t>
            </w:r>
            <w:r>
              <w:rPr>
                <w:spacing w:val="-53"/>
              </w:rPr>
              <w:t>；（</w:t>
            </w:r>
            <w:r>
              <w:rPr>
                <w:rFonts w:ascii="Times New Roman" w:hAnsi="Times New Roman" w:eastAsia="Times New Roman" w:cs="Times New Roman"/>
                <w:spacing w:val="-4"/>
              </w:rPr>
              <w:t>3</w:t>
            </w:r>
            <w:r>
              <w:rPr>
                <w:spacing w:val="-4"/>
              </w:rPr>
              <w:t>）</w:t>
            </w:r>
            <w:r>
              <w:rPr>
                <w:rFonts w:ascii="Times New Roman" w:hAnsi="Times New Roman" w:eastAsia="Times New Roman" w:cs="Times New Roman"/>
                <w:spacing w:val="-4"/>
              </w:rPr>
              <w:t>Q</w:t>
            </w:r>
            <w:r>
              <w:rPr>
                <w:rFonts w:ascii="Times New Roman" w:hAnsi="Times New Roman" w:eastAsia="Times New Roman" w:cs="Times New Roman"/>
                <w:spacing w:val="-5"/>
              </w:rPr>
              <w:t>≥100</w:t>
            </w:r>
            <w:r>
              <w:rPr>
                <w:spacing w:val="-5"/>
              </w:rPr>
              <w:t>。</w:t>
            </w:r>
            <w:r>
              <w:t xml:space="preserve"> </w:t>
            </w:r>
            <w:r>
              <w:rPr>
                <w:spacing w:val="-2"/>
              </w:rPr>
              <w:t>项目拆解废油产生量为</w:t>
            </w:r>
            <w:r>
              <w:rPr>
                <w:spacing w:val="-49"/>
              </w:rPr>
              <w:t xml:space="preserve"> </w:t>
            </w:r>
            <w:r>
              <w:rPr>
                <w:rFonts w:ascii="Times New Roman" w:hAnsi="Times New Roman" w:eastAsia="Times New Roman" w:cs="Times New Roman"/>
                <w:spacing w:val="-2"/>
              </w:rPr>
              <w:t>3.2t/a</w:t>
            </w:r>
            <w:r>
              <w:rPr>
                <w:rFonts w:ascii="Times New Roman" w:hAnsi="Times New Roman" w:eastAsia="Times New Roman" w:cs="Times New Roman"/>
                <w:spacing w:val="-34"/>
              </w:rPr>
              <w:t xml:space="preserve"> </w:t>
            </w:r>
            <w:r>
              <w:rPr>
                <w:spacing w:val="-2"/>
              </w:rPr>
              <w:t>，存储于危废贮存库内。</w:t>
            </w:r>
          </w:p>
          <w:p w14:paraId="1E32E9D4">
            <w:pPr>
              <w:pStyle w:val="6"/>
              <w:spacing w:before="1" w:line="211" w:lineRule="auto"/>
              <w:ind w:left="2758"/>
            </w:pPr>
            <w:r>
              <w:rPr>
                <w:b/>
                <w:bCs/>
                <w:spacing w:val="-2"/>
              </w:rPr>
              <w:t>表</w:t>
            </w:r>
            <w:r>
              <w:rPr>
                <w:spacing w:val="-52"/>
              </w:rPr>
              <w:t xml:space="preserve"> </w:t>
            </w:r>
            <w:r>
              <w:rPr>
                <w:rFonts w:ascii="Times New Roman" w:hAnsi="Times New Roman" w:eastAsia="Times New Roman" w:cs="Times New Roman"/>
                <w:b/>
                <w:bCs/>
                <w:spacing w:val="-2"/>
              </w:rPr>
              <w:t xml:space="preserve">4-15    </w:t>
            </w:r>
            <w:r>
              <w:rPr>
                <w:b/>
                <w:bCs/>
                <w:spacing w:val="-2"/>
              </w:rPr>
              <w:t>重大危险源辨识表</w:t>
            </w:r>
          </w:p>
          <w:tbl>
            <w:tblPr>
              <w:tblStyle w:val="5"/>
              <w:tblW w:w="8194" w:type="dxa"/>
              <w:tblInd w:w="10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4"/>
              <w:gridCol w:w="1181"/>
              <w:gridCol w:w="2109"/>
              <w:gridCol w:w="1555"/>
              <w:gridCol w:w="1615"/>
            </w:tblGrid>
            <w:tr w14:paraId="63110E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7" w:hRule="atLeast"/>
              </w:trPr>
              <w:tc>
                <w:tcPr>
                  <w:tcW w:w="1734" w:type="dxa"/>
                  <w:vAlign w:val="top"/>
                </w:tcPr>
                <w:p w14:paraId="6018BDB6">
                  <w:pPr>
                    <w:pStyle w:val="6"/>
                    <w:spacing w:before="108" w:line="228" w:lineRule="auto"/>
                    <w:ind w:left="658"/>
                    <w:rPr>
                      <w:sz w:val="20"/>
                      <w:szCs w:val="20"/>
                    </w:rPr>
                  </w:pPr>
                  <w:r>
                    <w:rPr>
                      <w:b/>
                      <w:bCs/>
                      <w:spacing w:val="3"/>
                      <w:sz w:val="20"/>
                      <w:szCs w:val="20"/>
                    </w:rPr>
                    <w:t>单元</w:t>
                  </w:r>
                </w:p>
              </w:tc>
              <w:tc>
                <w:tcPr>
                  <w:tcW w:w="1181" w:type="dxa"/>
                  <w:vAlign w:val="top"/>
                </w:tcPr>
                <w:p w14:paraId="2A42B91C">
                  <w:pPr>
                    <w:pStyle w:val="6"/>
                    <w:spacing w:before="108" w:line="228" w:lineRule="auto"/>
                    <w:ind w:left="171"/>
                    <w:rPr>
                      <w:sz w:val="20"/>
                      <w:szCs w:val="20"/>
                    </w:rPr>
                  </w:pPr>
                  <w:r>
                    <w:rPr>
                      <w:b/>
                      <w:bCs/>
                      <w:spacing w:val="5"/>
                      <w:sz w:val="20"/>
                      <w:szCs w:val="20"/>
                    </w:rPr>
                    <w:t>危险物质</w:t>
                  </w:r>
                </w:p>
              </w:tc>
              <w:tc>
                <w:tcPr>
                  <w:tcW w:w="2109" w:type="dxa"/>
                  <w:vAlign w:val="top"/>
                </w:tcPr>
                <w:p w14:paraId="3631C6AC">
                  <w:pPr>
                    <w:pStyle w:val="6"/>
                    <w:spacing w:before="108" w:line="221" w:lineRule="auto"/>
                    <w:ind w:left="202"/>
                    <w:rPr>
                      <w:sz w:val="20"/>
                      <w:szCs w:val="20"/>
                    </w:rPr>
                  </w:pPr>
                  <w:r>
                    <w:rPr>
                      <w:b/>
                      <w:bCs/>
                      <w:spacing w:val="4"/>
                      <w:sz w:val="20"/>
                      <w:szCs w:val="20"/>
                    </w:rPr>
                    <w:t>最大存在量</w:t>
                  </w:r>
                  <w:r>
                    <w:rPr>
                      <w:spacing w:val="-38"/>
                      <w:sz w:val="20"/>
                      <w:szCs w:val="20"/>
                    </w:rPr>
                    <w:t xml:space="preserve"> </w:t>
                  </w:r>
                  <w:r>
                    <w:rPr>
                      <w:rFonts w:ascii="Times New Roman" w:hAnsi="Times New Roman" w:eastAsia="Times New Roman" w:cs="Times New Roman"/>
                      <w:b/>
                      <w:bCs/>
                      <w:spacing w:val="4"/>
                      <w:sz w:val="20"/>
                      <w:szCs w:val="20"/>
                    </w:rPr>
                    <w:t>q</w:t>
                  </w:r>
                  <w:r>
                    <w:rPr>
                      <w:b/>
                      <w:bCs/>
                      <w:spacing w:val="4"/>
                      <w:sz w:val="20"/>
                      <w:szCs w:val="20"/>
                    </w:rPr>
                    <w:t>（</w:t>
                  </w:r>
                  <w:r>
                    <w:rPr>
                      <w:rFonts w:ascii="Times New Roman" w:hAnsi="Times New Roman" w:eastAsia="Times New Roman" w:cs="Times New Roman"/>
                      <w:b/>
                      <w:bCs/>
                      <w:spacing w:val="4"/>
                      <w:sz w:val="20"/>
                      <w:szCs w:val="20"/>
                    </w:rPr>
                    <w:t>t</w:t>
                  </w:r>
                  <w:r>
                    <w:rPr>
                      <w:b/>
                      <w:bCs/>
                      <w:spacing w:val="4"/>
                      <w:sz w:val="20"/>
                      <w:szCs w:val="20"/>
                    </w:rPr>
                    <w:t>）</w:t>
                  </w:r>
                </w:p>
              </w:tc>
              <w:tc>
                <w:tcPr>
                  <w:tcW w:w="1555" w:type="dxa"/>
                  <w:vAlign w:val="top"/>
                </w:tcPr>
                <w:p w14:paraId="774EF6F2">
                  <w:pPr>
                    <w:pStyle w:val="6"/>
                    <w:spacing w:before="107" w:line="221" w:lineRule="auto"/>
                    <w:ind w:left="123"/>
                    <w:rPr>
                      <w:sz w:val="20"/>
                      <w:szCs w:val="20"/>
                    </w:rPr>
                  </w:pPr>
                  <w:r>
                    <w:rPr>
                      <w:b/>
                      <w:bCs/>
                      <w:spacing w:val="2"/>
                      <w:sz w:val="20"/>
                      <w:szCs w:val="20"/>
                    </w:rPr>
                    <w:t>临界量</w:t>
                  </w:r>
                  <w:r>
                    <w:rPr>
                      <w:spacing w:val="-37"/>
                      <w:sz w:val="20"/>
                      <w:szCs w:val="20"/>
                    </w:rPr>
                    <w:t xml:space="preserve"> </w:t>
                  </w:r>
                  <w:r>
                    <w:rPr>
                      <w:rFonts w:ascii="Times New Roman" w:hAnsi="Times New Roman" w:eastAsia="Times New Roman" w:cs="Times New Roman"/>
                      <w:b/>
                      <w:bCs/>
                      <w:spacing w:val="2"/>
                      <w:sz w:val="20"/>
                      <w:szCs w:val="20"/>
                    </w:rPr>
                    <w:t>Q</w:t>
                  </w:r>
                  <w:r>
                    <w:rPr>
                      <w:b/>
                      <w:bCs/>
                      <w:spacing w:val="2"/>
                      <w:sz w:val="20"/>
                      <w:szCs w:val="20"/>
                    </w:rPr>
                    <w:t>（</w:t>
                  </w:r>
                  <w:r>
                    <w:rPr>
                      <w:rFonts w:ascii="Times New Roman" w:hAnsi="Times New Roman" w:eastAsia="Times New Roman" w:cs="Times New Roman"/>
                      <w:b/>
                      <w:bCs/>
                      <w:spacing w:val="2"/>
                      <w:sz w:val="20"/>
                      <w:szCs w:val="20"/>
                    </w:rPr>
                    <w:t>t</w:t>
                  </w:r>
                  <w:r>
                    <w:rPr>
                      <w:b/>
                      <w:bCs/>
                      <w:spacing w:val="2"/>
                      <w:sz w:val="20"/>
                      <w:szCs w:val="20"/>
                    </w:rPr>
                    <w:t>）</w:t>
                  </w:r>
                </w:p>
              </w:tc>
              <w:tc>
                <w:tcPr>
                  <w:tcW w:w="1615" w:type="dxa"/>
                  <w:vAlign w:val="top"/>
                </w:tcPr>
                <w:p w14:paraId="5267E4FD">
                  <w:pPr>
                    <w:spacing w:before="144" w:line="197" w:lineRule="auto"/>
                    <w:ind w:left="641"/>
                    <w:rPr>
                      <w:rFonts w:ascii="Times New Roman" w:hAnsi="Times New Roman" w:eastAsia="Times New Roman" w:cs="Times New Roman"/>
                      <w:sz w:val="20"/>
                      <w:szCs w:val="20"/>
                    </w:rPr>
                  </w:pPr>
                  <w:r>
                    <w:rPr>
                      <w:rFonts w:ascii="Times New Roman" w:hAnsi="Times New Roman" w:eastAsia="Times New Roman" w:cs="Times New Roman"/>
                      <w:b/>
                      <w:bCs/>
                      <w:spacing w:val="1"/>
                      <w:sz w:val="20"/>
                      <w:szCs w:val="20"/>
                    </w:rPr>
                    <w:t>q/Q</w:t>
                  </w:r>
                </w:p>
              </w:tc>
            </w:tr>
            <w:tr w14:paraId="7F064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1734" w:type="dxa"/>
                  <w:vMerge w:val="restart"/>
                  <w:tcBorders>
                    <w:bottom w:val="nil"/>
                  </w:tcBorders>
                  <w:vAlign w:val="top"/>
                </w:tcPr>
                <w:p w14:paraId="65E20B00">
                  <w:pPr>
                    <w:spacing w:line="371" w:lineRule="auto"/>
                    <w:rPr>
                      <w:rFonts w:ascii="Arial"/>
                      <w:sz w:val="21"/>
                    </w:rPr>
                  </w:pPr>
                </w:p>
                <w:p w14:paraId="201FA1A7">
                  <w:pPr>
                    <w:pStyle w:val="6"/>
                    <w:spacing w:before="65" w:line="228" w:lineRule="auto"/>
                    <w:ind w:left="136"/>
                    <w:rPr>
                      <w:sz w:val="20"/>
                      <w:szCs w:val="20"/>
                    </w:rPr>
                  </w:pPr>
                  <w:r>
                    <w:rPr>
                      <w:spacing w:val="8"/>
                      <w:sz w:val="20"/>
                      <w:szCs w:val="20"/>
                    </w:rPr>
                    <w:t>危险废物贮存库</w:t>
                  </w:r>
                </w:p>
              </w:tc>
              <w:tc>
                <w:tcPr>
                  <w:tcW w:w="1181" w:type="dxa"/>
                  <w:vAlign w:val="top"/>
                </w:tcPr>
                <w:p w14:paraId="5ACCBD3E">
                  <w:pPr>
                    <w:pStyle w:val="6"/>
                    <w:spacing w:before="118" w:line="228" w:lineRule="auto"/>
                    <w:ind w:left="275"/>
                    <w:rPr>
                      <w:sz w:val="20"/>
                      <w:szCs w:val="20"/>
                    </w:rPr>
                  </w:pPr>
                  <w:r>
                    <w:rPr>
                      <w:spacing w:val="7"/>
                      <w:sz w:val="20"/>
                      <w:szCs w:val="20"/>
                    </w:rPr>
                    <w:t>废油液</w:t>
                  </w:r>
                </w:p>
              </w:tc>
              <w:tc>
                <w:tcPr>
                  <w:tcW w:w="2109" w:type="dxa"/>
                  <w:vAlign w:val="top"/>
                </w:tcPr>
                <w:p w14:paraId="7E791BA2">
                  <w:pPr>
                    <w:spacing w:before="153" w:line="195" w:lineRule="auto"/>
                    <w:ind w:left="1020"/>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1555" w:type="dxa"/>
                  <w:vAlign w:val="top"/>
                </w:tcPr>
                <w:p w14:paraId="25E3E2A2">
                  <w:pPr>
                    <w:spacing w:before="153" w:line="195" w:lineRule="auto"/>
                    <w:ind w:left="568"/>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2500</w:t>
                  </w:r>
                </w:p>
              </w:tc>
              <w:tc>
                <w:tcPr>
                  <w:tcW w:w="1615" w:type="dxa"/>
                  <w:vAlign w:val="top"/>
                </w:tcPr>
                <w:p w14:paraId="64AC59AE">
                  <w:pPr>
                    <w:spacing w:before="153" w:line="195" w:lineRule="auto"/>
                    <w:ind w:left="521"/>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0.0004</w:t>
                  </w:r>
                </w:p>
              </w:tc>
            </w:tr>
            <w:tr w14:paraId="6CA11A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734" w:type="dxa"/>
                  <w:vMerge w:val="continue"/>
                  <w:tcBorders>
                    <w:top w:val="nil"/>
                  </w:tcBorders>
                  <w:vAlign w:val="top"/>
                </w:tcPr>
                <w:p w14:paraId="191E4E49">
                  <w:pPr>
                    <w:rPr>
                      <w:rFonts w:ascii="Arial"/>
                      <w:sz w:val="21"/>
                    </w:rPr>
                  </w:pPr>
                </w:p>
              </w:tc>
              <w:tc>
                <w:tcPr>
                  <w:tcW w:w="1181" w:type="dxa"/>
                  <w:vAlign w:val="top"/>
                </w:tcPr>
                <w:p w14:paraId="23A5F82F">
                  <w:pPr>
                    <w:pStyle w:val="6"/>
                    <w:spacing w:before="210" w:line="229" w:lineRule="auto"/>
                    <w:ind w:left="381"/>
                    <w:rPr>
                      <w:sz w:val="20"/>
                      <w:szCs w:val="20"/>
                    </w:rPr>
                  </w:pPr>
                  <w:r>
                    <w:rPr>
                      <w:spacing w:val="5"/>
                      <w:sz w:val="20"/>
                      <w:szCs w:val="20"/>
                    </w:rPr>
                    <w:t>硫酸</w:t>
                  </w:r>
                </w:p>
              </w:tc>
              <w:tc>
                <w:tcPr>
                  <w:tcW w:w="2109" w:type="dxa"/>
                  <w:vAlign w:val="top"/>
                </w:tcPr>
                <w:p w14:paraId="637FDAEE">
                  <w:pPr>
                    <w:spacing w:before="90" w:line="195" w:lineRule="auto"/>
                    <w:ind w:left="923"/>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0.2</w:t>
                  </w:r>
                </w:p>
                <w:p w14:paraId="1674B41A">
                  <w:pPr>
                    <w:pStyle w:val="6"/>
                    <w:spacing w:before="88" w:line="228" w:lineRule="auto"/>
                    <w:ind w:left="118"/>
                    <w:rPr>
                      <w:sz w:val="20"/>
                      <w:szCs w:val="20"/>
                    </w:rPr>
                  </w:pPr>
                  <w:r>
                    <w:rPr>
                      <w:spacing w:val="3"/>
                      <w:sz w:val="20"/>
                      <w:szCs w:val="20"/>
                    </w:rPr>
                    <w:t>（废铅酸蓄电池</w:t>
                  </w:r>
                  <w:r>
                    <w:rPr>
                      <w:spacing w:val="-20"/>
                      <w:sz w:val="20"/>
                      <w:szCs w:val="20"/>
                    </w:rPr>
                    <w:t xml:space="preserve"> </w:t>
                  </w:r>
                  <w:r>
                    <w:rPr>
                      <w:rFonts w:ascii="Times New Roman" w:hAnsi="Times New Roman" w:eastAsia="Times New Roman" w:cs="Times New Roman"/>
                      <w:spacing w:val="3"/>
                      <w:sz w:val="20"/>
                      <w:szCs w:val="20"/>
                    </w:rPr>
                    <w:t>1t</w:t>
                  </w:r>
                  <w:r>
                    <w:rPr>
                      <w:spacing w:val="3"/>
                      <w:sz w:val="20"/>
                      <w:szCs w:val="20"/>
                    </w:rPr>
                    <w:t>）</w:t>
                  </w:r>
                </w:p>
              </w:tc>
              <w:tc>
                <w:tcPr>
                  <w:tcW w:w="1555" w:type="dxa"/>
                  <w:vAlign w:val="top"/>
                </w:tcPr>
                <w:p w14:paraId="4E5CEDF6">
                  <w:pPr>
                    <w:spacing w:before="246" w:line="195" w:lineRule="auto"/>
                    <w:ind w:left="694"/>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10</w:t>
                  </w:r>
                </w:p>
              </w:tc>
              <w:tc>
                <w:tcPr>
                  <w:tcW w:w="1615" w:type="dxa"/>
                  <w:vAlign w:val="top"/>
                </w:tcPr>
                <w:p w14:paraId="08765653">
                  <w:pPr>
                    <w:spacing w:before="246" w:line="195" w:lineRule="auto"/>
                    <w:ind w:left="62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0.02</w:t>
                  </w:r>
                </w:p>
              </w:tc>
            </w:tr>
            <w:tr w14:paraId="1CD53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6579" w:type="dxa"/>
                  <w:gridSpan w:val="4"/>
                  <w:vAlign w:val="top"/>
                </w:tcPr>
                <w:p w14:paraId="7A0DF711">
                  <w:pPr>
                    <w:pStyle w:val="6"/>
                    <w:spacing w:before="57" w:line="229" w:lineRule="auto"/>
                    <w:ind w:left="3086"/>
                    <w:rPr>
                      <w:sz w:val="20"/>
                      <w:szCs w:val="20"/>
                    </w:rPr>
                  </w:pPr>
                  <w:r>
                    <w:rPr>
                      <w:spacing w:val="4"/>
                      <w:sz w:val="20"/>
                      <w:szCs w:val="20"/>
                    </w:rPr>
                    <w:t>合计</w:t>
                  </w:r>
                </w:p>
              </w:tc>
              <w:tc>
                <w:tcPr>
                  <w:tcW w:w="1615" w:type="dxa"/>
                  <w:vAlign w:val="top"/>
                </w:tcPr>
                <w:p w14:paraId="5FE6C1FF">
                  <w:pPr>
                    <w:pStyle w:val="6"/>
                    <w:spacing w:before="57" w:line="235" w:lineRule="auto"/>
                    <w:ind w:left="363"/>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0.0204</w:t>
                  </w:r>
                  <w:r>
                    <w:rPr>
                      <w:spacing w:val="4"/>
                      <w:sz w:val="20"/>
                      <w:szCs w:val="20"/>
                    </w:rPr>
                    <w:t>＜</w:t>
                  </w:r>
                  <w:r>
                    <w:rPr>
                      <w:rFonts w:ascii="Times New Roman" w:hAnsi="Times New Roman" w:eastAsia="Times New Roman" w:cs="Times New Roman"/>
                      <w:spacing w:val="4"/>
                      <w:sz w:val="20"/>
                      <w:szCs w:val="20"/>
                    </w:rPr>
                    <w:t>1</w:t>
                  </w:r>
                </w:p>
              </w:tc>
            </w:tr>
          </w:tbl>
          <w:p w14:paraId="4D9FB64B">
            <w:pPr>
              <w:pStyle w:val="6"/>
              <w:spacing w:before="116" w:line="338" w:lineRule="auto"/>
              <w:ind w:left="122" w:right="96" w:firstLine="462"/>
            </w:pPr>
            <w:r>
              <w:rPr>
                <w:spacing w:val="2"/>
              </w:rPr>
              <w:t>根据《建设项目环境风险评价技术导则》（</w:t>
            </w:r>
            <w:r>
              <w:rPr>
                <w:rFonts w:ascii="Times New Roman" w:hAnsi="Times New Roman" w:eastAsia="Times New Roman" w:cs="Times New Roman"/>
              </w:rPr>
              <w:t>HJ</w:t>
            </w:r>
            <w:r>
              <w:rPr>
                <w:rFonts w:ascii="Times New Roman" w:hAnsi="Times New Roman" w:eastAsia="Times New Roman" w:cs="Times New Roman"/>
                <w:spacing w:val="1"/>
              </w:rPr>
              <w:t>169-2018</w:t>
            </w:r>
            <w:r>
              <w:rPr>
                <w:spacing w:val="1"/>
              </w:rPr>
              <w:t>）计算，本项目</w:t>
            </w:r>
            <w:r>
              <w:rPr>
                <w:spacing w:val="-47"/>
              </w:rPr>
              <w:t xml:space="preserve"> </w:t>
            </w:r>
            <w:r>
              <w:rPr>
                <w:rFonts w:ascii="Times New Roman" w:hAnsi="Times New Roman" w:eastAsia="Times New Roman" w:cs="Times New Roman"/>
                <w:spacing w:val="1"/>
              </w:rPr>
              <w:t>Q</w:t>
            </w:r>
            <w:r>
              <w:rPr>
                <w:rFonts w:ascii="Times New Roman" w:hAnsi="Times New Roman" w:eastAsia="Times New Roman" w:cs="Times New Roman"/>
              </w:rPr>
              <w:t xml:space="preserve"> </w:t>
            </w:r>
            <w:r>
              <w:rPr>
                <w:spacing w:val="-5"/>
              </w:rPr>
              <w:t>＜</w:t>
            </w:r>
            <w:r>
              <w:rPr>
                <w:rFonts w:ascii="Times New Roman" w:hAnsi="Times New Roman" w:eastAsia="Times New Roman" w:cs="Times New Roman"/>
                <w:spacing w:val="-5"/>
              </w:rPr>
              <w:t>1</w:t>
            </w:r>
            <w:r>
              <w:rPr>
                <w:rFonts w:ascii="Times New Roman" w:hAnsi="Times New Roman" w:eastAsia="Times New Roman" w:cs="Times New Roman"/>
                <w:spacing w:val="-31"/>
              </w:rPr>
              <w:t xml:space="preserve"> </w:t>
            </w:r>
            <w:r>
              <w:rPr>
                <w:spacing w:val="-5"/>
              </w:rPr>
              <w:t>，本项目环境风险潜势为</w:t>
            </w:r>
            <w:r>
              <w:rPr>
                <w:rFonts w:ascii="Times New Roman" w:hAnsi="Times New Roman" w:eastAsia="Times New Roman" w:cs="Times New Roman"/>
                <w:spacing w:val="-5"/>
              </w:rPr>
              <w:t>Ⅰ</w:t>
            </w:r>
            <w:r>
              <w:rPr>
                <w:rFonts w:ascii="Times New Roman" w:hAnsi="Times New Roman" w:eastAsia="Times New Roman" w:cs="Times New Roman"/>
                <w:spacing w:val="-35"/>
              </w:rPr>
              <w:t xml:space="preserve"> </w:t>
            </w:r>
            <w:r>
              <w:rPr>
                <w:spacing w:val="-5"/>
              </w:rPr>
              <w:t>,</w:t>
            </w:r>
            <w:r>
              <w:rPr>
                <w:spacing w:val="64"/>
              </w:rPr>
              <w:t xml:space="preserve"> </w:t>
            </w:r>
            <w:r>
              <w:rPr>
                <w:spacing w:val="-5"/>
              </w:rPr>
              <w:t>本项目风险评价仅进行简要分析。</w:t>
            </w:r>
          </w:p>
          <w:p w14:paraId="02453AFE">
            <w:pPr>
              <w:pStyle w:val="6"/>
              <w:spacing w:before="56" w:line="220" w:lineRule="auto"/>
              <w:ind w:left="596"/>
            </w:pPr>
            <w:r>
              <w:rPr>
                <w:spacing w:val="-3"/>
              </w:rPr>
              <w:t>（</w:t>
            </w:r>
            <w:r>
              <w:rPr>
                <w:rFonts w:ascii="Times New Roman" w:hAnsi="Times New Roman" w:eastAsia="Times New Roman" w:cs="Times New Roman"/>
                <w:spacing w:val="-3"/>
              </w:rPr>
              <w:t>2</w:t>
            </w:r>
            <w:r>
              <w:rPr>
                <w:spacing w:val="-3"/>
              </w:rPr>
              <w:t>）风险识别</w:t>
            </w:r>
          </w:p>
          <w:p w14:paraId="05BB3414">
            <w:pPr>
              <w:pStyle w:val="6"/>
              <w:spacing w:before="183" w:line="347" w:lineRule="auto"/>
              <w:ind w:left="110" w:right="99" w:firstLine="475"/>
            </w:pPr>
            <w:r>
              <w:rPr>
                <w:spacing w:val="1"/>
              </w:rPr>
              <w:t>本项目生产工艺中拆解产生的废油和废铅酸蓄电池，在存储过程中存在一</w:t>
            </w:r>
            <w:r>
              <w:rPr>
                <w:spacing w:val="11"/>
              </w:rPr>
              <w:t xml:space="preserve"> </w:t>
            </w:r>
            <w:r>
              <w:rPr>
                <w:spacing w:val="-3"/>
              </w:rPr>
              <w:t>定的环境风险。</w:t>
            </w:r>
          </w:p>
          <w:p w14:paraId="0B0E003B">
            <w:pPr>
              <w:pStyle w:val="6"/>
              <w:spacing w:before="33" w:line="220" w:lineRule="auto"/>
              <w:ind w:left="596"/>
            </w:pPr>
            <w:r>
              <w:rPr>
                <w:spacing w:val="-3"/>
              </w:rPr>
              <w:t>（</w:t>
            </w:r>
            <w:r>
              <w:rPr>
                <w:rFonts w:ascii="Times New Roman" w:hAnsi="Times New Roman" w:eastAsia="Times New Roman" w:cs="Times New Roman"/>
                <w:spacing w:val="-3"/>
              </w:rPr>
              <w:t>3</w:t>
            </w:r>
            <w:r>
              <w:rPr>
                <w:spacing w:val="-3"/>
              </w:rPr>
              <w:t>）风险防范措施</w:t>
            </w:r>
          </w:p>
          <w:p w14:paraId="6B8C558F">
            <w:pPr>
              <w:pStyle w:val="6"/>
              <w:spacing w:before="183" w:line="219" w:lineRule="auto"/>
              <w:ind w:left="603"/>
            </w:pPr>
            <w:r>
              <w:rPr>
                <w:rFonts w:ascii="Times New Roman" w:hAnsi="Times New Roman" w:eastAsia="Times New Roman" w:cs="Times New Roman"/>
                <w:spacing w:val="-3"/>
              </w:rPr>
              <w:t>1</w:t>
            </w:r>
            <w:r>
              <w:rPr>
                <w:spacing w:val="-3"/>
              </w:rPr>
              <w:t>）贮存过程中事故防范措施</w:t>
            </w:r>
          </w:p>
          <w:p w14:paraId="4C01FFC9">
            <w:pPr>
              <w:pStyle w:val="6"/>
              <w:spacing w:before="184" w:line="353" w:lineRule="auto"/>
              <w:ind w:left="105" w:right="16" w:firstLine="480"/>
              <w:jc w:val="both"/>
            </w:pPr>
            <w:r>
              <w:rPr>
                <w:spacing w:val="-4"/>
              </w:rPr>
              <w:t>贮存过程事故风险主要是因废油液、废蓄电池泄漏或遭雷击而造成的火灾、</w:t>
            </w:r>
            <w:r>
              <w:rPr>
                <w:spacing w:val="18"/>
              </w:rPr>
              <w:t xml:space="preserve"> </w:t>
            </w:r>
            <w:r>
              <w:rPr>
                <w:spacing w:val="1"/>
              </w:rPr>
              <w:t>水质污染等事故，是安全生产的重要方面。根据《危险废物收集、贮存、运输</w:t>
            </w:r>
            <w:r>
              <w:rPr>
                <w:spacing w:val="14"/>
              </w:rPr>
              <w:t xml:space="preserve"> </w:t>
            </w:r>
            <w:r>
              <w:rPr>
                <w:spacing w:val="-8"/>
              </w:rPr>
              <w:t>技术规范》（</w:t>
            </w:r>
            <w:r>
              <w:rPr>
                <w:rFonts w:ascii="Times New Roman" w:hAnsi="Times New Roman" w:eastAsia="Times New Roman" w:cs="Times New Roman"/>
                <w:spacing w:val="-8"/>
              </w:rPr>
              <w:t>HJ2025-2012</w:t>
            </w:r>
            <w:r>
              <w:rPr>
                <w:spacing w:val="-8"/>
              </w:rPr>
              <w:t>）和《危险废物贮存污染控制标准》（</w:t>
            </w:r>
            <w:r>
              <w:rPr>
                <w:rFonts w:ascii="Times New Roman" w:hAnsi="Times New Roman" w:eastAsia="Times New Roman" w:cs="Times New Roman"/>
                <w:spacing w:val="-8"/>
              </w:rPr>
              <w:t>GB18597-2023</w:t>
            </w:r>
            <w:r>
              <w:rPr>
                <w:spacing w:val="-59"/>
                <w:w w:val="94"/>
              </w:rPr>
              <w:t>），</w:t>
            </w:r>
            <w:r>
              <w:rPr>
                <w:spacing w:val="1"/>
              </w:rPr>
              <w:t xml:space="preserve"> </w:t>
            </w:r>
            <w:r>
              <w:rPr>
                <w:spacing w:val="-1"/>
              </w:rPr>
              <w:t>危险废物贮存主要要求如下：</w:t>
            </w:r>
          </w:p>
          <w:p w14:paraId="2F330A01">
            <w:pPr>
              <w:pStyle w:val="6"/>
              <w:spacing w:before="37" w:line="356" w:lineRule="auto"/>
              <w:ind w:left="103" w:firstLine="479"/>
            </w:pPr>
            <w:r>
              <w:rPr>
                <w:spacing w:val="1"/>
              </w:rPr>
              <w:t>①严格按贮存要求设计。在废电池的收集、储存及转运过程中，严格执行</w:t>
            </w:r>
            <w:r>
              <w:rPr>
                <w:spacing w:val="13"/>
              </w:rPr>
              <w:t xml:space="preserve"> </w:t>
            </w:r>
            <w:r>
              <w:rPr>
                <w:spacing w:val="-1"/>
              </w:rPr>
              <w:t>《废铅酸蓄电池处理污染控制技术规范》（</w:t>
            </w:r>
            <w:r>
              <w:rPr>
                <w:spacing w:val="-2"/>
              </w:rPr>
              <w:t xml:space="preserve"> </w:t>
            </w:r>
            <w:r>
              <w:rPr>
                <w:rFonts w:ascii="Times New Roman" w:hAnsi="Times New Roman" w:eastAsia="Times New Roman" w:cs="Times New Roman"/>
                <w:spacing w:val="-2"/>
              </w:rPr>
              <w:t>HJ519-2009</w:t>
            </w:r>
            <w:r>
              <w:rPr>
                <w:spacing w:val="-2"/>
              </w:rPr>
              <w:t>）相关要求，废电池的</w:t>
            </w:r>
            <w:r>
              <w:t xml:space="preserve"> </w:t>
            </w:r>
            <w:r>
              <w:rPr>
                <w:spacing w:val="1"/>
              </w:rPr>
              <w:t>储存进行分区储存，并进行隔离</w:t>
            </w:r>
            <w:r>
              <w:rPr>
                <w:color w:val="0000FF"/>
                <w:spacing w:val="1"/>
              </w:rPr>
              <w:t>，</w:t>
            </w:r>
            <w:r>
              <w:rPr>
                <w:spacing w:val="1"/>
              </w:rPr>
              <w:t>废电池完好的放在塑料箱中并采用塑料膜包</w:t>
            </w:r>
            <w:r>
              <w:rPr>
                <w:spacing w:val="4"/>
              </w:rPr>
              <w:t xml:space="preserve">  </w:t>
            </w:r>
            <w:r>
              <w:rPr>
                <w:spacing w:val="1"/>
              </w:rPr>
              <w:t>装以防碰撞破损；如有破损的废电池放置在耐酸耐腐蚀的塑料箱内储存。危险</w:t>
            </w:r>
            <w:r>
              <w:rPr>
                <w:spacing w:val="14"/>
              </w:rPr>
              <w:t xml:space="preserve"> </w:t>
            </w:r>
            <w:r>
              <w:rPr>
                <w:spacing w:val="2"/>
              </w:rPr>
              <w:t xml:space="preserve">废物贮存库地面采取表面防渗措施，采用 </w:t>
            </w:r>
            <w:r>
              <w:rPr>
                <w:rFonts w:ascii="Times New Roman" w:hAnsi="Times New Roman" w:eastAsia="Times New Roman" w:cs="Times New Roman"/>
                <w:spacing w:val="2"/>
              </w:rPr>
              <w:t>2</w:t>
            </w:r>
            <w:r>
              <w:rPr>
                <w:rFonts w:ascii="Times New Roman" w:hAnsi="Times New Roman" w:eastAsia="Times New Roman" w:cs="Times New Roman"/>
              </w:rPr>
              <w:t>mm</w:t>
            </w:r>
            <w:r>
              <w:rPr>
                <w:rFonts w:ascii="Times New Roman" w:hAnsi="Times New Roman" w:eastAsia="Times New Roman" w:cs="Times New Roman"/>
                <w:spacing w:val="2"/>
              </w:rPr>
              <w:t xml:space="preserve">  </w:t>
            </w:r>
            <w:r>
              <w:rPr>
                <w:spacing w:val="2"/>
              </w:rPr>
              <w:t>厚高密度</w:t>
            </w:r>
            <w:r>
              <w:rPr>
                <w:spacing w:val="1"/>
              </w:rPr>
              <w:t>聚乙烯膜防渗材料，</w:t>
            </w:r>
            <w:r>
              <w:t xml:space="preserve"> </w:t>
            </w:r>
            <w:r>
              <w:rPr>
                <w:spacing w:val="-3"/>
              </w:rPr>
              <w:t>渗透系数不大于</w:t>
            </w:r>
            <w:r>
              <w:rPr>
                <w:spacing w:val="44"/>
              </w:rPr>
              <w:t xml:space="preserve"> </w:t>
            </w:r>
            <w:r>
              <w:rPr>
                <w:rFonts w:ascii="Times New Roman" w:hAnsi="Times New Roman" w:eastAsia="Times New Roman" w:cs="Times New Roman"/>
                <w:spacing w:val="-3"/>
              </w:rPr>
              <w:t>10</w:t>
            </w:r>
            <w:r>
              <w:rPr>
                <w:rFonts w:ascii="Times New Roman" w:hAnsi="Times New Roman" w:eastAsia="Times New Roman" w:cs="Times New Roman"/>
                <w:spacing w:val="-3"/>
                <w:position w:val="8"/>
                <w:sz w:val="15"/>
                <w:szCs w:val="15"/>
              </w:rPr>
              <w:t>-10</w:t>
            </w:r>
            <w:r>
              <w:rPr>
                <w:rFonts w:ascii="Times New Roman" w:hAnsi="Times New Roman" w:eastAsia="Times New Roman" w:cs="Times New Roman"/>
                <w:spacing w:val="-3"/>
              </w:rPr>
              <w:t>cm/s</w:t>
            </w:r>
            <w:r>
              <w:rPr>
                <w:spacing w:val="-17"/>
              </w:rPr>
              <w:t>，满足《危险废物贮存污染控制标准》（</w:t>
            </w:r>
            <w:r>
              <w:rPr>
                <w:rFonts w:ascii="Times New Roman" w:hAnsi="Times New Roman" w:eastAsia="Times New Roman" w:cs="Times New Roman"/>
                <w:spacing w:val="-17"/>
              </w:rPr>
              <w:t>GB</w:t>
            </w:r>
            <w:r>
              <w:rPr>
                <w:rFonts w:ascii="Times New Roman" w:hAnsi="Times New Roman" w:eastAsia="Times New Roman" w:cs="Times New Roman"/>
                <w:spacing w:val="29"/>
                <w:w w:val="101"/>
              </w:rPr>
              <w:t xml:space="preserve"> </w:t>
            </w:r>
            <w:r>
              <w:rPr>
                <w:rFonts w:ascii="Times New Roman" w:hAnsi="Times New Roman" w:eastAsia="Times New Roman" w:cs="Times New Roman"/>
                <w:spacing w:val="-17"/>
              </w:rPr>
              <w:t>18597-2023</w:t>
            </w:r>
            <w:r>
              <w:rPr>
                <w:spacing w:val="-17"/>
              </w:rPr>
              <w:t>）</w:t>
            </w:r>
            <w:r>
              <w:t xml:space="preserve"> </w:t>
            </w:r>
            <w:r>
              <w:rPr>
                <w:spacing w:val="1"/>
              </w:rPr>
              <w:t>中防渗要求。涉及防渗的工程（贮存库地面、围堰）在施工过程中，必须留有</w:t>
            </w:r>
          </w:p>
          <w:p w14:paraId="3EE7A0A2">
            <w:pPr>
              <w:spacing w:before="15" w:line="83" w:lineRule="exact"/>
              <w:ind w:left="4067"/>
              <w:rPr>
                <w:rFonts w:ascii="Calibri" w:hAnsi="Calibri" w:eastAsia="Calibri" w:cs="Calibri"/>
                <w:sz w:val="12"/>
                <w:szCs w:val="12"/>
              </w:rPr>
            </w:pPr>
            <w:r>
              <w:rPr>
                <w:rFonts w:ascii="Calibri" w:hAnsi="Calibri" w:eastAsia="Calibri" w:cs="Calibri"/>
                <w:spacing w:val="11"/>
                <w:w w:val="125"/>
                <w:position w:val="-1"/>
                <w:sz w:val="12"/>
                <w:szCs w:val="12"/>
              </w:rPr>
              <w:t>87</w:t>
            </w:r>
          </w:p>
        </w:tc>
      </w:tr>
    </w:tbl>
    <w:p w14:paraId="01C69B89">
      <w:pPr>
        <w:pStyle w:val="2"/>
      </w:pPr>
    </w:p>
    <w:p w14:paraId="38638B90">
      <w:pPr>
        <w:sectPr>
          <w:footerReference r:id="rId91" w:type="default"/>
          <w:pgSz w:w="11906" w:h="16839"/>
          <w:pgMar w:top="1270" w:right="1489" w:bottom="400" w:left="1488" w:header="0" w:footer="0"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6F8771F7">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56" w:hRule="atLeast"/>
        </w:trPr>
        <w:tc>
          <w:tcPr>
            <w:tcW w:w="477" w:type="dxa"/>
            <w:tcBorders>
              <w:right w:val="single" w:color="000000" w:sz="2" w:space="0"/>
            </w:tcBorders>
            <w:vAlign w:val="top"/>
          </w:tcPr>
          <w:p w14:paraId="7C249F79">
            <w:pPr>
              <w:rPr>
                <w:rFonts w:ascii="Arial"/>
                <w:sz w:val="21"/>
              </w:rPr>
            </w:pPr>
          </w:p>
        </w:tc>
        <w:tc>
          <w:tcPr>
            <w:tcW w:w="8425" w:type="dxa"/>
            <w:tcBorders>
              <w:left w:val="single" w:color="000000" w:sz="2" w:space="0"/>
            </w:tcBorders>
            <w:vAlign w:val="top"/>
          </w:tcPr>
          <w:p w14:paraId="1915DD3F">
            <w:pPr>
              <w:pStyle w:val="6"/>
              <w:spacing w:before="101" w:line="219" w:lineRule="auto"/>
              <w:ind w:left="104"/>
            </w:pPr>
            <w:r>
              <w:rPr>
                <w:spacing w:val="-2"/>
              </w:rPr>
              <w:t>影像资料备查。</w:t>
            </w:r>
          </w:p>
          <w:p w14:paraId="1A2BE1C6">
            <w:pPr>
              <w:pStyle w:val="6"/>
              <w:spacing w:before="184" w:line="353" w:lineRule="auto"/>
              <w:ind w:left="105" w:right="97" w:firstLine="477"/>
            </w:pPr>
            <w:r>
              <w:rPr>
                <w:spacing w:val="1"/>
              </w:rPr>
              <w:t>②盛装废电池及废矿物油的容器上必须粘贴相应危险废物标志。危险废物</w:t>
            </w:r>
            <w:r>
              <w:rPr>
                <w:spacing w:val="16"/>
              </w:rPr>
              <w:t xml:space="preserve"> </w:t>
            </w:r>
            <w:r>
              <w:rPr>
                <w:spacing w:val="29"/>
              </w:rPr>
              <w:t>贮存设施都必须按环境保护图形标志《</w:t>
            </w:r>
            <w:r>
              <w:rPr>
                <w:spacing w:val="-12"/>
              </w:rPr>
              <w:t xml:space="preserve"> </w:t>
            </w:r>
            <w:r>
              <w:rPr>
                <w:spacing w:val="29"/>
              </w:rPr>
              <w:t>固体废物贮存（</w:t>
            </w:r>
            <w:r>
              <w:rPr>
                <w:spacing w:val="-26"/>
              </w:rPr>
              <w:t xml:space="preserve"> </w:t>
            </w:r>
            <w:r>
              <w:rPr>
                <w:spacing w:val="29"/>
              </w:rPr>
              <w:t>处置</w:t>
            </w:r>
            <w:r>
              <w:rPr>
                <w:spacing w:val="-39"/>
              </w:rPr>
              <w:t xml:space="preserve"> </w:t>
            </w:r>
            <w:r>
              <w:rPr>
                <w:spacing w:val="29"/>
              </w:rPr>
              <w:t>）</w:t>
            </w:r>
            <w:r>
              <w:rPr>
                <w:spacing w:val="-66"/>
              </w:rPr>
              <w:t xml:space="preserve"> </w:t>
            </w:r>
            <w:r>
              <w:rPr>
                <w:spacing w:val="29"/>
              </w:rPr>
              <w:t>场</w:t>
            </w:r>
            <w:r>
              <w:rPr>
                <w:spacing w:val="-52"/>
              </w:rPr>
              <w:t xml:space="preserve"> </w:t>
            </w:r>
            <w:r>
              <w:rPr>
                <w:spacing w:val="29"/>
              </w:rPr>
              <w:t>》</w:t>
            </w:r>
            <w:r>
              <w:t xml:space="preserve"> </w:t>
            </w:r>
            <w:r>
              <w:rPr>
                <w:spacing w:val="-2"/>
              </w:rPr>
              <w:t>（</w:t>
            </w:r>
            <w:r>
              <w:rPr>
                <w:rFonts w:ascii="Times New Roman" w:hAnsi="Times New Roman" w:eastAsia="Times New Roman" w:cs="Times New Roman"/>
                <w:spacing w:val="-2"/>
              </w:rPr>
              <w:t>GB15562.2-1995</w:t>
            </w:r>
            <w:r>
              <w:rPr>
                <w:spacing w:val="-2"/>
              </w:rPr>
              <w:t>） 的规定设置警示标志。用电设施、防雷防静电设施等必须</w:t>
            </w:r>
            <w:r>
              <w:rPr>
                <w:spacing w:val="16"/>
              </w:rPr>
              <w:t xml:space="preserve"> </w:t>
            </w:r>
            <w:r>
              <w:t>符合国家规定的安全要求。危险废物场所必须有</w:t>
            </w:r>
            <w:r>
              <w:rPr>
                <w:spacing w:val="-1"/>
              </w:rPr>
              <w:t xml:space="preserve">专人 </w:t>
            </w:r>
            <w:r>
              <w:rPr>
                <w:rFonts w:ascii="Times New Roman" w:hAnsi="Times New Roman" w:eastAsia="Times New Roman" w:cs="Times New Roman"/>
                <w:spacing w:val="-1"/>
              </w:rPr>
              <w:t xml:space="preserve">24  </w:t>
            </w:r>
            <w:r>
              <w:rPr>
                <w:spacing w:val="-1"/>
              </w:rPr>
              <w:t>小时看管。</w:t>
            </w:r>
          </w:p>
          <w:p w14:paraId="5A77D84C">
            <w:pPr>
              <w:pStyle w:val="6"/>
              <w:spacing w:before="36" w:line="353" w:lineRule="auto"/>
              <w:ind w:left="104" w:right="94" w:firstLine="478"/>
            </w:pPr>
            <w:r>
              <w:rPr>
                <w:spacing w:val="1"/>
              </w:rPr>
              <w:t>③如实记载每批废电池及废油液的名称、来源、数量、特性和包装容器的</w:t>
            </w:r>
            <w:r>
              <w:rPr>
                <w:spacing w:val="16"/>
              </w:rPr>
              <w:t xml:space="preserve"> </w:t>
            </w:r>
            <w:r>
              <w:rPr>
                <w:spacing w:val="1"/>
              </w:rPr>
              <w:t>类别、入库日期、存放库位、废物出库日期及接收单位名称。该记录在危险废</w:t>
            </w:r>
            <w:r>
              <w:rPr>
                <w:spacing w:val="15"/>
              </w:rPr>
              <w:t xml:space="preserve"> </w:t>
            </w:r>
            <w:r>
              <w:rPr>
                <w:spacing w:val="1"/>
              </w:rPr>
              <w:t>物转运后应继续保留三年。出入库必须检查验收登记，贮存期间定期养护，控</w:t>
            </w:r>
            <w:r>
              <w:rPr>
                <w:spacing w:val="13"/>
              </w:rPr>
              <w:t xml:space="preserve"> </w:t>
            </w:r>
            <w:r>
              <w:rPr>
                <w:spacing w:val="-1"/>
              </w:rPr>
              <w:t>制好贮存场所的温度和湿度；</w:t>
            </w:r>
          </w:p>
          <w:p w14:paraId="422C0D82">
            <w:pPr>
              <w:pStyle w:val="6"/>
              <w:spacing w:before="35" w:line="346" w:lineRule="auto"/>
              <w:ind w:left="106" w:right="94" w:firstLine="478"/>
            </w:pPr>
            <w:r>
              <w:rPr>
                <w:spacing w:val="1"/>
              </w:rPr>
              <w:t>装卸、搬运时应轻装轻卸，注意自我防护。定期对所暂存的废电池及废油</w:t>
            </w:r>
            <w:r>
              <w:rPr>
                <w:spacing w:val="17"/>
              </w:rPr>
              <w:t xml:space="preserve"> </w:t>
            </w:r>
            <w:r>
              <w:rPr>
                <w:spacing w:val="-1"/>
              </w:rPr>
              <w:t>液容器及暂存设施进行检查，发现破损，及时采取措施清理更换。</w:t>
            </w:r>
          </w:p>
          <w:p w14:paraId="2AFF9A36">
            <w:pPr>
              <w:pStyle w:val="6"/>
              <w:spacing w:before="36" w:line="313" w:lineRule="auto"/>
              <w:ind w:left="105" w:right="94" w:firstLine="477"/>
            </w:pPr>
            <w:r>
              <w:rPr>
                <w:spacing w:val="1"/>
              </w:rPr>
              <w:t>④贮存危险化学品的仓库管理人员，必须经过专业知识培训，熟悉贮存物</w:t>
            </w:r>
            <w:r>
              <w:rPr>
                <w:spacing w:val="16"/>
              </w:rPr>
              <w:t xml:space="preserve"> </w:t>
            </w:r>
            <w:r>
              <w:rPr>
                <w:spacing w:val="1"/>
              </w:rPr>
              <w:t>品的特性、事故处理办法和防护知识，持证上岗，同时必须配备有关的个人防</w:t>
            </w:r>
            <w:r>
              <w:rPr>
                <w:spacing w:val="14"/>
              </w:rPr>
              <w:t xml:space="preserve"> </w:t>
            </w:r>
            <w:r>
              <w:rPr>
                <w:spacing w:val="-3"/>
              </w:rPr>
              <w:t>护用品。</w:t>
            </w:r>
          </w:p>
          <w:p w14:paraId="526BAD43">
            <w:pPr>
              <w:pStyle w:val="6"/>
              <w:spacing w:before="182" w:line="220" w:lineRule="auto"/>
              <w:ind w:left="580"/>
            </w:pPr>
            <w:r>
              <w:rPr>
                <w:rFonts w:ascii="Times New Roman" w:hAnsi="Times New Roman" w:eastAsia="Times New Roman" w:cs="Times New Roman"/>
                <w:spacing w:val="-1"/>
              </w:rPr>
              <w:t>2</w:t>
            </w:r>
            <w:r>
              <w:rPr>
                <w:spacing w:val="-1"/>
              </w:rPr>
              <w:t>）泄露措施</w:t>
            </w:r>
          </w:p>
          <w:p w14:paraId="5BE7D147">
            <w:pPr>
              <w:pStyle w:val="6"/>
              <w:spacing w:before="181" w:line="332" w:lineRule="auto"/>
              <w:ind w:left="104" w:right="94" w:firstLine="479"/>
            </w:pPr>
            <w:r>
              <w:rPr>
                <w:spacing w:val="1"/>
              </w:rPr>
              <w:t>①一旦发生泄漏，首先要疏散无关人员，隔离泄漏污染区，如果是小量的</w:t>
            </w:r>
            <w:r>
              <w:rPr>
                <w:spacing w:val="15"/>
              </w:rPr>
              <w:t xml:space="preserve"> </w:t>
            </w:r>
            <w:r>
              <w:rPr>
                <w:spacing w:val="1"/>
              </w:rPr>
              <w:t>泄漏，且物料不具有危险性，同时能为该工作区的人员所控制时，则由该工作</w:t>
            </w:r>
            <w:r>
              <w:rPr>
                <w:spacing w:val="15"/>
              </w:rPr>
              <w:t xml:space="preserve"> </w:t>
            </w:r>
            <w:r>
              <w:rPr>
                <w:spacing w:val="7"/>
              </w:rPr>
              <w:t>区的人员佩戴使用相应的个人防护用品</w:t>
            </w:r>
            <w:r>
              <w:rPr>
                <w:rFonts w:ascii="Times New Roman" w:hAnsi="Times New Roman" w:eastAsia="Times New Roman" w:cs="Times New Roman"/>
                <w:spacing w:val="7"/>
              </w:rPr>
              <w:t>,</w:t>
            </w:r>
            <w:r>
              <w:rPr>
                <w:spacing w:val="7"/>
              </w:rPr>
              <w:t>参照危险化</w:t>
            </w:r>
            <w:r>
              <w:rPr>
                <w:spacing w:val="6"/>
              </w:rPr>
              <w:t>学品安全技术说明书及标</w:t>
            </w:r>
            <w:r>
              <w:t xml:space="preserve"> </w:t>
            </w:r>
            <w:r>
              <w:rPr>
                <w:spacing w:val="1"/>
              </w:rPr>
              <w:t>签上的安全信息采取控制措施，如果泄漏易燃品，则必须立即消除泄漏污染区</w:t>
            </w:r>
            <w:r>
              <w:rPr>
                <w:spacing w:val="15"/>
              </w:rPr>
              <w:t xml:space="preserve"> </w:t>
            </w:r>
            <w:r>
              <w:rPr>
                <w:spacing w:val="-2"/>
              </w:rPr>
              <w:t>域内的各种火源。</w:t>
            </w:r>
          </w:p>
          <w:p w14:paraId="37C4CD92">
            <w:pPr>
              <w:pStyle w:val="6"/>
              <w:spacing w:before="182" w:line="340" w:lineRule="auto"/>
              <w:ind w:left="103" w:right="94" w:firstLine="479"/>
            </w:pPr>
            <w:r>
              <w:rPr>
                <w:spacing w:val="1"/>
              </w:rPr>
              <w:t>②报废农机进入拆解工厂时，一般有价值的油液大部分已被抽走，只剩下</w:t>
            </w:r>
            <w:r>
              <w:rPr>
                <w:spacing w:val="16"/>
              </w:rPr>
              <w:t xml:space="preserve"> </w:t>
            </w:r>
            <w:r>
              <w:rPr>
                <w:spacing w:val="1"/>
              </w:rPr>
              <w:t>残留的极少部分油液，不会出现大量泄漏情况，拆解车间采取重点防渗，拆解</w:t>
            </w:r>
            <w:r>
              <w:rPr>
                <w:spacing w:val="16"/>
              </w:rPr>
              <w:t xml:space="preserve"> </w:t>
            </w:r>
            <w:r>
              <w:rPr>
                <w:spacing w:val="-1"/>
              </w:rPr>
              <w:t xml:space="preserve">车间作业区地面混凝土强度等级不低于 </w:t>
            </w:r>
            <w:r>
              <w:rPr>
                <w:rFonts w:ascii="Times New Roman" w:hAnsi="Times New Roman" w:eastAsia="Times New Roman" w:cs="Times New Roman"/>
                <w:spacing w:val="-1"/>
              </w:rPr>
              <w:t>C20</w:t>
            </w:r>
            <w:r>
              <w:rPr>
                <w:rFonts w:ascii="Times New Roman" w:hAnsi="Times New Roman" w:eastAsia="Times New Roman" w:cs="Times New Roman"/>
                <w:spacing w:val="-31"/>
              </w:rPr>
              <w:t xml:space="preserve"> </w:t>
            </w:r>
            <w:r>
              <w:rPr>
                <w:spacing w:val="-1"/>
              </w:rPr>
              <w:t>，厚度不低于</w:t>
            </w:r>
            <w:r>
              <w:rPr>
                <w:spacing w:val="33"/>
              </w:rPr>
              <w:t xml:space="preserve"> </w:t>
            </w:r>
            <w:r>
              <w:rPr>
                <w:rFonts w:ascii="Times New Roman" w:hAnsi="Times New Roman" w:eastAsia="Times New Roman" w:cs="Times New Roman"/>
                <w:spacing w:val="-1"/>
              </w:rPr>
              <w:t>150 mm</w:t>
            </w:r>
            <w:r>
              <w:rPr>
                <w:rFonts w:ascii="Times New Roman" w:hAnsi="Times New Roman" w:eastAsia="Times New Roman" w:cs="Times New Roman"/>
                <w:spacing w:val="-28"/>
              </w:rPr>
              <w:t xml:space="preserve"> </w:t>
            </w:r>
            <w:r>
              <w:rPr>
                <w:spacing w:val="-1"/>
              </w:rPr>
              <w:t>，其中</w:t>
            </w:r>
            <w:r>
              <w:rPr>
                <w:spacing w:val="-2"/>
              </w:rPr>
              <w:t>物流</w:t>
            </w:r>
            <w:r>
              <w:t xml:space="preserve"> 通道路面和拆解作业区域强度不低于 </w:t>
            </w:r>
            <w:r>
              <w:rPr>
                <w:rFonts w:ascii="Times New Roman" w:hAnsi="Times New Roman" w:eastAsia="Times New Roman" w:cs="Times New Roman"/>
              </w:rPr>
              <w:t>C30</w:t>
            </w:r>
            <w:r>
              <w:rPr>
                <w:rFonts w:ascii="Times New Roman" w:hAnsi="Times New Roman" w:eastAsia="Times New Roman" w:cs="Times New Roman"/>
                <w:spacing w:val="-29"/>
              </w:rPr>
              <w:t xml:space="preserve"> </w:t>
            </w:r>
            <w:r>
              <w:t xml:space="preserve">，厚度不低于 </w:t>
            </w:r>
            <w:r>
              <w:rPr>
                <w:rFonts w:ascii="Times New Roman" w:hAnsi="Times New Roman" w:eastAsia="Times New Roman" w:cs="Times New Roman"/>
              </w:rPr>
              <w:t>200</w:t>
            </w:r>
            <w:r>
              <w:rPr>
                <w:rFonts w:ascii="Times New Roman" w:hAnsi="Times New Roman" w:eastAsia="Times New Roman" w:cs="Times New Roman"/>
                <w:spacing w:val="-1"/>
              </w:rPr>
              <w:t xml:space="preserve"> mm</w:t>
            </w:r>
            <w:r>
              <w:rPr>
                <w:rFonts w:ascii="Times New Roman" w:hAnsi="Times New Roman" w:eastAsia="Times New Roman" w:cs="Times New Roman"/>
                <w:spacing w:val="-28"/>
              </w:rPr>
              <w:t xml:space="preserve"> </w:t>
            </w:r>
            <w:r>
              <w:rPr>
                <w:spacing w:val="-1"/>
              </w:rPr>
              <w:t>，满足《报废</w:t>
            </w:r>
            <w:r>
              <w:t xml:space="preserve"> </w:t>
            </w:r>
            <w:r>
              <w:rPr>
                <w:spacing w:val="-2"/>
              </w:rPr>
              <w:t>机动车拆解企业污染控制技术规范》</w:t>
            </w:r>
            <w:r>
              <w:rPr>
                <w:rFonts w:ascii="Times New Roman" w:hAnsi="Times New Roman" w:eastAsia="Times New Roman" w:cs="Times New Roman"/>
                <w:spacing w:val="-2"/>
              </w:rPr>
              <w:t>(HJ348-2</w:t>
            </w:r>
            <w:r>
              <w:rPr>
                <w:rFonts w:ascii="Times New Roman" w:hAnsi="Times New Roman" w:eastAsia="Times New Roman" w:cs="Times New Roman"/>
                <w:spacing w:val="-3"/>
              </w:rPr>
              <w:t>022)</w:t>
            </w:r>
            <w:r>
              <w:rPr>
                <w:spacing w:val="-3"/>
              </w:rPr>
              <w:t>中防渗、混凝土强度要求，四</w:t>
            </w:r>
            <w:r>
              <w:t xml:space="preserve"> </w:t>
            </w:r>
            <w:r>
              <w:rPr>
                <w:spacing w:val="-2"/>
              </w:rPr>
              <w:t>周设导流槽，地面上如有油渍采用抹布</w:t>
            </w:r>
            <w:r>
              <w:rPr>
                <w:rFonts w:ascii="Times New Roman" w:hAnsi="Times New Roman" w:eastAsia="Times New Roman" w:cs="Times New Roman"/>
                <w:spacing w:val="-2"/>
              </w:rPr>
              <w:t>/</w:t>
            </w:r>
            <w:r>
              <w:rPr>
                <w:spacing w:val="-2"/>
              </w:rPr>
              <w:t>拖布擦干</w:t>
            </w:r>
            <w:r>
              <w:rPr>
                <w:spacing w:val="-3"/>
              </w:rPr>
              <w:t>，废抹布</w:t>
            </w:r>
            <w:r>
              <w:rPr>
                <w:rFonts w:ascii="Times New Roman" w:hAnsi="Times New Roman" w:eastAsia="Times New Roman" w:cs="Times New Roman"/>
                <w:spacing w:val="-3"/>
              </w:rPr>
              <w:t>/</w:t>
            </w:r>
            <w:r>
              <w:rPr>
                <w:spacing w:val="-3"/>
              </w:rPr>
              <w:t>拖布作为危险废物暂</w:t>
            </w:r>
            <w:r>
              <w:t xml:space="preserve"> </w:t>
            </w:r>
            <w:r>
              <w:rPr>
                <w:spacing w:val="-1"/>
              </w:rPr>
              <w:t>存在危险废物贮存库，由有资质单位处理。</w:t>
            </w:r>
          </w:p>
          <w:p w14:paraId="67920004">
            <w:pPr>
              <w:pStyle w:val="6"/>
              <w:spacing w:before="183" w:line="313" w:lineRule="auto"/>
              <w:ind w:left="104" w:right="94" w:firstLine="478"/>
            </w:pPr>
            <w:r>
              <w:rPr>
                <w:spacing w:val="1"/>
              </w:rPr>
              <w:t>③本项目</w:t>
            </w:r>
            <w:r>
              <w:rPr>
                <w:rFonts w:ascii="Times New Roman" w:hAnsi="Times New Roman" w:eastAsia="Times New Roman" w:cs="Times New Roman"/>
                <w:spacing w:val="1"/>
              </w:rPr>
              <w:t>2#</w:t>
            </w:r>
            <w:r>
              <w:rPr>
                <w:spacing w:val="1"/>
              </w:rPr>
              <w:t xml:space="preserve">废蓄电池暂存区占地面积 </w:t>
            </w:r>
            <w:r>
              <w:rPr>
                <w:rFonts w:ascii="Times New Roman" w:hAnsi="Times New Roman" w:eastAsia="Times New Roman" w:cs="Times New Roman"/>
                <w:spacing w:val="1"/>
              </w:rPr>
              <w:t>20m</w:t>
            </w:r>
            <w:r>
              <w:rPr>
                <w:rFonts w:ascii="Times New Roman" w:hAnsi="Times New Roman" w:eastAsia="Times New Roman" w:cs="Times New Roman"/>
                <w:spacing w:val="1"/>
                <w:position w:val="8"/>
                <w:sz w:val="15"/>
                <w:szCs w:val="15"/>
              </w:rPr>
              <w:t>2</w:t>
            </w:r>
            <w:r>
              <w:rPr>
                <w:rFonts w:ascii="Times New Roman" w:hAnsi="Times New Roman" w:eastAsia="Times New Roman" w:cs="Times New Roman"/>
                <w:spacing w:val="2"/>
                <w:position w:val="8"/>
                <w:sz w:val="15"/>
                <w:szCs w:val="15"/>
              </w:rPr>
              <w:t xml:space="preserve"> </w:t>
            </w:r>
            <w:r>
              <w:rPr>
                <w:spacing w:val="1"/>
              </w:rPr>
              <w:t>，最大暂存电池</w:t>
            </w:r>
            <w:r>
              <w:rPr>
                <w:spacing w:val="-27"/>
              </w:rPr>
              <w:t xml:space="preserve"> </w:t>
            </w:r>
            <w:r>
              <w:rPr>
                <w:rFonts w:ascii="Times New Roman" w:hAnsi="Times New Roman" w:eastAsia="Times New Roman" w:cs="Times New Roman"/>
                <w:spacing w:val="1"/>
              </w:rPr>
              <w:t>1t</w:t>
            </w:r>
            <w:r>
              <w:rPr>
                <w:rFonts w:ascii="Times New Roman" w:hAnsi="Times New Roman" w:eastAsia="Times New Roman" w:cs="Times New Roman"/>
                <w:spacing w:val="-28"/>
              </w:rPr>
              <w:t xml:space="preserve"> </w:t>
            </w:r>
            <w:r>
              <w:rPr>
                <w:spacing w:val="1"/>
              </w:rPr>
              <w:t>，废电池完</w:t>
            </w:r>
            <w:r>
              <w:t xml:space="preserve"> </w:t>
            </w:r>
            <w:r>
              <w:rPr>
                <w:spacing w:val="1"/>
              </w:rPr>
              <w:t>好的放在塑料箱中并采用塑料膜包装以防碰撞破损，如有破损的废电池放置在</w:t>
            </w:r>
            <w:r>
              <w:rPr>
                <w:spacing w:val="15"/>
              </w:rPr>
              <w:t xml:space="preserve"> </w:t>
            </w:r>
            <w:r>
              <w:t>耐酸耐腐蚀的塑料箱内储存，四周设置</w:t>
            </w:r>
            <w:r>
              <w:rPr>
                <w:spacing w:val="-49"/>
              </w:rPr>
              <w:t xml:space="preserve"> </w:t>
            </w:r>
            <w:r>
              <w:rPr>
                <w:rFonts w:ascii="Times New Roman" w:hAnsi="Times New Roman" w:eastAsia="Times New Roman" w:cs="Times New Roman"/>
              </w:rPr>
              <w:t>0.4m×0.5m</w:t>
            </w:r>
            <w:r>
              <w:rPr>
                <w:rFonts w:ascii="Times New Roman" w:hAnsi="Times New Roman" w:eastAsia="Times New Roman" w:cs="Times New Roman"/>
                <w:spacing w:val="17"/>
              </w:rPr>
              <w:t xml:space="preserve"> </w:t>
            </w:r>
            <w:r>
              <w:t>导流</w:t>
            </w:r>
            <w:r>
              <w:rPr>
                <w:spacing w:val="-1"/>
              </w:rPr>
              <w:t>槽，于拆解车间外侧西</w:t>
            </w:r>
          </w:p>
        </w:tc>
      </w:tr>
    </w:tbl>
    <w:p w14:paraId="3D1C8C9D">
      <w:pPr>
        <w:pStyle w:val="2"/>
        <w:spacing w:line="188" w:lineRule="exact"/>
        <w:rPr>
          <w:sz w:val="16"/>
        </w:rPr>
      </w:pPr>
    </w:p>
    <w:p w14:paraId="7A17FBC3">
      <w:pPr>
        <w:spacing w:line="188" w:lineRule="exact"/>
        <w:rPr>
          <w:sz w:val="16"/>
          <w:szCs w:val="16"/>
        </w:rPr>
        <w:sectPr>
          <w:footerReference r:id="rId92"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18A67C2B">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56" w:hRule="atLeast"/>
        </w:trPr>
        <w:tc>
          <w:tcPr>
            <w:tcW w:w="477" w:type="dxa"/>
            <w:tcBorders>
              <w:right w:val="single" w:color="000000" w:sz="2" w:space="0"/>
            </w:tcBorders>
            <w:vAlign w:val="top"/>
          </w:tcPr>
          <w:p w14:paraId="23457766">
            <w:pPr>
              <w:rPr>
                <w:rFonts w:ascii="Arial"/>
                <w:sz w:val="21"/>
              </w:rPr>
            </w:pPr>
          </w:p>
        </w:tc>
        <w:tc>
          <w:tcPr>
            <w:tcW w:w="8425" w:type="dxa"/>
            <w:tcBorders>
              <w:left w:val="single" w:color="000000" w:sz="2" w:space="0"/>
            </w:tcBorders>
            <w:vAlign w:val="top"/>
          </w:tcPr>
          <w:p w14:paraId="2BE558F7">
            <w:pPr>
              <w:pStyle w:val="6"/>
              <w:spacing w:before="102" w:line="353" w:lineRule="auto"/>
              <w:ind w:left="104" w:right="94" w:firstLine="2"/>
              <w:jc w:val="both"/>
            </w:pPr>
            <w:r>
              <w:rPr>
                <w:spacing w:val="-3"/>
              </w:rPr>
              <w:t>南角建设</w:t>
            </w:r>
            <w:r>
              <w:rPr>
                <w:spacing w:val="-32"/>
              </w:rPr>
              <w:t xml:space="preserve"> </w:t>
            </w:r>
            <w:r>
              <w:rPr>
                <w:rFonts w:ascii="Times New Roman" w:hAnsi="Times New Roman" w:eastAsia="Times New Roman" w:cs="Times New Roman"/>
                <w:spacing w:val="-3"/>
              </w:rPr>
              <w:t>10m</w:t>
            </w:r>
            <w:r>
              <w:rPr>
                <w:rFonts w:ascii="Times New Roman" w:hAnsi="Times New Roman" w:eastAsia="Times New Roman" w:cs="Times New Roman"/>
                <w:spacing w:val="-3"/>
                <w:position w:val="8"/>
                <w:sz w:val="15"/>
                <w:szCs w:val="15"/>
              </w:rPr>
              <w:t>3</w:t>
            </w:r>
            <w:r>
              <w:rPr>
                <w:rFonts w:ascii="Times New Roman" w:hAnsi="Times New Roman" w:eastAsia="Times New Roman" w:cs="Times New Roman"/>
                <w:spacing w:val="9"/>
                <w:position w:val="8"/>
                <w:sz w:val="15"/>
                <w:szCs w:val="15"/>
              </w:rPr>
              <w:t xml:space="preserve"> </w:t>
            </w:r>
            <w:r>
              <w:rPr>
                <w:spacing w:val="-3"/>
              </w:rPr>
              <w:t>事故收集池，导流槽将泄漏物质导流入收集池，导流槽</w:t>
            </w:r>
            <w:r>
              <w:rPr>
                <w:spacing w:val="-4"/>
              </w:rPr>
              <w:t>和收集池</w:t>
            </w:r>
            <w:r>
              <w:t xml:space="preserve"> </w:t>
            </w:r>
            <w:r>
              <w:rPr>
                <w:spacing w:val="3"/>
              </w:rPr>
              <w:t>相应按重点防渗区要求做好防渗处理。危险</w:t>
            </w:r>
            <w:r>
              <w:rPr>
                <w:spacing w:val="2"/>
              </w:rPr>
              <w:t xml:space="preserve">废物贮存库地面采用 </w:t>
            </w:r>
            <w:r>
              <w:rPr>
                <w:rFonts w:ascii="Times New Roman" w:hAnsi="Times New Roman" w:eastAsia="Times New Roman" w:cs="Times New Roman"/>
                <w:spacing w:val="2"/>
              </w:rPr>
              <w:t>2.0</w:t>
            </w:r>
            <w:r>
              <w:rPr>
                <w:rFonts w:ascii="Times New Roman" w:hAnsi="Times New Roman" w:eastAsia="Times New Roman" w:cs="Times New Roman"/>
              </w:rPr>
              <w:t>mm</w:t>
            </w:r>
            <w:r>
              <w:rPr>
                <w:rFonts w:ascii="Times New Roman" w:hAnsi="Times New Roman" w:eastAsia="Times New Roman" w:cs="Times New Roman"/>
                <w:spacing w:val="2"/>
              </w:rPr>
              <w:t xml:space="preserve">  </w:t>
            </w:r>
            <w:r>
              <w:rPr>
                <w:spacing w:val="2"/>
              </w:rPr>
              <w:t>厚高</w:t>
            </w:r>
            <w:r>
              <w:t xml:space="preserve"> </w:t>
            </w:r>
            <w:r>
              <w:rPr>
                <w:spacing w:val="2"/>
              </w:rPr>
              <w:t xml:space="preserve">密度聚乙烯膜或至少 </w:t>
            </w:r>
            <w:r>
              <w:rPr>
                <w:rFonts w:ascii="Times New Roman" w:hAnsi="Times New Roman" w:eastAsia="Times New Roman" w:cs="Times New Roman"/>
                <w:spacing w:val="2"/>
              </w:rPr>
              <w:t>2</w:t>
            </w:r>
            <w:r>
              <w:rPr>
                <w:rFonts w:ascii="Times New Roman" w:hAnsi="Times New Roman" w:eastAsia="Times New Roman" w:cs="Times New Roman"/>
              </w:rPr>
              <w:t>mm</w:t>
            </w:r>
            <w:r>
              <w:rPr>
                <w:rFonts w:ascii="Times New Roman" w:hAnsi="Times New Roman" w:eastAsia="Times New Roman" w:cs="Times New Roman"/>
                <w:spacing w:val="2"/>
              </w:rPr>
              <w:t xml:space="preserve">  </w:t>
            </w:r>
            <w:r>
              <w:rPr>
                <w:spacing w:val="2"/>
              </w:rPr>
              <w:t>厚的其它人工材料，渗透系数≤</w:t>
            </w:r>
            <w:r>
              <w:rPr>
                <w:rFonts w:ascii="Times New Roman" w:hAnsi="Times New Roman" w:eastAsia="Times New Roman" w:cs="Times New Roman"/>
                <w:spacing w:val="2"/>
              </w:rPr>
              <w:t>10</w:t>
            </w:r>
            <w:r>
              <w:rPr>
                <w:rFonts w:ascii="Times New Roman" w:hAnsi="Times New Roman" w:eastAsia="Times New Roman" w:cs="Times New Roman"/>
                <w:spacing w:val="2"/>
                <w:position w:val="8"/>
                <w:sz w:val="15"/>
                <w:szCs w:val="15"/>
              </w:rPr>
              <w:t>-</w:t>
            </w:r>
            <w:r>
              <w:rPr>
                <w:rFonts w:ascii="Times New Roman" w:hAnsi="Times New Roman" w:eastAsia="Times New Roman" w:cs="Times New Roman"/>
                <w:spacing w:val="1"/>
                <w:position w:val="8"/>
                <w:sz w:val="15"/>
                <w:szCs w:val="15"/>
              </w:rPr>
              <w:t>10</w:t>
            </w:r>
            <w:r>
              <w:rPr>
                <w:rFonts w:ascii="Times New Roman" w:hAnsi="Times New Roman" w:eastAsia="Times New Roman" w:cs="Times New Roman"/>
              </w:rPr>
              <w:t>cm</w:t>
            </w:r>
            <w:r>
              <w:rPr>
                <w:rFonts w:ascii="Times New Roman" w:hAnsi="Times New Roman" w:eastAsia="Times New Roman" w:cs="Times New Roman"/>
                <w:spacing w:val="1"/>
              </w:rPr>
              <w:t>/s</w:t>
            </w:r>
            <w:r>
              <w:rPr>
                <w:rFonts w:ascii="Times New Roman" w:hAnsi="Times New Roman" w:eastAsia="Times New Roman" w:cs="Times New Roman"/>
                <w:spacing w:val="-25"/>
              </w:rPr>
              <w:t xml:space="preserve"> </w:t>
            </w:r>
            <w:r>
              <w:rPr>
                <w:spacing w:val="1"/>
              </w:rPr>
              <w:t>，符合等</w:t>
            </w:r>
            <w:r>
              <w:t xml:space="preserve"> </w:t>
            </w:r>
            <w:r>
              <w:rPr>
                <w:spacing w:val="-2"/>
              </w:rPr>
              <w:t xml:space="preserve">效黏土防渗层 </w:t>
            </w:r>
            <w:r>
              <w:rPr>
                <w:rFonts w:ascii="Times New Roman" w:hAnsi="Times New Roman" w:eastAsia="Times New Roman" w:cs="Times New Roman"/>
                <w:spacing w:val="-2"/>
              </w:rPr>
              <w:t>Mb</w:t>
            </w:r>
            <w:r>
              <w:rPr>
                <w:spacing w:val="-2"/>
              </w:rPr>
              <w:t>≥</w:t>
            </w:r>
            <w:r>
              <w:rPr>
                <w:rFonts w:ascii="Times New Roman" w:hAnsi="Times New Roman" w:eastAsia="Times New Roman" w:cs="Times New Roman"/>
                <w:spacing w:val="-2"/>
              </w:rPr>
              <w:t>6.0m</w:t>
            </w:r>
            <w:r>
              <w:rPr>
                <w:rFonts w:ascii="Times New Roman" w:hAnsi="Times New Roman" w:eastAsia="Times New Roman" w:cs="Times New Roman"/>
                <w:spacing w:val="41"/>
                <w:w w:val="101"/>
              </w:rPr>
              <w:t xml:space="preserve"> </w:t>
            </w:r>
            <w:r>
              <w:rPr>
                <w:spacing w:val="-2"/>
              </w:rPr>
              <w:t>的要求，并张贴醒目的标识。</w:t>
            </w:r>
          </w:p>
          <w:p w14:paraId="4F86A4A6">
            <w:pPr>
              <w:pStyle w:val="6"/>
              <w:spacing w:before="35" w:line="342" w:lineRule="auto"/>
              <w:ind w:left="103" w:right="97" w:firstLine="479"/>
            </w:pPr>
            <w:r>
              <w:rPr>
                <w:spacing w:val="-3"/>
              </w:rPr>
              <w:t>④根据《石油化工环境保护设计规范》（</w:t>
            </w:r>
            <w:r>
              <w:rPr>
                <w:rFonts w:ascii="Times New Roman" w:hAnsi="Times New Roman" w:eastAsia="Times New Roman" w:cs="Times New Roman"/>
                <w:spacing w:val="-3"/>
              </w:rPr>
              <w:t>SH/T3024-2017</w:t>
            </w:r>
            <w:r>
              <w:rPr>
                <w:spacing w:val="-3"/>
              </w:rPr>
              <w:t xml:space="preserve">）附录 </w:t>
            </w:r>
            <w:r>
              <w:rPr>
                <w:rFonts w:ascii="Times New Roman" w:hAnsi="Times New Roman" w:eastAsia="Times New Roman" w:cs="Times New Roman"/>
                <w:spacing w:val="-3"/>
              </w:rPr>
              <w:t>B</w:t>
            </w:r>
            <w:r>
              <w:rPr>
                <w:spacing w:val="-3"/>
              </w:rPr>
              <w:t>，事故储</w:t>
            </w:r>
            <w:r>
              <w:rPr>
                <w:spacing w:val="9"/>
              </w:rPr>
              <w:t xml:space="preserve"> </w:t>
            </w:r>
            <w:r>
              <w:rPr>
                <w:spacing w:val="-1"/>
              </w:rPr>
              <w:t>存设施总有效容积的计算方法：</w:t>
            </w:r>
          </w:p>
          <w:p w14:paraId="690AD290">
            <w:pPr>
              <w:pStyle w:val="6"/>
              <w:spacing w:before="2" w:line="334" w:lineRule="auto"/>
              <w:ind w:left="577" w:right="3754"/>
            </w:pPr>
            <w:r>
              <w:rPr>
                <w:rFonts w:ascii="Times New Roman" w:hAnsi="Times New Roman" w:eastAsia="Times New Roman" w:cs="Times New Roman"/>
                <w:spacing w:val="-3"/>
              </w:rPr>
              <w:t>VT=</w:t>
            </w:r>
            <w:r>
              <w:rPr>
                <w:spacing w:val="-3"/>
              </w:rPr>
              <w:t>（</w:t>
            </w:r>
            <w:r>
              <w:rPr>
                <w:rFonts w:ascii="Times New Roman" w:hAnsi="Times New Roman" w:eastAsia="Times New Roman" w:cs="Times New Roman"/>
                <w:spacing w:val="-3"/>
              </w:rPr>
              <w:t>V1+V2-V3</w:t>
            </w:r>
            <w:r>
              <w:rPr>
                <w:spacing w:val="-3"/>
              </w:rPr>
              <w:t>）</w:t>
            </w:r>
            <w:r>
              <w:rPr>
                <w:rFonts w:ascii="Times New Roman" w:hAnsi="Times New Roman" w:eastAsia="Times New Roman" w:cs="Times New Roman"/>
                <w:spacing w:val="-3"/>
              </w:rPr>
              <w:t xml:space="preserve">max+V4+V5  </w:t>
            </w:r>
            <w:r>
              <w:rPr>
                <w:spacing w:val="-3"/>
              </w:rPr>
              <w:t>式中：</w:t>
            </w:r>
            <w:r>
              <w:rPr>
                <w:spacing w:val="16"/>
              </w:rPr>
              <w:t xml:space="preserve"> </w:t>
            </w:r>
            <w:r>
              <w:rPr>
                <w:rFonts w:ascii="Times New Roman" w:hAnsi="Times New Roman" w:eastAsia="Times New Roman" w:cs="Times New Roman"/>
                <w:spacing w:val="-2"/>
              </w:rPr>
              <w:t>VT--</w:t>
            </w:r>
            <w:r>
              <w:rPr>
                <w:spacing w:val="-2"/>
              </w:rPr>
              <w:t>事故储存设施总有效容积；</w:t>
            </w:r>
          </w:p>
          <w:p w14:paraId="611E1168">
            <w:pPr>
              <w:pStyle w:val="6"/>
              <w:spacing w:before="110" w:line="347" w:lineRule="auto"/>
              <w:ind w:left="107" w:right="94" w:firstLine="469"/>
            </w:pPr>
            <w:r>
              <w:rPr>
                <w:rFonts w:ascii="Times New Roman" w:hAnsi="Times New Roman" w:eastAsia="Times New Roman" w:cs="Times New Roman"/>
                <w:spacing w:val="3"/>
              </w:rPr>
              <w:t>V1--</w:t>
            </w:r>
            <w:r>
              <w:rPr>
                <w:spacing w:val="3"/>
              </w:rPr>
              <w:t>收集系统范围内发生事故的一个罐或一套装置的物料量</w:t>
            </w:r>
            <w:r>
              <w:rPr>
                <w:spacing w:val="-7"/>
              </w:rPr>
              <w:t>；（</w:t>
            </w:r>
            <w:r>
              <w:rPr>
                <w:spacing w:val="3"/>
              </w:rPr>
              <w:t>存储量最</w:t>
            </w:r>
            <w:r>
              <w:rPr>
                <w:spacing w:val="1"/>
              </w:rPr>
              <w:t xml:space="preserve"> </w:t>
            </w:r>
            <w:r>
              <w:rPr>
                <w:spacing w:val="-9"/>
              </w:rPr>
              <w:t>大量</w:t>
            </w:r>
            <w:r>
              <w:rPr>
                <w:spacing w:val="32"/>
              </w:rPr>
              <w:t xml:space="preserve"> </w:t>
            </w:r>
            <w:r>
              <w:rPr>
                <w:rFonts w:ascii="Times New Roman" w:hAnsi="Times New Roman" w:eastAsia="Times New Roman" w:cs="Times New Roman"/>
                <w:spacing w:val="-9"/>
              </w:rPr>
              <w:t>1t</w:t>
            </w:r>
            <w:r>
              <w:rPr>
                <w:spacing w:val="-9"/>
              </w:rPr>
              <w:t>）</w:t>
            </w:r>
          </w:p>
          <w:p w14:paraId="33D271ED">
            <w:pPr>
              <w:pStyle w:val="6"/>
              <w:spacing w:before="34" w:line="219" w:lineRule="auto"/>
              <w:ind w:left="577"/>
            </w:pPr>
            <w:r>
              <w:rPr>
                <w:rFonts w:ascii="Times New Roman" w:hAnsi="Times New Roman" w:eastAsia="Times New Roman" w:cs="Times New Roman"/>
                <w:spacing w:val="-1"/>
              </w:rPr>
              <w:t>V2--</w:t>
            </w:r>
            <w:r>
              <w:rPr>
                <w:spacing w:val="-1"/>
              </w:rPr>
              <w:t>发生事故的储罐或装置的消防水量，立方米；</w:t>
            </w:r>
          </w:p>
          <w:p w14:paraId="7AC30315">
            <w:pPr>
              <w:pStyle w:val="6"/>
              <w:spacing w:before="136" w:line="359" w:lineRule="auto"/>
              <w:ind w:left="107" w:right="35" w:firstLine="469"/>
            </w:pPr>
            <w:r>
              <w:rPr>
                <w:rFonts w:ascii="Times New Roman" w:hAnsi="Times New Roman" w:eastAsia="Times New Roman" w:cs="Times New Roman"/>
                <w:spacing w:val="2"/>
              </w:rPr>
              <w:t>V2=</w:t>
            </w:r>
            <w:r>
              <w:rPr>
                <w:rFonts w:ascii="Times New Roman" w:hAnsi="Times New Roman" w:eastAsia="Times New Roman" w:cs="Times New Roman"/>
                <w:spacing w:val="-19"/>
              </w:rPr>
              <w:t xml:space="preserve"> </w:t>
            </w:r>
            <w:r>
              <w:rPr>
                <w:spacing w:val="2"/>
              </w:rPr>
              <w:t>∑</w:t>
            </w:r>
            <w:r>
              <w:rPr>
                <w:rFonts w:ascii="Times New Roman" w:hAnsi="Times New Roman" w:eastAsia="Times New Roman" w:cs="Times New Roman"/>
              </w:rPr>
              <w:t>Qwi</w:t>
            </w:r>
            <w:r>
              <w:rPr>
                <w:spacing w:val="2"/>
              </w:rPr>
              <w:t>×</w:t>
            </w:r>
            <w:r>
              <w:rPr>
                <w:rFonts w:ascii="Times New Roman" w:hAnsi="Times New Roman" w:eastAsia="Times New Roman" w:cs="Times New Roman"/>
              </w:rPr>
              <w:t>twi</w:t>
            </w:r>
            <w:r>
              <w:rPr>
                <w:rFonts w:ascii="Times New Roman" w:hAnsi="Times New Roman" w:eastAsia="Times New Roman" w:cs="Times New Roman"/>
                <w:spacing w:val="21"/>
              </w:rPr>
              <w:t xml:space="preserve">  </w:t>
            </w:r>
            <w:r>
              <w:rPr>
                <w:spacing w:val="2"/>
              </w:rPr>
              <w:t>∑</w:t>
            </w:r>
            <w:r>
              <w:rPr>
                <w:rFonts w:ascii="Times New Roman" w:hAnsi="Times New Roman" w:eastAsia="Times New Roman" w:cs="Times New Roman"/>
              </w:rPr>
              <w:t>Qwi</w:t>
            </w:r>
            <w:r>
              <w:rPr>
                <w:rFonts w:ascii="Times New Roman" w:hAnsi="Times New Roman" w:eastAsia="Times New Roman" w:cs="Times New Roman"/>
                <w:spacing w:val="2"/>
              </w:rPr>
              <w:t>--</w:t>
            </w:r>
            <w:r>
              <w:rPr>
                <w:spacing w:val="2"/>
              </w:rPr>
              <w:t>发生事故的储罐或装置的同</w:t>
            </w:r>
            <w:r>
              <w:rPr>
                <w:spacing w:val="1"/>
              </w:rPr>
              <w:t>时使用的消防设施给</w:t>
            </w:r>
            <w:r>
              <w:t xml:space="preserve"> </w:t>
            </w:r>
            <w:r>
              <w:rPr>
                <w:spacing w:val="-3"/>
              </w:rPr>
              <w:t>水流量</w:t>
            </w:r>
            <w:r>
              <w:rPr>
                <w:spacing w:val="-36"/>
              </w:rPr>
              <w:t>；（</w:t>
            </w:r>
            <w:r>
              <w:rPr>
                <w:spacing w:val="-3"/>
              </w:rPr>
              <w:t>根据《消防给水及消火栓系统技术规范》（</w:t>
            </w:r>
            <w:r>
              <w:rPr>
                <w:rFonts w:ascii="Times New Roman" w:hAnsi="Times New Roman" w:eastAsia="Times New Roman" w:cs="Times New Roman"/>
                <w:spacing w:val="-3"/>
              </w:rPr>
              <w:t>GB50974-2014</w:t>
            </w:r>
            <w:r>
              <w:rPr>
                <w:spacing w:val="-3"/>
              </w:rPr>
              <w:t>）的规定，</w:t>
            </w:r>
            <w:r>
              <w:rPr>
                <w:spacing w:val="1"/>
              </w:rPr>
              <w:t xml:space="preserve"> </w:t>
            </w:r>
            <w:r>
              <w:rPr>
                <w:spacing w:val="-2"/>
              </w:rPr>
              <w:t xml:space="preserve">同一时间内火灾次数按一次计算，仓储库高度小于 </w:t>
            </w:r>
            <w:r>
              <w:rPr>
                <w:rFonts w:ascii="Times New Roman" w:hAnsi="Times New Roman" w:eastAsia="Times New Roman" w:cs="Times New Roman"/>
                <w:spacing w:val="-2"/>
              </w:rPr>
              <w:t>24m</w:t>
            </w:r>
            <w:r>
              <w:rPr>
                <w:rFonts w:ascii="Times New Roman" w:hAnsi="Times New Roman" w:eastAsia="Times New Roman" w:cs="Times New Roman"/>
                <w:spacing w:val="-31"/>
              </w:rPr>
              <w:t xml:space="preserve"> </w:t>
            </w:r>
            <w:r>
              <w:rPr>
                <w:spacing w:val="-2"/>
              </w:rPr>
              <w:t>，</w:t>
            </w:r>
            <w:r>
              <w:rPr>
                <w:rFonts w:ascii="Times New Roman" w:hAnsi="Times New Roman" w:eastAsia="Times New Roman" w:cs="Times New Roman"/>
                <w:spacing w:val="-2"/>
              </w:rPr>
              <w:t>V</w:t>
            </w:r>
            <w:r>
              <w:rPr>
                <w:spacing w:val="-2"/>
              </w:rPr>
              <w:t>≤</w:t>
            </w:r>
            <w:r>
              <w:rPr>
                <w:rFonts w:ascii="Times New Roman" w:hAnsi="Times New Roman" w:eastAsia="Times New Roman" w:cs="Times New Roman"/>
                <w:spacing w:val="-2"/>
              </w:rPr>
              <w:t>5000m</w:t>
            </w:r>
            <w:r>
              <w:rPr>
                <w:rFonts w:ascii="Times New Roman" w:hAnsi="Times New Roman" w:eastAsia="Times New Roman" w:cs="Times New Roman"/>
                <w:spacing w:val="-2"/>
                <w:position w:val="8"/>
                <w:sz w:val="15"/>
                <w:szCs w:val="15"/>
              </w:rPr>
              <w:t xml:space="preserve">3  </w:t>
            </w:r>
            <w:r>
              <w:rPr>
                <w:spacing w:val="-2"/>
              </w:rPr>
              <w:t>的丙类车</w:t>
            </w:r>
            <w:r>
              <w:t xml:space="preserve"> </w:t>
            </w:r>
            <w:r>
              <w:rPr>
                <w:spacing w:val="-1"/>
              </w:rPr>
              <w:t>间，室内消防用水量为：</w:t>
            </w:r>
            <w:r>
              <w:rPr>
                <w:rFonts w:ascii="Times New Roman" w:hAnsi="Times New Roman" w:eastAsia="Times New Roman" w:cs="Times New Roman"/>
                <w:spacing w:val="-1"/>
              </w:rPr>
              <w:t>10L/s</w:t>
            </w:r>
            <w:r>
              <w:rPr>
                <w:spacing w:val="-1"/>
              </w:rPr>
              <w:t xml:space="preserve">；火灾扑灭时间 </w:t>
            </w:r>
            <w:r>
              <w:rPr>
                <w:rFonts w:ascii="Times New Roman" w:hAnsi="Times New Roman" w:eastAsia="Times New Roman" w:cs="Times New Roman"/>
                <w:spacing w:val="-1"/>
              </w:rPr>
              <w:t>10-15min</w:t>
            </w:r>
            <w:r>
              <w:rPr>
                <w:rFonts w:ascii="Times New Roman" w:hAnsi="Times New Roman" w:eastAsia="Times New Roman" w:cs="Times New Roman"/>
                <w:spacing w:val="-31"/>
              </w:rPr>
              <w:t xml:space="preserve"> </w:t>
            </w:r>
            <w:r>
              <w:rPr>
                <w:spacing w:val="-1"/>
              </w:rPr>
              <w:t xml:space="preserve">，按 </w:t>
            </w:r>
            <w:r>
              <w:rPr>
                <w:rFonts w:ascii="Times New Roman" w:hAnsi="Times New Roman" w:eastAsia="Times New Roman" w:cs="Times New Roman"/>
                <w:spacing w:val="-1"/>
              </w:rPr>
              <w:t>15min</w:t>
            </w:r>
            <w:r>
              <w:rPr>
                <w:rFonts w:ascii="Times New Roman" w:hAnsi="Times New Roman" w:eastAsia="Times New Roman" w:cs="Times New Roman"/>
                <w:spacing w:val="5"/>
              </w:rPr>
              <w:t xml:space="preserve">  </w:t>
            </w:r>
            <w:r>
              <w:rPr>
                <w:spacing w:val="-2"/>
              </w:rPr>
              <w:t>计算，一</w:t>
            </w:r>
            <w:r>
              <w:t xml:space="preserve"> </w:t>
            </w:r>
            <w:r>
              <w:rPr>
                <w:spacing w:val="-2"/>
              </w:rPr>
              <w:t xml:space="preserve">次消防水量为 </w:t>
            </w:r>
            <w:r>
              <w:rPr>
                <w:rFonts w:ascii="Times New Roman" w:hAnsi="Times New Roman" w:eastAsia="Times New Roman" w:cs="Times New Roman"/>
                <w:spacing w:val="-2"/>
              </w:rPr>
              <w:t>9m</w:t>
            </w:r>
            <w:r>
              <w:rPr>
                <w:rFonts w:ascii="Times New Roman" w:hAnsi="Times New Roman" w:eastAsia="Times New Roman" w:cs="Times New Roman"/>
                <w:spacing w:val="-2"/>
                <w:position w:val="7"/>
                <w:sz w:val="15"/>
                <w:szCs w:val="15"/>
              </w:rPr>
              <w:t xml:space="preserve">3 </w:t>
            </w:r>
            <w:r>
              <w:rPr>
                <w:spacing w:val="-14"/>
              </w:rPr>
              <w:t>）；</w:t>
            </w:r>
          </w:p>
          <w:p w14:paraId="4C660540">
            <w:pPr>
              <w:pStyle w:val="6"/>
              <w:spacing w:before="54" w:line="220" w:lineRule="auto"/>
              <w:ind w:left="577"/>
            </w:pPr>
            <w:r>
              <w:rPr>
                <w:rFonts w:ascii="Times New Roman" w:hAnsi="Times New Roman" w:eastAsia="Times New Roman" w:cs="Times New Roman"/>
                <w:spacing w:val="-1"/>
              </w:rPr>
              <w:t>twi--</w:t>
            </w:r>
            <w:r>
              <w:rPr>
                <w:spacing w:val="-1"/>
              </w:rPr>
              <w:t>消防设施对应的设计消防历时，</w:t>
            </w:r>
            <w:r>
              <w:rPr>
                <w:rFonts w:ascii="Times New Roman" w:hAnsi="Times New Roman" w:eastAsia="Times New Roman" w:cs="Times New Roman"/>
                <w:spacing w:val="-1"/>
              </w:rPr>
              <w:t>h</w:t>
            </w:r>
            <w:r>
              <w:rPr>
                <w:spacing w:val="-1"/>
              </w:rPr>
              <w:t>；</w:t>
            </w:r>
          </w:p>
          <w:p w14:paraId="513A77F6">
            <w:pPr>
              <w:pStyle w:val="6"/>
              <w:spacing w:before="180" w:line="352" w:lineRule="auto"/>
              <w:ind w:left="104" w:right="97" w:firstLine="473"/>
            </w:pPr>
            <w:r>
              <w:rPr>
                <w:rFonts w:ascii="Times New Roman" w:hAnsi="Times New Roman" w:eastAsia="Times New Roman" w:cs="Times New Roman"/>
                <w:spacing w:val="2"/>
              </w:rPr>
              <w:t>V3--</w:t>
            </w:r>
            <w:r>
              <w:rPr>
                <w:spacing w:val="2"/>
              </w:rPr>
              <w:t>发生事故时可以转输到其他储存或处理设施的物料量，</w:t>
            </w:r>
            <w:r>
              <w:rPr>
                <w:rFonts w:ascii="Times New Roman" w:hAnsi="Times New Roman" w:eastAsia="Times New Roman" w:cs="Times New Roman"/>
                <w:spacing w:val="2"/>
              </w:rPr>
              <w:t>m</w:t>
            </w:r>
            <w:r>
              <w:rPr>
                <w:rFonts w:ascii="Times New Roman" w:hAnsi="Times New Roman" w:eastAsia="Times New Roman" w:cs="Times New Roman"/>
                <w:spacing w:val="2"/>
                <w:position w:val="8"/>
                <w:sz w:val="15"/>
                <w:szCs w:val="15"/>
              </w:rPr>
              <w:t xml:space="preserve">3 </w:t>
            </w:r>
            <w:r>
              <w:rPr>
                <w:spacing w:val="-23"/>
              </w:rPr>
              <w:t>；（</w:t>
            </w:r>
            <w:r>
              <w:rPr>
                <w:spacing w:val="2"/>
              </w:rPr>
              <w:t>导流槽</w:t>
            </w:r>
            <w:r>
              <w:t xml:space="preserve"> </w:t>
            </w:r>
            <w:r>
              <w:rPr>
                <w:rFonts w:ascii="Times New Roman" w:hAnsi="Times New Roman" w:eastAsia="Times New Roman" w:cs="Times New Roman"/>
                <w:spacing w:val="-1"/>
              </w:rPr>
              <w:t>0.4m×0.5m×40m</w:t>
            </w:r>
            <w:r>
              <w:rPr>
                <w:rFonts w:ascii="Times New Roman" w:hAnsi="Times New Roman" w:eastAsia="Times New Roman" w:cs="Times New Roman"/>
                <w:spacing w:val="-28"/>
              </w:rPr>
              <w:t xml:space="preserve"> </w:t>
            </w:r>
            <w:r>
              <w:rPr>
                <w:spacing w:val="-1"/>
              </w:rPr>
              <w:t>，有效容积</w:t>
            </w:r>
            <w:r>
              <w:rPr>
                <w:spacing w:val="-27"/>
              </w:rPr>
              <w:t xml:space="preserve"> </w:t>
            </w:r>
            <w:r>
              <w:rPr>
                <w:rFonts w:ascii="Times New Roman" w:hAnsi="Times New Roman" w:eastAsia="Times New Roman" w:cs="Times New Roman"/>
                <w:spacing w:val="-1"/>
              </w:rPr>
              <w:t>10m</w:t>
            </w:r>
            <w:r>
              <w:rPr>
                <w:rFonts w:ascii="Times New Roman" w:hAnsi="Times New Roman" w:eastAsia="Times New Roman" w:cs="Times New Roman"/>
                <w:spacing w:val="-1"/>
                <w:position w:val="7"/>
                <w:sz w:val="15"/>
                <w:szCs w:val="15"/>
              </w:rPr>
              <w:t xml:space="preserve">3 </w:t>
            </w:r>
            <w:r>
              <w:rPr>
                <w:spacing w:val="-1"/>
              </w:rPr>
              <w:t>，于拆解车间外侧西</w:t>
            </w:r>
            <w:r>
              <w:rPr>
                <w:spacing w:val="-2"/>
              </w:rPr>
              <w:t>南角建设</w:t>
            </w:r>
            <w:r>
              <w:rPr>
                <w:spacing w:val="-27"/>
              </w:rPr>
              <w:t xml:space="preserve"> </w:t>
            </w:r>
            <w:r>
              <w:rPr>
                <w:rFonts w:ascii="Times New Roman" w:hAnsi="Times New Roman" w:eastAsia="Times New Roman" w:cs="Times New Roman"/>
                <w:spacing w:val="-2"/>
              </w:rPr>
              <w:t>10m</w:t>
            </w:r>
            <w:r>
              <w:rPr>
                <w:rFonts w:ascii="Times New Roman" w:hAnsi="Times New Roman" w:eastAsia="Times New Roman" w:cs="Times New Roman"/>
                <w:spacing w:val="-2"/>
                <w:position w:val="7"/>
                <w:sz w:val="15"/>
                <w:szCs w:val="15"/>
              </w:rPr>
              <w:t>3</w:t>
            </w:r>
            <w:r>
              <w:rPr>
                <w:rFonts w:ascii="Times New Roman" w:hAnsi="Times New Roman" w:eastAsia="Times New Roman" w:cs="Times New Roman"/>
                <w:spacing w:val="16"/>
                <w:w w:val="102"/>
                <w:position w:val="7"/>
                <w:sz w:val="15"/>
                <w:szCs w:val="15"/>
              </w:rPr>
              <w:t xml:space="preserve"> </w:t>
            </w:r>
            <w:r>
              <w:rPr>
                <w:spacing w:val="-2"/>
              </w:rPr>
              <w:t>事故收集</w:t>
            </w:r>
            <w:r>
              <w:t xml:space="preserve"> </w:t>
            </w:r>
            <w:r>
              <w:rPr>
                <w:spacing w:val="-5"/>
              </w:rPr>
              <w:t>池，合计</w:t>
            </w:r>
            <w:r>
              <w:rPr>
                <w:spacing w:val="-32"/>
              </w:rPr>
              <w:t xml:space="preserve"> </w:t>
            </w:r>
            <w:r>
              <w:rPr>
                <w:rFonts w:ascii="Times New Roman" w:hAnsi="Times New Roman" w:eastAsia="Times New Roman" w:cs="Times New Roman"/>
                <w:spacing w:val="-5"/>
              </w:rPr>
              <w:t>18m</w:t>
            </w:r>
            <w:r>
              <w:rPr>
                <w:rFonts w:ascii="Times New Roman" w:hAnsi="Times New Roman" w:eastAsia="Times New Roman" w:cs="Times New Roman"/>
                <w:spacing w:val="-5"/>
                <w:position w:val="7"/>
                <w:sz w:val="15"/>
                <w:szCs w:val="15"/>
              </w:rPr>
              <w:t xml:space="preserve">3 </w:t>
            </w:r>
            <w:r>
              <w:rPr>
                <w:spacing w:val="-14"/>
              </w:rPr>
              <w:t>）；</w:t>
            </w:r>
          </w:p>
          <w:p w14:paraId="517D840D">
            <w:pPr>
              <w:pStyle w:val="6"/>
              <w:spacing w:before="32" w:line="347" w:lineRule="auto"/>
              <w:ind w:left="104" w:right="94" w:firstLine="472"/>
            </w:pPr>
            <w:r>
              <w:rPr>
                <w:rFonts w:ascii="Times New Roman" w:hAnsi="Times New Roman" w:eastAsia="Times New Roman" w:cs="Times New Roman"/>
                <w:spacing w:val="2"/>
              </w:rPr>
              <w:t>V4--</w:t>
            </w:r>
            <w:r>
              <w:rPr>
                <w:spacing w:val="2"/>
              </w:rPr>
              <w:t>发生事故时仍应进入该收集系统的工业废水量，立方米；根据本项目</w:t>
            </w:r>
            <w:r>
              <w:rPr>
                <w:spacing w:val="15"/>
              </w:rPr>
              <w:t xml:space="preserve"> </w:t>
            </w:r>
            <w:r>
              <w:rPr>
                <w:spacing w:val="-1"/>
              </w:rPr>
              <w:t xml:space="preserve">特点，无工业废水进入该事故池，取 </w:t>
            </w:r>
            <w:r>
              <w:rPr>
                <w:rFonts w:ascii="Times New Roman" w:hAnsi="Times New Roman" w:eastAsia="Times New Roman" w:cs="Times New Roman"/>
                <w:spacing w:val="-1"/>
              </w:rPr>
              <w:t>0</w:t>
            </w:r>
            <w:r>
              <w:rPr>
                <w:spacing w:val="-1"/>
              </w:rPr>
              <w:t>。</w:t>
            </w:r>
          </w:p>
          <w:p w14:paraId="7421FB2D">
            <w:pPr>
              <w:pStyle w:val="6"/>
              <w:spacing w:before="36" w:line="342" w:lineRule="auto"/>
              <w:ind w:left="108" w:right="94" w:firstLine="468"/>
            </w:pPr>
            <w:r>
              <w:rPr>
                <w:rFonts w:ascii="Times New Roman" w:hAnsi="Times New Roman" w:eastAsia="Times New Roman" w:cs="Times New Roman"/>
                <w:spacing w:val="2"/>
              </w:rPr>
              <w:t>V5--</w:t>
            </w:r>
            <w:r>
              <w:rPr>
                <w:spacing w:val="2"/>
              </w:rPr>
              <w:t>发生事故时可能进入该收集系统的降雨量，立方米；本项目事故池在</w:t>
            </w:r>
            <w:r>
              <w:rPr>
                <w:spacing w:val="15"/>
              </w:rPr>
              <w:t xml:space="preserve"> </w:t>
            </w:r>
            <w:r>
              <w:rPr>
                <w:spacing w:val="-1"/>
              </w:rPr>
              <w:t xml:space="preserve">室内，不涉及降雨进入事故池内，故取 </w:t>
            </w:r>
            <w:r>
              <w:rPr>
                <w:rFonts w:ascii="Times New Roman" w:hAnsi="Times New Roman" w:eastAsia="Times New Roman" w:cs="Times New Roman"/>
                <w:spacing w:val="-1"/>
              </w:rPr>
              <w:t>0</w:t>
            </w:r>
            <w:r>
              <w:rPr>
                <w:spacing w:val="-1"/>
              </w:rPr>
              <w:t>。</w:t>
            </w:r>
          </w:p>
          <w:p w14:paraId="52191BA0">
            <w:pPr>
              <w:pStyle w:val="6"/>
              <w:spacing w:line="323" w:lineRule="exact"/>
              <w:ind w:left="586"/>
            </w:pPr>
            <w:r>
              <w:rPr>
                <w:spacing w:val="-1"/>
                <w:position w:val="1"/>
              </w:rPr>
              <w:t>经上述公式计算，</w:t>
            </w:r>
            <w:r>
              <w:rPr>
                <w:rFonts w:ascii="Times New Roman" w:hAnsi="Times New Roman" w:eastAsia="Times New Roman" w:cs="Times New Roman"/>
                <w:spacing w:val="-1"/>
                <w:position w:val="1"/>
              </w:rPr>
              <w:t>VT=</w:t>
            </w:r>
            <w:r>
              <w:rPr>
                <w:spacing w:val="-1"/>
                <w:position w:val="1"/>
              </w:rPr>
              <w:t>—</w:t>
            </w:r>
            <w:r>
              <w:rPr>
                <w:rFonts w:ascii="Times New Roman" w:hAnsi="Times New Roman" w:eastAsia="Times New Roman" w:cs="Times New Roman"/>
                <w:spacing w:val="-1"/>
                <w:position w:val="1"/>
              </w:rPr>
              <w:t>8m</w:t>
            </w:r>
            <w:r>
              <w:rPr>
                <w:rFonts w:ascii="Times New Roman" w:hAnsi="Times New Roman" w:eastAsia="Times New Roman" w:cs="Times New Roman"/>
                <w:spacing w:val="-1"/>
                <w:position w:val="8"/>
                <w:sz w:val="15"/>
                <w:szCs w:val="15"/>
              </w:rPr>
              <w:t>3</w:t>
            </w:r>
            <w:r>
              <w:rPr>
                <w:spacing w:val="-1"/>
                <w:position w:val="1"/>
              </w:rPr>
              <w:t>，</w:t>
            </w:r>
          </w:p>
          <w:p w14:paraId="5A02BA0A">
            <w:pPr>
              <w:pStyle w:val="6"/>
              <w:spacing w:before="193" w:line="345" w:lineRule="auto"/>
              <w:ind w:left="103" w:right="94" w:firstLine="481"/>
            </w:pPr>
            <w:r>
              <w:rPr>
                <w:spacing w:val="-3"/>
              </w:rPr>
              <w:t>本项目消防用水量</w:t>
            </w:r>
            <w:r>
              <w:rPr>
                <w:spacing w:val="43"/>
              </w:rPr>
              <w:t xml:space="preserve"> </w:t>
            </w:r>
            <w:r>
              <w:rPr>
                <w:rFonts w:ascii="Times New Roman" w:hAnsi="Times New Roman" w:eastAsia="Times New Roman" w:cs="Times New Roman"/>
                <w:spacing w:val="-3"/>
              </w:rPr>
              <w:t>10L/s</w:t>
            </w:r>
            <w:r>
              <w:rPr>
                <w:rFonts w:ascii="Times New Roman" w:hAnsi="Times New Roman" w:eastAsia="Times New Roman" w:cs="Times New Roman"/>
                <w:spacing w:val="-26"/>
              </w:rPr>
              <w:t xml:space="preserve"> </w:t>
            </w:r>
            <w:r>
              <w:rPr>
                <w:spacing w:val="-3"/>
              </w:rPr>
              <w:t>，由厂区内地下水监测井提供，井深</w:t>
            </w:r>
            <w:r>
              <w:rPr>
                <w:spacing w:val="31"/>
              </w:rPr>
              <w:t xml:space="preserve"> </w:t>
            </w:r>
            <w:r>
              <w:rPr>
                <w:rFonts w:ascii="Times New Roman" w:hAnsi="Times New Roman" w:eastAsia="Times New Roman" w:cs="Times New Roman"/>
                <w:spacing w:val="-3"/>
              </w:rPr>
              <w:t>15m</w:t>
            </w:r>
            <w:r>
              <w:rPr>
                <w:rFonts w:ascii="Times New Roman" w:hAnsi="Times New Roman" w:eastAsia="Times New Roman" w:cs="Times New Roman"/>
                <w:spacing w:val="-31"/>
              </w:rPr>
              <w:t xml:space="preserve"> </w:t>
            </w:r>
            <w:r>
              <w:rPr>
                <w:spacing w:val="-3"/>
              </w:rPr>
              <w:t>，供水</w:t>
            </w:r>
            <w:r>
              <w:t xml:space="preserve"> </w:t>
            </w:r>
            <w:r>
              <w:rPr>
                <w:spacing w:val="-1"/>
              </w:rPr>
              <w:t xml:space="preserve">量 </w:t>
            </w:r>
            <w:r>
              <w:rPr>
                <w:rFonts w:ascii="Times New Roman" w:hAnsi="Times New Roman" w:eastAsia="Times New Roman" w:cs="Times New Roman"/>
                <w:spacing w:val="-1"/>
              </w:rPr>
              <w:t>40m</w:t>
            </w:r>
            <w:r>
              <w:rPr>
                <w:rFonts w:ascii="Times New Roman" w:hAnsi="Times New Roman" w:eastAsia="Times New Roman" w:cs="Times New Roman"/>
                <w:spacing w:val="-1"/>
                <w:position w:val="8"/>
                <w:sz w:val="15"/>
                <w:szCs w:val="15"/>
              </w:rPr>
              <w:t>3</w:t>
            </w:r>
            <w:r>
              <w:rPr>
                <w:rFonts w:ascii="Times New Roman" w:hAnsi="Times New Roman" w:eastAsia="Times New Roman" w:cs="Times New Roman"/>
                <w:spacing w:val="-1"/>
              </w:rPr>
              <w:t>/h</w:t>
            </w:r>
            <w:r>
              <w:rPr>
                <w:spacing w:val="-2"/>
              </w:rPr>
              <w:t>（</w:t>
            </w:r>
            <w:r>
              <w:rPr>
                <w:rFonts w:ascii="Times New Roman" w:hAnsi="Times New Roman" w:eastAsia="Times New Roman" w:cs="Times New Roman"/>
                <w:spacing w:val="-2"/>
              </w:rPr>
              <w:t>11L/s</w:t>
            </w:r>
            <w:r>
              <w:rPr>
                <w:spacing w:val="-17"/>
              </w:rPr>
              <w:t>），</w:t>
            </w:r>
            <w:r>
              <w:rPr>
                <w:spacing w:val="-2"/>
              </w:rPr>
              <w:t>可满足消防用水需求。本项目设置的导流槽和收</w:t>
            </w:r>
            <w:r>
              <w:rPr>
                <w:spacing w:val="-3"/>
              </w:rPr>
              <w:t>集池的容</w:t>
            </w:r>
            <w:r>
              <w:rPr>
                <w:spacing w:val="1"/>
              </w:rPr>
              <w:t xml:space="preserve"> </w:t>
            </w:r>
            <w:r>
              <w:rPr>
                <w:spacing w:val="-3"/>
              </w:rPr>
              <w:t xml:space="preserve">积为 </w:t>
            </w:r>
            <w:r>
              <w:rPr>
                <w:rFonts w:ascii="Times New Roman" w:hAnsi="Times New Roman" w:eastAsia="Times New Roman" w:cs="Times New Roman"/>
                <w:spacing w:val="-3"/>
              </w:rPr>
              <w:t>18m</w:t>
            </w:r>
            <w:r>
              <w:rPr>
                <w:rFonts w:ascii="Times New Roman" w:hAnsi="Times New Roman" w:eastAsia="Times New Roman" w:cs="Times New Roman"/>
                <w:spacing w:val="-3"/>
                <w:position w:val="8"/>
                <w:sz w:val="15"/>
                <w:szCs w:val="15"/>
              </w:rPr>
              <w:t>3</w:t>
            </w:r>
            <w:r>
              <w:rPr>
                <w:spacing w:val="-3"/>
              </w:rPr>
              <w:t>，满足事故状态需求，收集池位于危险废物贮存库西南侧地下。消防</w:t>
            </w:r>
            <w:r>
              <w:rPr>
                <w:spacing w:val="17"/>
              </w:rPr>
              <w:t xml:space="preserve"> </w:t>
            </w:r>
            <w:r>
              <w:rPr>
                <w:spacing w:val="1"/>
              </w:rPr>
              <w:t>废水经移动式隔油设施处理后抽排至林甸县污水处理厂接续处理，废油由有资</w:t>
            </w:r>
            <w:r>
              <w:rPr>
                <w:spacing w:val="16"/>
              </w:rPr>
              <w:t xml:space="preserve"> </w:t>
            </w:r>
            <w:r>
              <w:rPr>
                <w:spacing w:val="-1"/>
              </w:rPr>
              <w:t>质单位处理，严禁泄漏到环境中去，造成环境风险事故。</w:t>
            </w:r>
          </w:p>
        </w:tc>
      </w:tr>
    </w:tbl>
    <w:p w14:paraId="45CE6A69">
      <w:pPr>
        <w:pStyle w:val="2"/>
        <w:spacing w:line="188" w:lineRule="exact"/>
        <w:rPr>
          <w:sz w:val="16"/>
        </w:rPr>
      </w:pPr>
    </w:p>
    <w:p w14:paraId="1BF5B869">
      <w:pPr>
        <w:spacing w:line="188" w:lineRule="exact"/>
        <w:rPr>
          <w:sz w:val="16"/>
          <w:szCs w:val="16"/>
        </w:rPr>
        <w:sectPr>
          <w:footerReference r:id="rId93"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0D4A0D78">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56" w:hRule="atLeast"/>
        </w:trPr>
        <w:tc>
          <w:tcPr>
            <w:tcW w:w="477" w:type="dxa"/>
            <w:tcBorders>
              <w:right w:val="single" w:color="000000" w:sz="2" w:space="0"/>
            </w:tcBorders>
            <w:vAlign w:val="top"/>
          </w:tcPr>
          <w:p w14:paraId="4DA30466">
            <w:pPr>
              <w:rPr>
                <w:rFonts w:ascii="Arial"/>
                <w:sz w:val="21"/>
              </w:rPr>
            </w:pPr>
          </w:p>
        </w:tc>
        <w:tc>
          <w:tcPr>
            <w:tcW w:w="8425" w:type="dxa"/>
            <w:tcBorders>
              <w:left w:val="single" w:color="000000" w:sz="2" w:space="0"/>
            </w:tcBorders>
            <w:vAlign w:val="top"/>
          </w:tcPr>
          <w:p w14:paraId="64E5025F">
            <w:pPr>
              <w:pStyle w:val="6"/>
              <w:spacing w:before="97" w:line="337" w:lineRule="auto"/>
              <w:ind w:left="103" w:right="16" w:firstLine="479"/>
            </w:pPr>
            <w:r>
              <w:rPr>
                <w:spacing w:val="1"/>
              </w:rPr>
              <w:t>⑤当拆解过程中发生单个电池破损、电解液泄漏，及时用耐酸容器对泄漏</w:t>
            </w:r>
            <w:r>
              <w:rPr>
                <w:spacing w:val="16"/>
              </w:rPr>
              <w:t xml:space="preserve"> </w:t>
            </w:r>
            <w:r>
              <w:rPr>
                <w:spacing w:val="1"/>
              </w:rPr>
              <w:t>液体进行收集、密封保存，少量滴落的电解液采用石灰、活性碳等吸附材料覆</w:t>
            </w:r>
            <w:r>
              <w:rPr>
                <w:spacing w:val="16"/>
              </w:rPr>
              <w:t xml:space="preserve"> </w:t>
            </w:r>
            <w:r>
              <w:rPr>
                <w:spacing w:val="1"/>
              </w:rPr>
              <w:t>盖，吸附材料收集后作为危废交由有资质的单位处置。当处理储存箱内泄漏电</w:t>
            </w:r>
            <w:r>
              <w:rPr>
                <w:spacing w:val="16"/>
              </w:rPr>
              <w:t xml:space="preserve"> </w:t>
            </w:r>
            <w:r>
              <w:rPr>
                <w:spacing w:val="1"/>
              </w:rPr>
              <w:t>解液，需将破损的和完好的电池取出、分开隔离贮存，箱内电解液采用专用收</w:t>
            </w:r>
            <w:r>
              <w:rPr>
                <w:spacing w:val="16"/>
              </w:rPr>
              <w:t xml:space="preserve"> </w:t>
            </w:r>
            <w:r>
              <w:rPr>
                <w:spacing w:val="-3"/>
              </w:rPr>
              <w:t>集容器收集、密封保存。处理事故的工作人员在进行清理工作时</w:t>
            </w:r>
            <w:r>
              <w:rPr>
                <w:spacing w:val="-4"/>
              </w:rPr>
              <w:t>须穿戴防护服、</w:t>
            </w:r>
            <w:r>
              <w:t xml:space="preserve"> </w:t>
            </w:r>
            <w:r>
              <w:rPr>
                <w:spacing w:val="-1"/>
              </w:rPr>
              <w:t>防腐蚀手套、口罩等防护用品，避免在操作中受到伤害。</w:t>
            </w:r>
          </w:p>
          <w:p w14:paraId="0F062F8A">
            <w:pPr>
              <w:pStyle w:val="6"/>
              <w:spacing w:before="183" w:line="219" w:lineRule="auto"/>
              <w:ind w:left="585"/>
            </w:pPr>
            <w:r>
              <w:rPr>
                <w:rFonts w:ascii="Times New Roman" w:hAnsi="Times New Roman" w:eastAsia="Times New Roman" w:cs="Times New Roman"/>
                <w:spacing w:val="-1"/>
              </w:rPr>
              <w:t>3</w:t>
            </w:r>
            <w:r>
              <w:rPr>
                <w:spacing w:val="-1"/>
              </w:rPr>
              <w:t>）运输风险防范措施</w:t>
            </w:r>
          </w:p>
          <w:p w14:paraId="4DAAC70E">
            <w:pPr>
              <w:pStyle w:val="6"/>
              <w:spacing w:before="180" w:line="355" w:lineRule="auto"/>
              <w:ind w:left="104" w:right="94" w:firstLine="479"/>
            </w:pPr>
            <w:r>
              <w:rPr>
                <w:spacing w:val="1"/>
              </w:rPr>
              <w:t>对危险物品的装卸、转移应由专业人见或经过严格培训的员工来操作，建</w:t>
            </w:r>
            <w:r>
              <w:rPr>
                <w:spacing w:val="18"/>
              </w:rPr>
              <w:t xml:space="preserve"> </w:t>
            </w:r>
            <w:r>
              <w:rPr>
                <w:spacing w:val="1"/>
              </w:rPr>
              <w:t>立一套完整的作业操作技术规范，严格遵守操作规定。其中，应专门制定专用</w:t>
            </w:r>
            <w:r>
              <w:rPr>
                <w:spacing w:val="15"/>
              </w:rPr>
              <w:t xml:space="preserve"> </w:t>
            </w:r>
            <w:r>
              <w:rPr>
                <w:spacing w:val="1"/>
              </w:rPr>
              <w:t>的运输箱，所有涉及危险物品运输的车辆必须经过专门的防渗漏、密封处理，</w:t>
            </w:r>
            <w:r>
              <w:rPr>
                <w:spacing w:val="15"/>
              </w:rPr>
              <w:t xml:space="preserve"> </w:t>
            </w:r>
            <w:r>
              <w:rPr>
                <w:spacing w:val="1"/>
              </w:rPr>
              <w:t>严控涉及危险物质的各个回收、贮存、运输过程的安全。在装运易燃、可燃液</w:t>
            </w:r>
            <w:r>
              <w:rPr>
                <w:spacing w:val="15"/>
              </w:rPr>
              <w:t xml:space="preserve"> </w:t>
            </w:r>
            <w:r>
              <w:rPr>
                <w:spacing w:val="-1"/>
              </w:rPr>
              <w:t>体或气体时，宜装阻火器以防雷电危害。</w:t>
            </w:r>
          </w:p>
          <w:p w14:paraId="65E47396">
            <w:pPr>
              <w:pStyle w:val="6"/>
              <w:spacing w:before="34" w:line="219" w:lineRule="auto"/>
              <w:ind w:left="579"/>
            </w:pPr>
            <w:r>
              <w:rPr>
                <w:rFonts w:ascii="Times New Roman" w:hAnsi="Times New Roman" w:eastAsia="Times New Roman" w:cs="Times New Roman"/>
                <w:spacing w:val="-1"/>
              </w:rPr>
              <w:t>4</w:t>
            </w:r>
            <w:r>
              <w:rPr>
                <w:spacing w:val="-1"/>
              </w:rPr>
              <w:t>）消防及火灾报警系统</w:t>
            </w:r>
          </w:p>
          <w:p w14:paraId="57E5BBB2">
            <w:pPr>
              <w:pStyle w:val="6"/>
              <w:spacing w:before="183" w:line="290" w:lineRule="auto"/>
              <w:ind w:left="112" w:right="97" w:firstLine="471"/>
            </w:pPr>
            <w:r>
              <w:rPr>
                <w:spacing w:val="1"/>
              </w:rPr>
              <w:t>①拆解车间、</w:t>
            </w:r>
            <w:r>
              <w:rPr>
                <w:rFonts w:ascii="Times New Roman" w:hAnsi="Times New Roman" w:eastAsia="Times New Roman" w:cs="Times New Roman"/>
                <w:spacing w:val="1"/>
              </w:rPr>
              <w:t>3#</w:t>
            </w:r>
            <w:r>
              <w:rPr>
                <w:spacing w:val="1"/>
              </w:rPr>
              <w:t>废矿物油暂存区内严禁明火，严禁在未排空废油液的情况</w:t>
            </w:r>
            <w:r>
              <w:rPr>
                <w:spacing w:val="15"/>
              </w:rPr>
              <w:t xml:space="preserve"> </w:t>
            </w:r>
            <w:r>
              <w:rPr>
                <w:spacing w:val="-3"/>
              </w:rPr>
              <w:t>下进行油箱拆解。</w:t>
            </w:r>
          </w:p>
          <w:p w14:paraId="548FDB7A">
            <w:pPr>
              <w:pStyle w:val="6"/>
              <w:spacing w:before="180" w:line="325" w:lineRule="auto"/>
              <w:ind w:left="105" w:right="94" w:firstLine="477"/>
            </w:pPr>
            <w:r>
              <w:t xml:space="preserve">②厂内配备满足 </w:t>
            </w:r>
            <w:r>
              <w:rPr>
                <w:rFonts w:ascii="Times New Roman" w:hAnsi="Times New Roman" w:eastAsia="Times New Roman" w:cs="Times New Roman"/>
              </w:rPr>
              <w:t xml:space="preserve">GB 50016  </w:t>
            </w:r>
            <w:r>
              <w:t>规定的消防设施设备（灭火器、消火栓、消防</w:t>
            </w:r>
            <w:r>
              <w:rPr>
                <w:spacing w:val="15"/>
              </w:rPr>
              <w:t xml:space="preserve"> </w:t>
            </w:r>
            <w:r>
              <w:rPr>
                <w:spacing w:val="1"/>
              </w:rPr>
              <w:t>沙等</w:t>
            </w:r>
            <w:r>
              <w:rPr>
                <w:spacing w:val="8"/>
              </w:rPr>
              <w:t>），</w:t>
            </w:r>
            <w:r>
              <w:rPr>
                <w:spacing w:val="1"/>
              </w:rPr>
              <w:t>每年对灭火器材、设施进行检查，如有损坏或压力不足应及时维修更</w:t>
            </w:r>
            <w:r>
              <w:t xml:space="preserve"> </w:t>
            </w:r>
            <w:r>
              <w:rPr>
                <w:spacing w:val="1"/>
              </w:rPr>
              <w:t>新。检测内容、时间、人员应有记录保存。安全检测应根据设备的安全性、危</w:t>
            </w:r>
            <w:r>
              <w:rPr>
                <w:spacing w:val="14"/>
              </w:rPr>
              <w:t xml:space="preserve"> </w:t>
            </w:r>
            <w:r>
              <w:t>险性设定检测频次。在消防器材、设施放置处</w:t>
            </w:r>
            <w:r>
              <w:rPr>
                <w:spacing w:val="-1"/>
              </w:rPr>
              <w:t>，安排相应的管理者负责。</w:t>
            </w:r>
          </w:p>
          <w:p w14:paraId="4B907C7F">
            <w:pPr>
              <w:pStyle w:val="6"/>
              <w:spacing w:before="183" w:line="290" w:lineRule="auto"/>
              <w:ind w:left="104" w:right="97" w:firstLine="478"/>
            </w:pPr>
            <w:r>
              <w:rPr>
                <w:spacing w:val="1"/>
              </w:rPr>
              <w:t>③保持消防器材的完整齐备，严禁将消防器材挪做它用，特殊情况必须经</w:t>
            </w:r>
            <w:r>
              <w:rPr>
                <w:spacing w:val="16"/>
              </w:rPr>
              <w:t xml:space="preserve"> </w:t>
            </w:r>
            <w:r>
              <w:rPr>
                <w:spacing w:val="-1"/>
              </w:rPr>
              <w:t>相关管理部门的同意。</w:t>
            </w:r>
          </w:p>
          <w:p w14:paraId="74363E61">
            <w:pPr>
              <w:pStyle w:val="6"/>
              <w:spacing w:before="183" w:line="219" w:lineRule="auto"/>
              <w:ind w:left="596"/>
            </w:pPr>
            <w:r>
              <w:rPr>
                <w:spacing w:val="-2"/>
              </w:rPr>
              <w:t>（</w:t>
            </w:r>
            <w:r>
              <w:rPr>
                <w:rFonts w:ascii="Times New Roman" w:hAnsi="Times New Roman" w:eastAsia="Times New Roman" w:cs="Times New Roman"/>
                <w:spacing w:val="-2"/>
              </w:rPr>
              <w:t>4</w:t>
            </w:r>
            <w:r>
              <w:rPr>
                <w:spacing w:val="-2"/>
              </w:rPr>
              <w:t>）环境风险防范管理措施</w:t>
            </w:r>
          </w:p>
          <w:p w14:paraId="1DAEA995">
            <w:pPr>
              <w:pStyle w:val="6"/>
              <w:spacing w:before="183" w:line="313" w:lineRule="auto"/>
              <w:ind w:left="104" w:right="97" w:firstLine="498"/>
            </w:pPr>
            <w:r>
              <w:rPr>
                <w:rFonts w:ascii="Times New Roman" w:hAnsi="Times New Roman" w:eastAsia="Times New Roman" w:cs="Times New Roman"/>
                <w:spacing w:val="-3"/>
              </w:rPr>
              <w:t>1</w:t>
            </w:r>
            <w:r>
              <w:rPr>
                <w:spacing w:val="-3"/>
              </w:rPr>
              <w:t>）强化安全生产管理，必须制定岗位责任制，将责任落实到部门和个人严</w:t>
            </w:r>
            <w:r>
              <w:rPr>
                <w:spacing w:val="7"/>
              </w:rPr>
              <w:t xml:space="preserve"> </w:t>
            </w:r>
            <w:r>
              <w:rPr>
                <w:spacing w:val="1"/>
              </w:rPr>
              <w:t>格遵守操作规程，严格遵守国家、地方关于易燃、易爆、有毒有害物料的储运</w:t>
            </w:r>
            <w:r>
              <w:rPr>
                <w:spacing w:val="13"/>
              </w:rPr>
              <w:t xml:space="preserve"> </w:t>
            </w:r>
            <w:r>
              <w:rPr>
                <w:spacing w:val="-2"/>
              </w:rPr>
              <w:t>使用安全规定。</w:t>
            </w:r>
          </w:p>
          <w:p w14:paraId="71F50AC6">
            <w:pPr>
              <w:pStyle w:val="6"/>
              <w:spacing w:before="183" w:line="332" w:lineRule="auto"/>
              <w:ind w:left="103" w:right="16" w:firstLine="476"/>
            </w:pPr>
            <w:r>
              <w:rPr>
                <w:rFonts w:ascii="Times New Roman" w:hAnsi="Times New Roman" w:eastAsia="Times New Roman" w:cs="Times New Roman"/>
                <w:spacing w:val="-7"/>
              </w:rPr>
              <w:t>2</w:t>
            </w:r>
            <w:r>
              <w:rPr>
                <w:spacing w:val="-7"/>
              </w:rPr>
              <w:t>）强化安全生产及环境保护意识的教育，提高职工的素质。公司管理人员、</w:t>
            </w:r>
            <w:r>
              <w:rPr>
                <w:spacing w:val="9"/>
              </w:rPr>
              <w:t xml:space="preserve"> </w:t>
            </w:r>
            <w:r>
              <w:rPr>
                <w:spacing w:val="1"/>
              </w:rPr>
              <w:t>技术人员、运输人员必须接受有关危险废物的法律法规、规章和安全知识、专</w:t>
            </w:r>
            <w:r>
              <w:rPr>
                <w:spacing w:val="14"/>
              </w:rPr>
              <w:t xml:space="preserve"> </w:t>
            </w:r>
            <w:r>
              <w:rPr>
                <w:spacing w:val="1"/>
              </w:rPr>
              <w:t>业技术、职业卫生防护和应急知识的培训，并经考核合格，方可上岗作业；加</w:t>
            </w:r>
            <w:r>
              <w:rPr>
                <w:spacing w:val="14"/>
              </w:rPr>
              <w:t xml:space="preserve"> </w:t>
            </w:r>
            <w:r>
              <w:rPr>
                <w:spacing w:val="1"/>
              </w:rPr>
              <w:t>强设备的维修、保养，加强容器、管道的安全监控，按规定进行定期检验；加</w:t>
            </w:r>
            <w:r>
              <w:rPr>
                <w:spacing w:val="14"/>
              </w:rPr>
              <w:t xml:space="preserve"> </w:t>
            </w:r>
            <w:r>
              <w:rPr>
                <w:spacing w:val="-1"/>
              </w:rPr>
              <w:t>强危险目标的保卫工作，防止破坏事故发生。</w:t>
            </w:r>
          </w:p>
        </w:tc>
      </w:tr>
    </w:tbl>
    <w:p w14:paraId="2EA13A5D">
      <w:pPr>
        <w:pStyle w:val="2"/>
        <w:spacing w:line="188" w:lineRule="exact"/>
        <w:rPr>
          <w:sz w:val="16"/>
        </w:rPr>
      </w:pPr>
    </w:p>
    <w:p w14:paraId="6A61B36B">
      <w:pPr>
        <w:spacing w:line="188" w:lineRule="exact"/>
        <w:rPr>
          <w:sz w:val="16"/>
          <w:szCs w:val="16"/>
        </w:rPr>
        <w:sectPr>
          <w:footerReference r:id="rId94"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563F333B">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4056" w:hRule="atLeast"/>
        </w:trPr>
        <w:tc>
          <w:tcPr>
            <w:tcW w:w="477" w:type="dxa"/>
            <w:tcBorders>
              <w:right w:val="single" w:color="000000" w:sz="2" w:space="0"/>
            </w:tcBorders>
            <w:vAlign w:val="top"/>
          </w:tcPr>
          <w:p w14:paraId="13B03BE7">
            <w:pPr>
              <w:rPr>
                <w:rFonts w:ascii="Arial"/>
                <w:sz w:val="21"/>
              </w:rPr>
            </w:pPr>
          </w:p>
        </w:tc>
        <w:tc>
          <w:tcPr>
            <w:tcW w:w="8425" w:type="dxa"/>
            <w:tcBorders>
              <w:left w:val="single" w:color="000000" w:sz="2" w:space="0"/>
            </w:tcBorders>
            <w:vAlign w:val="top"/>
          </w:tcPr>
          <w:p w14:paraId="75806D24">
            <w:pPr>
              <w:pStyle w:val="6"/>
              <w:spacing w:before="99" w:line="290" w:lineRule="auto"/>
              <w:ind w:left="133" w:right="97" w:firstLine="451"/>
            </w:pPr>
            <w:r>
              <w:rPr>
                <w:rFonts w:ascii="Times New Roman" w:hAnsi="Times New Roman" w:eastAsia="Times New Roman" w:cs="Times New Roman"/>
                <w:spacing w:val="-2"/>
              </w:rPr>
              <w:t>3</w:t>
            </w:r>
            <w:r>
              <w:rPr>
                <w:spacing w:val="-2"/>
              </w:rPr>
              <w:t>）建立健全环保及安全管理部门，该部门应加强监督检</w:t>
            </w:r>
            <w:r>
              <w:rPr>
                <w:spacing w:val="-3"/>
              </w:rPr>
              <w:t>查，按规定监测厂</w:t>
            </w:r>
            <w:r>
              <w:t xml:space="preserve"> </w:t>
            </w:r>
            <w:r>
              <w:rPr>
                <w:spacing w:val="-2"/>
              </w:rPr>
              <w:t>内外空气，及时发现，立即处理，避免污染。</w:t>
            </w:r>
          </w:p>
          <w:p w14:paraId="5E7191F4">
            <w:pPr>
              <w:pStyle w:val="6"/>
              <w:spacing w:before="182" w:line="220" w:lineRule="auto"/>
              <w:ind w:left="596"/>
            </w:pPr>
            <w:r>
              <w:rPr>
                <w:spacing w:val="-2"/>
              </w:rPr>
              <w:t>（</w:t>
            </w:r>
            <w:r>
              <w:rPr>
                <w:rFonts w:ascii="Times New Roman" w:hAnsi="Times New Roman" w:eastAsia="Times New Roman" w:cs="Times New Roman"/>
                <w:spacing w:val="-2"/>
              </w:rPr>
              <w:t>5</w:t>
            </w:r>
            <w:r>
              <w:rPr>
                <w:spacing w:val="-2"/>
              </w:rPr>
              <w:t>）其他风险防范措施及应急要求</w:t>
            </w:r>
          </w:p>
          <w:p w14:paraId="1B595E5F">
            <w:pPr>
              <w:pStyle w:val="6"/>
              <w:spacing w:before="182" w:line="289" w:lineRule="auto"/>
              <w:ind w:left="105" w:right="97" w:firstLine="478"/>
            </w:pPr>
            <w:r>
              <w:rPr>
                <w:spacing w:val="1"/>
              </w:rPr>
              <w:t>①厂房要加强通风，电气设备必须选用防腐、防爆型，电源绝缘良好，防</w:t>
            </w:r>
            <w:r>
              <w:rPr>
                <w:spacing w:val="16"/>
              </w:rPr>
              <w:t xml:space="preserve"> </w:t>
            </w:r>
            <w:r>
              <w:rPr>
                <w:spacing w:val="-1"/>
              </w:rPr>
              <w:t>止产生静电火花，接地牢固，防止产生静电。</w:t>
            </w:r>
          </w:p>
          <w:p w14:paraId="3ADC7983">
            <w:pPr>
              <w:pStyle w:val="6"/>
              <w:spacing w:before="184" w:line="217" w:lineRule="auto"/>
              <w:ind w:left="582"/>
            </w:pPr>
            <w:r>
              <w:rPr>
                <w:spacing w:val="-1"/>
              </w:rPr>
              <w:t>②建立危险废物存储档案制度，做好管理和维护。</w:t>
            </w:r>
          </w:p>
          <w:p w14:paraId="475F7F4C">
            <w:pPr>
              <w:pStyle w:val="6"/>
              <w:spacing w:before="186" w:line="217" w:lineRule="auto"/>
              <w:ind w:left="582"/>
            </w:pPr>
            <w:r>
              <w:rPr>
                <w:spacing w:val="-1"/>
              </w:rPr>
              <w:t>③废油液不得直接外排，必须委托处置。</w:t>
            </w:r>
          </w:p>
          <w:p w14:paraId="2D0948D0">
            <w:pPr>
              <w:pStyle w:val="6"/>
              <w:spacing w:before="185" w:line="313" w:lineRule="auto"/>
              <w:ind w:left="104" w:right="97" w:firstLine="478"/>
            </w:pPr>
            <w:r>
              <w:rPr>
                <w:spacing w:val="1"/>
              </w:rPr>
              <w:t>④要严格遵守国家有关防火防爆的安全规定，各生产装置区及建筑物间考</w:t>
            </w:r>
            <w:r>
              <w:rPr>
                <w:spacing w:val="17"/>
              </w:rPr>
              <w:t xml:space="preserve"> </w:t>
            </w:r>
            <w:r>
              <w:rPr>
                <w:spacing w:val="1"/>
              </w:rPr>
              <w:t>虑足够的安全防火距离，并布置相应的消防通道、消防水池以及足够的消防器</w:t>
            </w:r>
            <w:r>
              <w:rPr>
                <w:spacing w:val="10"/>
              </w:rPr>
              <w:t xml:space="preserve"> </w:t>
            </w:r>
            <w:r>
              <w:rPr>
                <w:spacing w:val="-1"/>
              </w:rPr>
              <w:t>材等装置，并要有专人负责管理。</w:t>
            </w:r>
          </w:p>
          <w:p w14:paraId="66B3D90F">
            <w:pPr>
              <w:pStyle w:val="6"/>
              <w:spacing w:before="183" w:line="290" w:lineRule="auto"/>
              <w:ind w:left="105" w:right="97" w:firstLine="477"/>
            </w:pPr>
            <w:r>
              <w:rPr>
                <w:spacing w:val="1"/>
              </w:rPr>
              <w:t>⑤在风险事故发生后，对诱发风险事故的原因进行总结，并根据可能引起</w:t>
            </w:r>
            <w:r>
              <w:rPr>
                <w:spacing w:val="17"/>
              </w:rPr>
              <w:t xml:space="preserve"> </w:t>
            </w:r>
            <w:r>
              <w:rPr>
                <w:spacing w:val="-1"/>
              </w:rPr>
              <w:t>风险事故发生的诱导因素重点进行防范。</w:t>
            </w:r>
          </w:p>
          <w:p w14:paraId="7FE0AE3F">
            <w:pPr>
              <w:pStyle w:val="6"/>
              <w:spacing w:before="181" w:line="313" w:lineRule="auto"/>
              <w:ind w:left="103" w:right="97" w:firstLine="479"/>
            </w:pPr>
            <w:r>
              <w:rPr>
                <w:spacing w:val="1"/>
              </w:rPr>
              <w:t>⑥发生危险废物污染事故和生态破坏事件时，积极配合生态环境部门对所</w:t>
            </w:r>
            <w:r>
              <w:rPr>
                <w:spacing w:val="17"/>
              </w:rPr>
              <w:t xml:space="preserve"> </w:t>
            </w:r>
            <w:r>
              <w:rPr>
                <w:spacing w:val="1"/>
              </w:rPr>
              <w:t>造成的污染进行处理，经评价确认环境已得到恢复后方能继续生产，污染严重</w:t>
            </w:r>
            <w:r>
              <w:rPr>
                <w:spacing w:val="14"/>
              </w:rPr>
              <w:t xml:space="preserve"> </w:t>
            </w:r>
            <w:r>
              <w:rPr>
                <w:spacing w:val="-1"/>
              </w:rPr>
              <w:t>和污染持续时间长的，必须进行环境风险后评估。</w:t>
            </w:r>
          </w:p>
          <w:p w14:paraId="309AC402">
            <w:pPr>
              <w:pStyle w:val="6"/>
              <w:spacing w:before="185" w:line="313" w:lineRule="auto"/>
              <w:ind w:left="102" w:right="97" w:firstLine="479"/>
            </w:pPr>
            <w:r>
              <w:rPr>
                <w:spacing w:val="1"/>
              </w:rPr>
              <w:t>⑦建设单位应编制建设项目环境风险应急预案，报生态环境部门批准后在</w:t>
            </w:r>
            <w:r>
              <w:rPr>
                <w:spacing w:val="17"/>
              </w:rPr>
              <w:t xml:space="preserve"> </w:t>
            </w:r>
            <w:r>
              <w:rPr>
                <w:spacing w:val="1"/>
              </w:rPr>
              <w:t>生产中实施，并安排环境风险应急预案及风险污染处置演练，进行应急处置宣</w:t>
            </w:r>
            <w:r>
              <w:rPr>
                <w:spacing w:val="15"/>
              </w:rPr>
              <w:t xml:space="preserve"> </w:t>
            </w:r>
            <w:r>
              <w:rPr>
                <w:spacing w:val="-2"/>
              </w:rPr>
              <w:t>传、教育。</w:t>
            </w:r>
          </w:p>
          <w:p w14:paraId="4DF17C65">
            <w:pPr>
              <w:pStyle w:val="6"/>
              <w:spacing w:before="184" w:line="220" w:lineRule="auto"/>
              <w:ind w:left="596"/>
            </w:pPr>
            <w:r>
              <w:rPr>
                <w:spacing w:val="-3"/>
              </w:rPr>
              <w:t>（</w:t>
            </w:r>
            <w:r>
              <w:rPr>
                <w:rFonts w:ascii="Times New Roman" w:hAnsi="Times New Roman" w:eastAsia="Times New Roman" w:cs="Times New Roman"/>
                <w:spacing w:val="-3"/>
              </w:rPr>
              <w:t>6</w:t>
            </w:r>
            <w:r>
              <w:rPr>
                <w:spacing w:val="-3"/>
              </w:rPr>
              <w:t>）应急预案</w:t>
            </w:r>
          </w:p>
          <w:p w14:paraId="6DC5B962">
            <w:pPr>
              <w:pStyle w:val="6"/>
              <w:spacing w:before="182" w:line="313" w:lineRule="auto"/>
              <w:ind w:left="104" w:right="97" w:firstLine="479"/>
            </w:pPr>
            <w:r>
              <w:rPr>
                <w:spacing w:val="-2"/>
              </w:rPr>
              <w:t>① 针对本项目事故应急预案的要求，公司设应急指挥领导小</w:t>
            </w:r>
            <w:r>
              <w:rPr>
                <w:spacing w:val="-3"/>
              </w:rPr>
              <w:t>组和义务消防</w:t>
            </w:r>
            <w:r>
              <w:t xml:space="preserve"> </w:t>
            </w:r>
            <w:r>
              <w:rPr>
                <w:spacing w:val="1"/>
              </w:rPr>
              <w:t>队，每个班组均设有安全员，发生事故发生后迅速有效控制和处理事故，尽力</w:t>
            </w:r>
            <w:r>
              <w:rPr>
                <w:spacing w:val="13"/>
              </w:rPr>
              <w:t xml:space="preserve"> </w:t>
            </w:r>
            <w:r>
              <w:rPr>
                <w:spacing w:val="-1"/>
              </w:rPr>
              <w:t>减轻事故对人和财产的影响，同时减轻对周边环境的影响。</w:t>
            </w:r>
          </w:p>
          <w:p w14:paraId="030313B6">
            <w:pPr>
              <w:pStyle w:val="6"/>
              <w:spacing w:before="183" w:line="217" w:lineRule="auto"/>
              <w:jc w:val="right"/>
            </w:pPr>
            <w:r>
              <w:rPr>
                <w:spacing w:val="-7"/>
              </w:rPr>
              <w:t>② 发生火灾时，要做到及时报警，迅速切断电源，避免更大的危险性发生。</w:t>
            </w:r>
          </w:p>
          <w:p w14:paraId="3E827C3A">
            <w:pPr>
              <w:pStyle w:val="6"/>
              <w:spacing w:before="186" w:line="290" w:lineRule="auto"/>
              <w:ind w:left="108" w:right="97" w:firstLine="474"/>
            </w:pPr>
            <w:r>
              <w:rPr>
                <w:spacing w:val="1"/>
              </w:rPr>
              <w:t>③本项目定期检查除尘器和活性炭箱，设备发生故障后及时维修，保障污</w:t>
            </w:r>
            <w:r>
              <w:rPr>
                <w:spacing w:val="17"/>
              </w:rPr>
              <w:t xml:space="preserve"> </w:t>
            </w:r>
            <w:r>
              <w:rPr>
                <w:spacing w:val="-2"/>
              </w:rPr>
              <w:t>染物正常排放。</w:t>
            </w:r>
          </w:p>
          <w:p w14:paraId="11896A91">
            <w:pPr>
              <w:pStyle w:val="6"/>
              <w:spacing w:before="181" w:line="325" w:lineRule="auto"/>
              <w:ind w:left="104" w:right="35" w:firstLine="478"/>
            </w:pPr>
            <w:r>
              <w:rPr>
                <w:spacing w:val="-2"/>
              </w:rPr>
              <w:t>④ 当发生的事故，可能对厂区内、外人群安全构成威胁时，必</w:t>
            </w:r>
            <w:r>
              <w:rPr>
                <w:spacing w:val="-3"/>
              </w:rPr>
              <w:t>须在公司应</w:t>
            </w:r>
            <w:r>
              <w:t xml:space="preserve"> </w:t>
            </w:r>
            <w:r>
              <w:rPr>
                <w:spacing w:val="1"/>
              </w:rPr>
              <w:t>急指挥领导小组的指挥下，紧急疏散与事故应急救援无关的人员及估算邻近居</w:t>
            </w:r>
            <w:r>
              <w:rPr>
                <w:spacing w:val="13"/>
              </w:rPr>
              <w:t xml:space="preserve"> </w:t>
            </w:r>
            <w:r>
              <w:rPr>
                <w:spacing w:val="-4"/>
              </w:rPr>
              <w:t>民。应在厂最高建筑物上设立</w:t>
            </w:r>
            <w:r>
              <w:rPr>
                <w:rFonts w:ascii="Times New Roman" w:hAnsi="Times New Roman" w:eastAsia="Times New Roman" w:cs="Times New Roman"/>
                <w:spacing w:val="-4"/>
              </w:rPr>
              <w:t>“</w:t>
            </w:r>
            <w:r>
              <w:rPr>
                <w:spacing w:val="-4"/>
              </w:rPr>
              <w:t>风向标</w:t>
            </w:r>
            <w:r>
              <w:rPr>
                <w:rFonts w:ascii="Times New Roman" w:hAnsi="Times New Roman" w:eastAsia="Times New Roman" w:cs="Times New Roman"/>
                <w:spacing w:val="-4"/>
              </w:rPr>
              <w:t>”</w:t>
            </w:r>
            <w:r>
              <w:rPr>
                <w:rFonts w:ascii="Times New Roman" w:hAnsi="Times New Roman" w:eastAsia="Times New Roman" w:cs="Times New Roman"/>
                <w:spacing w:val="-21"/>
              </w:rPr>
              <w:t xml:space="preserve"> </w:t>
            </w:r>
            <w:r>
              <w:rPr>
                <w:spacing w:val="-4"/>
              </w:rPr>
              <w:t>，制定具体的疏散方向，疏散于安全区，</w:t>
            </w:r>
            <w:r>
              <w:t xml:space="preserve"> </w:t>
            </w:r>
            <w:r>
              <w:rPr>
                <w:spacing w:val="-1"/>
              </w:rPr>
              <w:t>做好受伤人员的救助工作。</w:t>
            </w:r>
          </w:p>
          <w:p w14:paraId="68AB7B7E">
            <w:pPr>
              <w:pStyle w:val="6"/>
              <w:spacing w:before="183" w:line="217" w:lineRule="auto"/>
              <w:ind w:left="582"/>
            </w:pPr>
            <w:r>
              <w:rPr>
                <w:spacing w:val="1"/>
              </w:rPr>
              <w:t>⑤按照设定的危险区域，设立警戒线，并在通往事故现场的主要干道上实</w:t>
            </w:r>
          </w:p>
        </w:tc>
      </w:tr>
    </w:tbl>
    <w:p w14:paraId="51ACCB91">
      <w:pPr>
        <w:pStyle w:val="2"/>
        <w:spacing w:line="188" w:lineRule="exact"/>
        <w:rPr>
          <w:sz w:val="16"/>
        </w:rPr>
      </w:pPr>
    </w:p>
    <w:p w14:paraId="7F5AA238">
      <w:pPr>
        <w:spacing w:line="188" w:lineRule="exact"/>
        <w:rPr>
          <w:sz w:val="16"/>
          <w:szCs w:val="16"/>
        </w:rPr>
        <w:sectPr>
          <w:footerReference r:id="rId95" w:type="default"/>
          <w:pgSz w:w="11906" w:h="16839"/>
          <w:pgMar w:top="1270" w:right="1489" w:bottom="1263" w:left="1488" w:header="0" w:footer="1097" w:gutter="0"/>
          <w:cols w:space="720" w:num="1"/>
        </w:sectPr>
      </w:pPr>
    </w:p>
    <w:tbl>
      <w:tblPr>
        <w:tblStyle w:val="5"/>
        <w:tblW w:w="890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477"/>
        <w:gridCol w:w="2013"/>
        <w:gridCol w:w="201"/>
        <w:gridCol w:w="885"/>
        <w:gridCol w:w="2289"/>
        <w:gridCol w:w="685"/>
        <w:gridCol w:w="35"/>
        <w:gridCol w:w="2317"/>
      </w:tblGrid>
      <w:tr w14:paraId="4FBC69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47" w:hRule="atLeast"/>
        </w:trPr>
        <w:tc>
          <w:tcPr>
            <w:tcW w:w="477" w:type="dxa"/>
            <w:vMerge w:val="restart"/>
            <w:tcBorders>
              <w:top w:val="single" w:color="000000" w:sz="10" w:space="0"/>
              <w:left w:val="single" w:color="000000" w:sz="10" w:space="0"/>
              <w:bottom w:val="nil"/>
            </w:tcBorders>
            <w:vAlign w:val="top"/>
          </w:tcPr>
          <w:p w14:paraId="317DB3C3">
            <w:pPr>
              <w:rPr>
                <w:rFonts w:ascii="Arial"/>
                <w:sz w:val="21"/>
              </w:rPr>
            </w:pPr>
          </w:p>
        </w:tc>
        <w:tc>
          <w:tcPr>
            <w:tcW w:w="8425" w:type="dxa"/>
            <w:gridSpan w:val="7"/>
            <w:tcBorders>
              <w:top w:val="single" w:color="000000" w:sz="10" w:space="0"/>
              <w:bottom w:val="single" w:color="000000" w:sz="10" w:space="0"/>
              <w:right w:val="single" w:color="000000" w:sz="10" w:space="0"/>
            </w:tcBorders>
            <w:vAlign w:val="top"/>
          </w:tcPr>
          <w:p w14:paraId="352DE6C4">
            <w:pPr>
              <w:pStyle w:val="6"/>
              <w:spacing w:before="101" w:line="219" w:lineRule="auto"/>
              <w:ind w:left="108"/>
            </w:pPr>
            <w:r>
              <w:rPr>
                <w:spacing w:val="-3"/>
              </w:rPr>
              <w:t>行交通管制。</w:t>
            </w:r>
          </w:p>
          <w:p w14:paraId="4A998FD9">
            <w:pPr>
              <w:pStyle w:val="6"/>
              <w:spacing w:before="182" w:line="290" w:lineRule="auto"/>
              <w:ind w:left="105" w:right="97" w:firstLine="477"/>
            </w:pPr>
            <w:r>
              <w:rPr>
                <w:spacing w:val="1"/>
              </w:rPr>
              <w:t>⑥在污染区域和可能污染区域立即进行布点监测，根据监测数据及时调整</w:t>
            </w:r>
            <w:r>
              <w:rPr>
                <w:spacing w:val="16"/>
              </w:rPr>
              <w:t xml:space="preserve"> </w:t>
            </w:r>
            <w:r>
              <w:rPr>
                <w:spacing w:val="-3"/>
              </w:rPr>
              <w:t>疏散范围。</w:t>
            </w:r>
          </w:p>
          <w:p w14:paraId="70E75D52">
            <w:pPr>
              <w:pStyle w:val="6"/>
              <w:spacing w:before="181" w:line="330" w:lineRule="auto"/>
              <w:ind w:left="109" w:right="97" w:firstLine="473"/>
            </w:pPr>
            <w:r>
              <w:rPr>
                <w:spacing w:val="1"/>
              </w:rPr>
              <w:t>⑦为受灾群众提供避难场所以及必要的基本生活保障，配合政府部门进行</w:t>
            </w:r>
            <w:r>
              <w:rPr>
                <w:spacing w:val="16"/>
              </w:rPr>
              <w:t xml:space="preserve"> </w:t>
            </w:r>
            <w:r>
              <w:rPr>
                <w:spacing w:val="-1"/>
              </w:rPr>
              <w:t>受灾群众的医疗救助、疾病控制、生活救助。</w:t>
            </w:r>
          </w:p>
          <w:p w14:paraId="78015FD6">
            <w:pPr>
              <w:pStyle w:val="6"/>
              <w:spacing w:before="1" w:line="211" w:lineRule="auto"/>
              <w:ind w:left="1855"/>
            </w:pPr>
            <w:r>
              <w:rPr>
                <w:b/>
                <w:bCs/>
                <w:spacing w:val="-2"/>
              </w:rPr>
              <w:t>表</w:t>
            </w:r>
            <w:r>
              <w:rPr>
                <w:spacing w:val="-47"/>
              </w:rPr>
              <w:t xml:space="preserve"> </w:t>
            </w:r>
            <w:r>
              <w:rPr>
                <w:rFonts w:ascii="Times New Roman" w:hAnsi="Times New Roman" w:eastAsia="Times New Roman" w:cs="Times New Roman"/>
                <w:b/>
                <w:bCs/>
                <w:spacing w:val="-2"/>
              </w:rPr>
              <w:t xml:space="preserve">4-16      </w:t>
            </w:r>
            <w:r>
              <w:rPr>
                <w:b/>
                <w:bCs/>
                <w:spacing w:val="-2"/>
              </w:rPr>
              <w:t>建设项目环境风险简单分析内容表</w:t>
            </w:r>
          </w:p>
        </w:tc>
      </w:tr>
      <w:tr w14:paraId="318FE3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4" w:hRule="atLeast"/>
        </w:trPr>
        <w:tc>
          <w:tcPr>
            <w:tcW w:w="477" w:type="dxa"/>
            <w:vMerge w:val="continue"/>
            <w:tcBorders>
              <w:top w:val="nil"/>
              <w:left w:val="single" w:color="000000" w:sz="10" w:space="0"/>
              <w:bottom w:val="nil"/>
            </w:tcBorders>
            <w:vAlign w:val="top"/>
          </w:tcPr>
          <w:p w14:paraId="252F08E9">
            <w:pPr>
              <w:rPr>
                <w:rFonts w:ascii="Arial"/>
                <w:sz w:val="21"/>
              </w:rPr>
            </w:pPr>
          </w:p>
        </w:tc>
        <w:tc>
          <w:tcPr>
            <w:tcW w:w="2214" w:type="dxa"/>
            <w:gridSpan w:val="2"/>
            <w:tcBorders>
              <w:top w:val="single" w:color="000000" w:sz="10" w:space="0"/>
            </w:tcBorders>
            <w:vAlign w:val="top"/>
          </w:tcPr>
          <w:p w14:paraId="4F90740A">
            <w:pPr>
              <w:pStyle w:val="6"/>
              <w:spacing w:before="100" w:line="228" w:lineRule="auto"/>
              <w:ind w:left="530"/>
              <w:rPr>
                <w:sz w:val="20"/>
                <w:szCs w:val="20"/>
              </w:rPr>
            </w:pPr>
            <w:r>
              <w:rPr>
                <w:spacing w:val="7"/>
                <w:sz w:val="20"/>
                <w:szCs w:val="20"/>
              </w:rPr>
              <w:t>建设项目名称</w:t>
            </w:r>
          </w:p>
        </w:tc>
        <w:tc>
          <w:tcPr>
            <w:tcW w:w="6211" w:type="dxa"/>
            <w:gridSpan w:val="5"/>
            <w:tcBorders>
              <w:top w:val="single" w:color="000000" w:sz="10" w:space="0"/>
              <w:right w:val="single" w:color="000000" w:sz="10" w:space="0"/>
            </w:tcBorders>
            <w:vAlign w:val="top"/>
          </w:tcPr>
          <w:p w14:paraId="442BE0D4">
            <w:pPr>
              <w:pStyle w:val="6"/>
              <w:spacing w:before="99" w:line="227" w:lineRule="auto"/>
              <w:ind w:left="535"/>
              <w:rPr>
                <w:sz w:val="20"/>
                <w:szCs w:val="20"/>
              </w:rPr>
            </w:pPr>
            <w:r>
              <w:rPr>
                <w:spacing w:val="9"/>
                <w:sz w:val="20"/>
                <w:szCs w:val="20"/>
              </w:rPr>
              <w:t>林甸县中伟农业机械服务有限责任公司农机具拆解项目</w:t>
            </w:r>
          </w:p>
        </w:tc>
      </w:tr>
      <w:tr w14:paraId="284C56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477" w:type="dxa"/>
            <w:vMerge w:val="continue"/>
            <w:tcBorders>
              <w:top w:val="nil"/>
              <w:left w:val="single" w:color="000000" w:sz="10" w:space="0"/>
              <w:bottom w:val="nil"/>
            </w:tcBorders>
            <w:vAlign w:val="top"/>
          </w:tcPr>
          <w:p w14:paraId="0A8EB760">
            <w:pPr>
              <w:rPr>
                <w:rFonts w:ascii="Arial"/>
                <w:sz w:val="21"/>
              </w:rPr>
            </w:pPr>
          </w:p>
        </w:tc>
        <w:tc>
          <w:tcPr>
            <w:tcW w:w="2214" w:type="dxa"/>
            <w:gridSpan w:val="2"/>
            <w:vAlign w:val="top"/>
          </w:tcPr>
          <w:p w14:paraId="4A4454ED">
            <w:pPr>
              <w:pStyle w:val="6"/>
              <w:spacing w:before="98" w:line="229" w:lineRule="auto"/>
              <w:ind w:left="742"/>
              <w:rPr>
                <w:sz w:val="20"/>
                <w:szCs w:val="20"/>
              </w:rPr>
            </w:pPr>
            <w:r>
              <w:rPr>
                <w:spacing w:val="6"/>
                <w:sz w:val="20"/>
                <w:szCs w:val="20"/>
              </w:rPr>
              <w:t>建设地点</w:t>
            </w:r>
          </w:p>
        </w:tc>
        <w:tc>
          <w:tcPr>
            <w:tcW w:w="6211" w:type="dxa"/>
            <w:gridSpan w:val="5"/>
            <w:tcBorders>
              <w:right w:val="single" w:color="000000" w:sz="10" w:space="0"/>
            </w:tcBorders>
            <w:vAlign w:val="top"/>
          </w:tcPr>
          <w:p w14:paraId="7E95F4BE">
            <w:pPr>
              <w:pStyle w:val="6"/>
              <w:spacing w:before="98" w:line="227" w:lineRule="auto"/>
              <w:ind w:left="1379"/>
              <w:rPr>
                <w:rFonts w:hint="eastAsia" w:eastAsia="宋体"/>
                <w:sz w:val="20"/>
                <w:szCs w:val="20"/>
                <w:lang w:eastAsia="zh-CN"/>
              </w:rPr>
            </w:pPr>
            <w:r>
              <w:rPr>
                <w:rFonts w:hint="eastAsia"/>
                <w:spacing w:val="8"/>
                <w:sz w:val="20"/>
                <w:szCs w:val="20"/>
                <w:lang w:eastAsia="zh-CN"/>
              </w:rPr>
              <w:t>黑龙江省佳木斯市桦川县新城镇新古街道</w:t>
            </w:r>
          </w:p>
        </w:tc>
      </w:tr>
      <w:tr w14:paraId="7AE8DC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477" w:type="dxa"/>
            <w:vMerge w:val="continue"/>
            <w:tcBorders>
              <w:top w:val="nil"/>
              <w:left w:val="single" w:color="000000" w:sz="10" w:space="0"/>
              <w:bottom w:val="nil"/>
            </w:tcBorders>
            <w:vAlign w:val="top"/>
          </w:tcPr>
          <w:p w14:paraId="66B850DA">
            <w:pPr>
              <w:rPr>
                <w:rFonts w:ascii="Arial"/>
                <w:sz w:val="21"/>
              </w:rPr>
            </w:pPr>
          </w:p>
        </w:tc>
        <w:tc>
          <w:tcPr>
            <w:tcW w:w="2214" w:type="dxa"/>
            <w:gridSpan w:val="2"/>
            <w:vAlign w:val="top"/>
          </w:tcPr>
          <w:p w14:paraId="3C6E0308">
            <w:pPr>
              <w:pStyle w:val="6"/>
              <w:spacing w:before="100" w:line="228" w:lineRule="auto"/>
              <w:ind w:left="739"/>
              <w:rPr>
                <w:sz w:val="20"/>
                <w:szCs w:val="20"/>
              </w:rPr>
            </w:pPr>
            <w:r>
              <w:rPr>
                <w:spacing w:val="7"/>
                <w:sz w:val="20"/>
                <w:szCs w:val="20"/>
              </w:rPr>
              <w:t>地理坐标</w:t>
            </w:r>
          </w:p>
        </w:tc>
        <w:tc>
          <w:tcPr>
            <w:tcW w:w="885" w:type="dxa"/>
            <w:vAlign w:val="top"/>
          </w:tcPr>
          <w:p w14:paraId="67ABBF91">
            <w:pPr>
              <w:pStyle w:val="6"/>
              <w:spacing w:before="99" w:line="228" w:lineRule="auto"/>
              <w:ind w:left="241"/>
              <w:rPr>
                <w:sz w:val="20"/>
                <w:szCs w:val="20"/>
              </w:rPr>
            </w:pPr>
            <w:r>
              <w:rPr>
                <w:spacing w:val="1"/>
                <w:sz w:val="20"/>
                <w:szCs w:val="20"/>
              </w:rPr>
              <w:t>东经</w:t>
            </w:r>
          </w:p>
        </w:tc>
        <w:tc>
          <w:tcPr>
            <w:tcW w:w="2289" w:type="dxa"/>
            <w:vAlign w:val="top"/>
          </w:tcPr>
          <w:p w14:paraId="47989C1A">
            <w:pPr>
              <w:pStyle w:val="6"/>
              <w:spacing w:before="113" w:line="207" w:lineRule="auto"/>
              <w:ind w:left="371"/>
              <w:rPr>
                <w:sz w:val="20"/>
                <w:szCs w:val="20"/>
              </w:rPr>
            </w:pPr>
            <w:r>
              <w:rPr>
                <w:rFonts w:ascii="Times New Roman" w:hAnsi="Times New Roman" w:eastAsia="Times New Roman" w:cs="Times New Roman"/>
                <w:sz w:val="20"/>
                <w:szCs w:val="20"/>
              </w:rPr>
              <w:t>124</w:t>
            </w:r>
            <w:r>
              <w:rPr>
                <w:rFonts w:ascii="Calibri" w:hAnsi="Calibri" w:eastAsia="Calibri" w:cs="Calibri"/>
                <w:sz w:val="20"/>
                <w:szCs w:val="20"/>
              </w:rPr>
              <w:t>°</w:t>
            </w:r>
            <w:r>
              <w:rPr>
                <w:rFonts w:ascii="Times New Roman" w:hAnsi="Times New Roman" w:eastAsia="Times New Roman" w:cs="Times New Roman"/>
                <w:sz w:val="20"/>
                <w:szCs w:val="20"/>
              </w:rPr>
              <w:t>49</w:t>
            </w:r>
            <w:r>
              <w:rPr>
                <w:rFonts w:ascii="Times New Roman" w:hAnsi="Times New Roman" w:eastAsia="Times New Roman" w:cs="Times New Roman"/>
                <w:spacing w:val="-10"/>
                <w:sz w:val="20"/>
                <w:szCs w:val="20"/>
              </w:rPr>
              <w:t xml:space="preserve"> </w:t>
            </w:r>
            <w:r>
              <w:rPr>
                <w:sz w:val="20"/>
                <w:szCs w:val="20"/>
              </w:rPr>
              <w:t>′</w:t>
            </w:r>
            <w:r>
              <w:rPr>
                <w:rFonts w:ascii="Times New Roman" w:hAnsi="Times New Roman" w:eastAsia="Times New Roman" w:cs="Times New Roman"/>
                <w:sz w:val="20"/>
                <w:szCs w:val="20"/>
              </w:rPr>
              <w:t>43.209</w:t>
            </w:r>
            <w:r>
              <w:rPr>
                <w:rFonts w:ascii="Times New Roman" w:hAnsi="Times New Roman" w:eastAsia="Times New Roman" w:cs="Times New Roman"/>
                <w:spacing w:val="-13"/>
                <w:sz w:val="20"/>
                <w:szCs w:val="20"/>
              </w:rPr>
              <w:t xml:space="preserve"> </w:t>
            </w:r>
            <w:r>
              <w:rPr>
                <w:sz w:val="20"/>
                <w:szCs w:val="20"/>
              </w:rPr>
              <w:t>″</w:t>
            </w:r>
          </w:p>
        </w:tc>
        <w:tc>
          <w:tcPr>
            <w:tcW w:w="720" w:type="dxa"/>
            <w:gridSpan w:val="2"/>
            <w:vAlign w:val="top"/>
          </w:tcPr>
          <w:p w14:paraId="5661B58C">
            <w:pPr>
              <w:pStyle w:val="6"/>
              <w:spacing w:before="100" w:line="228" w:lineRule="auto"/>
              <w:ind w:left="164"/>
              <w:rPr>
                <w:sz w:val="20"/>
                <w:szCs w:val="20"/>
              </w:rPr>
            </w:pPr>
            <w:r>
              <w:rPr>
                <w:spacing w:val="3"/>
                <w:sz w:val="20"/>
                <w:szCs w:val="20"/>
              </w:rPr>
              <w:t>北纬</w:t>
            </w:r>
          </w:p>
        </w:tc>
        <w:tc>
          <w:tcPr>
            <w:tcW w:w="2317" w:type="dxa"/>
            <w:tcBorders>
              <w:right w:val="single" w:color="000000" w:sz="10" w:space="0"/>
            </w:tcBorders>
            <w:vAlign w:val="top"/>
          </w:tcPr>
          <w:p w14:paraId="33A1BA25">
            <w:pPr>
              <w:pStyle w:val="6"/>
              <w:spacing w:before="113" w:line="207" w:lineRule="auto"/>
              <w:ind w:left="362"/>
              <w:rPr>
                <w:sz w:val="20"/>
                <w:szCs w:val="20"/>
              </w:rPr>
            </w:pPr>
            <w:r>
              <w:rPr>
                <w:rFonts w:ascii="Times New Roman" w:hAnsi="Times New Roman" w:eastAsia="Times New Roman" w:cs="Times New Roman"/>
                <w:spacing w:val="1"/>
                <w:sz w:val="20"/>
                <w:szCs w:val="20"/>
              </w:rPr>
              <w:t>47</w:t>
            </w:r>
            <w:r>
              <w:rPr>
                <w:rFonts w:ascii="Calibri" w:hAnsi="Calibri" w:eastAsia="Calibri" w:cs="Calibri"/>
                <w:spacing w:val="1"/>
                <w:sz w:val="20"/>
                <w:szCs w:val="20"/>
              </w:rPr>
              <w:t>°</w:t>
            </w:r>
            <w:r>
              <w:rPr>
                <w:rFonts w:ascii="Times New Roman" w:hAnsi="Times New Roman" w:eastAsia="Times New Roman" w:cs="Times New Roman"/>
                <w:spacing w:val="1"/>
                <w:sz w:val="20"/>
                <w:szCs w:val="20"/>
              </w:rPr>
              <w:t>09</w:t>
            </w:r>
            <w:r>
              <w:rPr>
                <w:rFonts w:ascii="Times New Roman" w:hAnsi="Times New Roman" w:eastAsia="Times New Roman" w:cs="Times New Roman"/>
                <w:spacing w:val="-8"/>
                <w:sz w:val="20"/>
                <w:szCs w:val="20"/>
              </w:rPr>
              <w:t xml:space="preserve"> </w:t>
            </w:r>
            <w:r>
              <w:rPr>
                <w:spacing w:val="1"/>
                <w:sz w:val="20"/>
                <w:szCs w:val="20"/>
              </w:rPr>
              <w:t>′</w:t>
            </w:r>
            <w:r>
              <w:rPr>
                <w:rFonts w:ascii="Times New Roman" w:hAnsi="Times New Roman" w:eastAsia="Times New Roman" w:cs="Times New Roman"/>
                <w:spacing w:val="1"/>
                <w:sz w:val="20"/>
                <w:szCs w:val="20"/>
              </w:rPr>
              <w:t>33.166</w:t>
            </w:r>
            <w:r>
              <w:rPr>
                <w:rFonts w:ascii="Times New Roman" w:hAnsi="Times New Roman" w:eastAsia="Times New Roman" w:cs="Times New Roman"/>
                <w:spacing w:val="-10"/>
                <w:sz w:val="20"/>
                <w:szCs w:val="20"/>
              </w:rPr>
              <w:t xml:space="preserve"> </w:t>
            </w:r>
            <w:r>
              <w:rPr>
                <w:spacing w:val="1"/>
                <w:sz w:val="20"/>
                <w:szCs w:val="20"/>
              </w:rPr>
              <w:t>″</w:t>
            </w:r>
          </w:p>
        </w:tc>
      </w:tr>
      <w:tr w14:paraId="6FA811E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9" w:hRule="atLeast"/>
        </w:trPr>
        <w:tc>
          <w:tcPr>
            <w:tcW w:w="477" w:type="dxa"/>
            <w:vMerge w:val="continue"/>
            <w:tcBorders>
              <w:top w:val="nil"/>
              <w:left w:val="single" w:color="000000" w:sz="10" w:space="0"/>
              <w:bottom w:val="nil"/>
            </w:tcBorders>
            <w:vAlign w:val="top"/>
          </w:tcPr>
          <w:p w14:paraId="51818BB5">
            <w:pPr>
              <w:rPr>
                <w:rFonts w:ascii="Arial"/>
                <w:sz w:val="21"/>
              </w:rPr>
            </w:pPr>
          </w:p>
        </w:tc>
        <w:tc>
          <w:tcPr>
            <w:tcW w:w="2214" w:type="dxa"/>
            <w:gridSpan w:val="2"/>
            <w:vAlign w:val="top"/>
          </w:tcPr>
          <w:p w14:paraId="7C6E02EF">
            <w:pPr>
              <w:pStyle w:val="6"/>
              <w:spacing w:before="99" w:line="227" w:lineRule="auto"/>
              <w:ind w:left="215"/>
              <w:rPr>
                <w:sz w:val="20"/>
                <w:szCs w:val="20"/>
              </w:rPr>
            </w:pPr>
            <w:r>
              <w:rPr>
                <w:spacing w:val="8"/>
                <w:sz w:val="20"/>
                <w:szCs w:val="20"/>
              </w:rPr>
              <w:t>主要危险物质及分布</w:t>
            </w:r>
          </w:p>
        </w:tc>
        <w:tc>
          <w:tcPr>
            <w:tcW w:w="6211" w:type="dxa"/>
            <w:gridSpan w:val="5"/>
            <w:tcBorders>
              <w:right w:val="single" w:color="000000" w:sz="10" w:space="0"/>
            </w:tcBorders>
            <w:vAlign w:val="top"/>
          </w:tcPr>
          <w:p w14:paraId="04B2257C">
            <w:pPr>
              <w:pStyle w:val="6"/>
              <w:spacing w:before="99" w:line="227" w:lineRule="auto"/>
              <w:ind w:left="639"/>
              <w:rPr>
                <w:sz w:val="20"/>
                <w:szCs w:val="20"/>
              </w:rPr>
            </w:pPr>
            <w:r>
              <w:rPr>
                <w:spacing w:val="9"/>
                <w:sz w:val="20"/>
                <w:szCs w:val="20"/>
              </w:rPr>
              <w:t>废铅酸蓄电池、废油液，分布于危险废物贮存库内。</w:t>
            </w:r>
          </w:p>
        </w:tc>
      </w:tr>
      <w:tr w14:paraId="7E68193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5" w:hRule="atLeast"/>
        </w:trPr>
        <w:tc>
          <w:tcPr>
            <w:tcW w:w="477" w:type="dxa"/>
            <w:vMerge w:val="continue"/>
            <w:tcBorders>
              <w:top w:val="nil"/>
              <w:left w:val="single" w:color="000000" w:sz="10" w:space="0"/>
              <w:bottom w:val="nil"/>
            </w:tcBorders>
            <w:vAlign w:val="top"/>
          </w:tcPr>
          <w:p w14:paraId="6736FF98">
            <w:pPr>
              <w:rPr>
                <w:rFonts w:ascii="Arial"/>
                <w:sz w:val="21"/>
              </w:rPr>
            </w:pPr>
          </w:p>
        </w:tc>
        <w:tc>
          <w:tcPr>
            <w:tcW w:w="2214" w:type="dxa"/>
            <w:gridSpan w:val="2"/>
            <w:vAlign w:val="top"/>
          </w:tcPr>
          <w:p w14:paraId="0F70F6E0">
            <w:pPr>
              <w:pStyle w:val="6"/>
              <w:spacing w:before="172" w:line="228" w:lineRule="auto"/>
              <w:ind w:left="213"/>
              <w:rPr>
                <w:sz w:val="20"/>
                <w:szCs w:val="20"/>
              </w:rPr>
            </w:pPr>
            <w:r>
              <w:rPr>
                <w:spacing w:val="8"/>
                <w:sz w:val="20"/>
                <w:szCs w:val="20"/>
              </w:rPr>
              <w:t>环境影响途径及危害</w:t>
            </w:r>
          </w:p>
          <w:p w14:paraId="2956B5BD">
            <w:pPr>
              <w:pStyle w:val="6"/>
              <w:spacing w:before="64" w:line="228" w:lineRule="auto"/>
              <w:ind w:right="15"/>
              <w:jc w:val="right"/>
              <w:rPr>
                <w:sz w:val="20"/>
                <w:szCs w:val="20"/>
              </w:rPr>
            </w:pPr>
            <w:r>
              <w:rPr>
                <w:spacing w:val="-2"/>
                <w:sz w:val="20"/>
                <w:szCs w:val="20"/>
              </w:rPr>
              <w:t>后果（大气、地表水、</w:t>
            </w:r>
          </w:p>
          <w:p w14:paraId="47F5703B">
            <w:pPr>
              <w:pStyle w:val="6"/>
              <w:spacing w:before="64" w:line="228" w:lineRule="auto"/>
              <w:ind w:left="633"/>
              <w:rPr>
                <w:sz w:val="20"/>
                <w:szCs w:val="20"/>
              </w:rPr>
            </w:pPr>
            <w:r>
              <w:rPr>
                <w:spacing w:val="5"/>
                <w:sz w:val="20"/>
                <w:szCs w:val="20"/>
              </w:rPr>
              <w:t>地下水等）</w:t>
            </w:r>
          </w:p>
        </w:tc>
        <w:tc>
          <w:tcPr>
            <w:tcW w:w="6211" w:type="dxa"/>
            <w:gridSpan w:val="5"/>
            <w:tcBorders>
              <w:right w:val="single" w:color="000000" w:sz="10" w:space="0"/>
            </w:tcBorders>
            <w:vAlign w:val="top"/>
          </w:tcPr>
          <w:p w14:paraId="0E413F69">
            <w:pPr>
              <w:spacing w:line="263" w:lineRule="auto"/>
              <w:rPr>
                <w:rFonts w:ascii="Arial"/>
                <w:sz w:val="21"/>
              </w:rPr>
            </w:pPr>
          </w:p>
          <w:p w14:paraId="67FFDDDF">
            <w:pPr>
              <w:pStyle w:val="6"/>
              <w:spacing w:before="65" w:line="273" w:lineRule="auto"/>
              <w:ind w:left="430" w:right="212" w:hanging="317"/>
              <w:rPr>
                <w:sz w:val="20"/>
                <w:szCs w:val="20"/>
              </w:rPr>
            </w:pPr>
            <w:r>
              <w:rPr>
                <w:spacing w:val="9"/>
                <w:sz w:val="20"/>
                <w:szCs w:val="20"/>
              </w:rPr>
              <w:t>废铅酸蓄电池、废油液发生火灾、爆炸、泄漏等，有害物质进入</w:t>
            </w:r>
            <w:r>
              <w:rPr>
                <w:spacing w:val="17"/>
                <w:sz w:val="20"/>
                <w:szCs w:val="20"/>
              </w:rPr>
              <w:t xml:space="preserve"> </w:t>
            </w:r>
            <w:r>
              <w:rPr>
                <w:spacing w:val="9"/>
                <w:sz w:val="20"/>
                <w:szCs w:val="20"/>
              </w:rPr>
              <w:t>大气、地表水体、土壤、地下水，从而对环境造成危害。</w:t>
            </w:r>
          </w:p>
        </w:tc>
      </w:tr>
      <w:tr w14:paraId="1F7A8A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477" w:type="dxa"/>
            <w:vMerge w:val="continue"/>
            <w:tcBorders>
              <w:top w:val="nil"/>
              <w:left w:val="single" w:color="000000" w:sz="10" w:space="0"/>
              <w:bottom w:val="nil"/>
            </w:tcBorders>
            <w:vAlign w:val="top"/>
          </w:tcPr>
          <w:p w14:paraId="56746EB4">
            <w:pPr>
              <w:rPr>
                <w:rFonts w:ascii="Arial"/>
                <w:sz w:val="21"/>
              </w:rPr>
            </w:pPr>
          </w:p>
        </w:tc>
        <w:tc>
          <w:tcPr>
            <w:tcW w:w="2214" w:type="dxa"/>
            <w:gridSpan w:val="2"/>
            <w:vAlign w:val="top"/>
          </w:tcPr>
          <w:p w14:paraId="235E1CB6">
            <w:pPr>
              <w:spacing w:line="306" w:lineRule="auto"/>
              <w:rPr>
                <w:rFonts w:ascii="Arial"/>
                <w:sz w:val="21"/>
              </w:rPr>
            </w:pPr>
          </w:p>
          <w:p w14:paraId="765E47A3">
            <w:pPr>
              <w:pStyle w:val="6"/>
              <w:spacing w:before="65" w:line="228" w:lineRule="auto"/>
              <w:ind w:left="320"/>
              <w:rPr>
                <w:sz w:val="20"/>
                <w:szCs w:val="20"/>
              </w:rPr>
            </w:pPr>
            <w:r>
              <w:rPr>
                <w:spacing w:val="8"/>
                <w:sz w:val="20"/>
                <w:szCs w:val="20"/>
              </w:rPr>
              <w:t>风险防范措施要求</w:t>
            </w:r>
          </w:p>
        </w:tc>
        <w:tc>
          <w:tcPr>
            <w:tcW w:w="6211" w:type="dxa"/>
            <w:gridSpan w:val="5"/>
            <w:tcBorders>
              <w:right w:val="single" w:color="000000" w:sz="10" w:space="0"/>
            </w:tcBorders>
            <w:vAlign w:val="top"/>
          </w:tcPr>
          <w:p w14:paraId="1E969FB4">
            <w:pPr>
              <w:pStyle w:val="6"/>
              <w:spacing w:before="61" w:line="221" w:lineRule="auto"/>
              <w:ind w:left="110"/>
              <w:rPr>
                <w:sz w:val="20"/>
                <w:szCs w:val="20"/>
              </w:rPr>
            </w:pPr>
            <w:r>
              <w:rPr>
                <w:spacing w:val="7"/>
                <w:sz w:val="20"/>
                <w:szCs w:val="20"/>
              </w:rPr>
              <w:t>严格按《危险废物收集、贮存、运输技术规范</w:t>
            </w:r>
            <w:r>
              <w:rPr>
                <w:rFonts w:ascii="Times New Roman" w:hAnsi="Times New Roman" w:eastAsia="Times New Roman" w:cs="Times New Roman"/>
                <w:spacing w:val="7"/>
                <w:sz w:val="20"/>
                <w:szCs w:val="20"/>
              </w:rPr>
              <w:t>(</w:t>
            </w:r>
            <w:r>
              <w:rPr>
                <w:rFonts w:ascii="Times New Roman" w:hAnsi="Times New Roman" w:eastAsia="Times New Roman" w:cs="Times New Roman"/>
                <w:sz w:val="20"/>
                <w:szCs w:val="20"/>
              </w:rPr>
              <w:t>HJ</w:t>
            </w:r>
            <w:r>
              <w:rPr>
                <w:rFonts w:ascii="Times New Roman" w:hAnsi="Times New Roman" w:eastAsia="Times New Roman" w:cs="Times New Roman"/>
                <w:spacing w:val="7"/>
                <w:sz w:val="20"/>
                <w:szCs w:val="20"/>
              </w:rPr>
              <w:t xml:space="preserve"> 2025-2012)</w:t>
            </w:r>
            <w:r>
              <w:rPr>
                <w:spacing w:val="7"/>
                <w:sz w:val="20"/>
                <w:szCs w:val="20"/>
              </w:rPr>
              <w:t>》、</w:t>
            </w:r>
          </w:p>
          <w:p w14:paraId="703C71F1">
            <w:pPr>
              <w:pStyle w:val="6"/>
              <w:spacing w:before="73" w:line="256" w:lineRule="auto"/>
              <w:ind w:left="1165" w:right="207" w:hanging="1051"/>
              <w:rPr>
                <w:sz w:val="20"/>
                <w:szCs w:val="20"/>
              </w:rPr>
            </w:pPr>
            <w:r>
              <w:rPr>
                <w:spacing w:val="5"/>
                <w:sz w:val="20"/>
                <w:szCs w:val="20"/>
              </w:rPr>
              <w:t>《危险废物贮存污染控制标准》（</w:t>
            </w:r>
            <w:r>
              <w:rPr>
                <w:rFonts w:ascii="Times New Roman" w:hAnsi="Times New Roman" w:eastAsia="Times New Roman" w:cs="Times New Roman"/>
                <w:sz w:val="20"/>
                <w:szCs w:val="20"/>
              </w:rPr>
              <w:t>GB</w:t>
            </w:r>
            <w:r>
              <w:rPr>
                <w:rFonts w:ascii="Times New Roman" w:hAnsi="Times New Roman" w:eastAsia="Times New Roman" w:cs="Times New Roman"/>
                <w:spacing w:val="30"/>
                <w:sz w:val="20"/>
                <w:szCs w:val="20"/>
              </w:rPr>
              <w:t xml:space="preserve"> </w:t>
            </w:r>
            <w:r>
              <w:rPr>
                <w:rFonts w:ascii="Times New Roman" w:hAnsi="Times New Roman" w:eastAsia="Times New Roman" w:cs="Times New Roman"/>
                <w:spacing w:val="5"/>
                <w:sz w:val="20"/>
                <w:szCs w:val="20"/>
              </w:rPr>
              <w:t>18597</w:t>
            </w:r>
            <w:r>
              <w:rPr>
                <w:rFonts w:ascii="Times New Roman" w:hAnsi="Times New Roman" w:eastAsia="Times New Roman" w:cs="Times New Roman"/>
                <w:spacing w:val="4"/>
                <w:sz w:val="20"/>
                <w:szCs w:val="20"/>
              </w:rPr>
              <w:t>-2023</w:t>
            </w:r>
            <w:r>
              <w:rPr>
                <w:spacing w:val="4"/>
                <w:sz w:val="20"/>
                <w:szCs w:val="20"/>
              </w:rPr>
              <w:t>）相关要求采取</w:t>
            </w:r>
            <w:r>
              <w:rPr>
                <w:sz w:val="20"/>
                <w:szCs w:val="20"/>
              </w:rPr>
              <w:t xml:space="preserve"> </w:t>
            </w:r>
            <w:r>
              <w:rPr>
                <w:spacing w:val="8"/>
                <w:sz w:val="20"/>
                <w:szCs w:val="20"/>
              </w:rPr>
              <w:t>风险防范措施，制定环境风险应急预案。</w:t>
            </w:r>
          </w:p>
        </w:tc>
      </w:tr>
      <w:tr w14:paraId="557B43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45" w:hRule="atLeast"/>
        </w:trPr>
        <w:tc>
          <w:tcPr>
            <w:tcW w:w="477" w:type="dxa"/>
            <w:vMerge w:val="continue"/>
            <w:tcBorders>
              <w:top w:val="nil"/>
              <w:left w:val="single" w:color="000000" w:sz="10" w:space="0"/>
              <w:bottom w:val="nil"/>
            </w:tcBorders>
            <w:vAlign w:val="top"/>
          </w:tcPr>
          <w:p w14:paraId="47509E41">
            <w:pPr>
              <w:rPr>
                <w:rFonts w:ascii="Arial"/>
                <w:sz w:val="21"/>
              </w:rPr>
            </w:pPr>
          </w:p>
        </w:tc>
        <w:tc>
          <w:tcPr>
            <w:tcW w:w="8425" w:type="dxa"/>
            <w:gridSpan w:val="7"/>
            <w:tcBorders>
              <w:bottom w:val="single" w:color="000000" w:sz="10" w:space="0"/>
              <w:right w:val="single" w:color="000000" w:sz="10" w:space="0"/>
            </w:tcBorders>
            <w:vAlign w:val="top"/>
          </w:tcPr>
          <w:p w14:paraId="1C8C5597">
            <w:pPr>
              <w:pStyle w:val="6"/>
              <w:spacing w:before="65" w:line="226" w:lineRule="auto"/>
              <w:ind w:left="213"/>
              <w:rPr>
                <w:sz w:val="20"/>
                <w:szCs w:val="20"/>
              </w:rPr>
            </w:pPr>
            <w:r>
              <w:rPr>
                <w:spacing w:val="9"/>
                <w:sz w:val="20"/>
                <w:szCs w:val="20"/>
              </w:rPr>
              <w:t>填表说明（列出项目相关信息及评价说明</w:t>
            </w:r>
            <w:r>
              <w:rPr>
                <w:spacing w:val="2"/>
                <w:sz w:val="20"/>
                <w:szCs w:val="20"/>
              </w:rPr>
              <w:t>）：</w:t>
            </w:r>
          </w:p>
          <w:p w14:paraId="60506859">
            <w:pPr>
              <w:pStyle w:val="6"/>
              <w:spacing w:before="65" w:line="280" w:lineRule="auto"/>
              <w:ind w:left="211" w:right="204" w:firstLine="420"/>
              <w:jc w:val="both"/>
              <w:rPr>
                <w:sz w:val="20"/>
                <w:szCs w:val="20"/>
              </w:rPr>
            </w:pPr>
            <w:r>
              <w:rPr>
                <w:spacing w:val="6"/>
                <w:sz w:val="20"/>
                <w:szCs w:val="20"/>
              </w:rPr>
              <w:t>本项目危险物质数量与临界量比值</w:t>
            </w:r>
            <w:r>
              <w:rPr>
                <w:spacing w:val="-26"/>
                <w:sz w:val="20"/>
                <w:szCs w:val="20"/>
              </w:rPr>
              <w:t xml:space="preserve"> </w:t>
            </w:r>
            <w:r>
              <w:rPr>
                <w:rFonts w:ascii="Times New Roman" w:hAnsi="Times New Roman" w:eastAsia="Times New Roman" w:cs="Times New Roman"/>
                <w:spacing w:val="6"/>
                <w:sz w:val="20"/>
                <w:szCs w:val="20"/>
              </w:rPr>
              <w:t xml:space="preserve">Q </w:t>
            </w:r>
            <w:r>
              <w:rPr>
                <w:spacing w:val="6"/>
                <w:sz w:val="20"/>
                <w:szCs w:val="20"/>
              </w:rPr>
              <w:t>为</w:t>
            </w:r>
            <w:r>
              <w:rPr>
                <w:spacing w:val="-40"/>
                <w:sz w:val="20"/>
                <w:szCs w:val="20"/>
              </w:rPr>
              <w:t xml:space="preserve"> </w:t>
            </w:r>
            <w:r>
              <w:rPr>
                <w:rFonts w:ascii="Times New Roman" w:hAnsi="Times New Roman" w:eastAsia="Times New Roman" w:cs="Times New Roman"/>
                <w:spacing w:val="6"/>
                <w:sz w:val="20"/>
                <w:szCs w:val="20"/>
              </w:rPr>
              <w:t>0.0204</w:t>
            </w:r>
            <w:r>
              <w:rPr>
                <w:spacing w:val="6"/>
                <w:sz w:val="20"/>
                <w:szCs w:val="20"/>
              </w:rPr>
              <w:t>，</w:t>
            </w:r>
            <w:r>
              <w:rPr>
                <w:rFonts w:ascii="Times New Roman" w:hAnsi="Times New Roman" w:eastAsia="Times New Roman" w:cs="Times New Roman"/>
                <w:spacing w:val="6"/>
                <w:sz w:val="20"/>
                <w:szCs w:val="20"/>
              </w:rPr>
              <w:t>Q</w:t>
            </w:r>
            <w:r>
              <w:rPr>
                <w:spacing w:val="6"/>
                <w:sz w:val="20"/>
                <w:szCs w:val="20"/>
              </w:rPr>
              <w:t>＜</w:t>
            </w:r>
            <w:r>
              <w:rPr>
                <w:rFonts w:ascii="Times New Roman" w:hAnsi="Times New Roman" w:eastAsia="Times New Roman" w:cs="Times New Roman"/>
                <w:spacing w:val="6"/>
                <w:sz w:val="20"/>
                <w:szCs w:val="20"/>
              </w:rPr>
              <w:t>1</w:t>
            </w:r>
            <w:r>
              <w:rPr>
                <w:spacing w:val="6"/>
                <w:sz w:val="20"/>
                <w:szCs w:val="20"/>
              </w:rPr>
              <w:t>，危险物质存储量较少远低于</w:t>
            </w:r>
            <w:r>
              <w:rPr>
                <w:sz w:val="20"/>
                <w:szCs w:val="20"/>
              </w:rPr>
              <w:t xml:space="preserve"> </w:t>
            </w:r>
            <w:r>
              <w:rPr>
                <w:spacing w:val="10"/>
                <w:sz w:val="20"/>
                <w:szCs w:val="20"/>
              </w:rPr>
              <w:t>其临界量，不构成重大风险源，本项目环境风险评价等级为简单分析，根据建设项目环</w:t>
            </w:r>
            <w:r>
              <w:rPr>
                <w:spacing w:val="12"/>
                <w:sz w:val="20"/>
                <w:szCs w:val="20"/>
              </w:rPr>
              <w:t xml:space="preserve"> </w:t>
            </w:r>
            <w:r>
              <w:rPr>
                <w:spacing w:val="7"/>
                <w:sz w:val="20"/>
                <w:szCs w:val="20"/>
              </w:rPr>
              <w:t>境风险评价技术导则（</w:t>
            </w:r>
            <w:r>
              <w:rPr>
                <w:rFonts w:ascii="Times New Roman" w:hAnsi="Times New Roman" w:eastAsia="Times New Roman" w:cs="Times New Roman"/>
                <w:sz w:val="20"/>
                <w:szCs w:val="20"/>
              </w:rPr>
              <w:t>HJ</w:t>
            </w:r>
            <w:r>
              <w:rPr>
                <w:rFonts w:ascii="Times New Roman" w:hAnsi="Times New Roman" w:eastAsia="Times New Roman" w:cs="Times New Roman"/>
                <w:spacing w:val="7"/>
                <w:sz w:val="20"/>
                <w:szCs w:val="20"/>
              </w:rPr>
              <w:t>169-218</w:t>
            </w:r>
            <w:r>
              <w:rPr>
                <w:spacing w:val="7"/>
                <w:sz w:val="20"/>
                <w:szCs w:val="20"/>
              </w:rPr>
              <w:t>）要求，进行了风险识别、风险分析，提出了风险防范</w:t>
            </w:r>
            <w:r>
              <w:rPr>
                <w:spacing w:val="16"/>
                <w:sz w:val="20"/>
                <w:szCs w:val="20"/>
              </w:rPr>
              <w:t xml:space="preserve"> </w:t>
            </w:r>
            <w:r>
              <w:rPr>
                <w:spacing w:val="7"/>
                <w:sz w:val="20"/>
                <w:szCs w:val="20"/>
              </w:rPr>
              <w:t>措施和应急要求。</w:t>
            </w:r>
          </w:p>
        </w:tc>
      </w:tr>
      <w:tr w14:paraId="777631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0" w:hRule="atLeast"/>
        </w:trPr>
        <w:tc>
          <w:tcPr>
            <w:tcW w:w="477" w:type="dxa"/>
            <w:vMerge w:val="continue"/>
            <w:tcBorders>
              <w:top w:val="nil"/>
              <w:left w:val="single" w:color="000000" w:sz="10" w:space="0"/>
              <w:bottom w:val="nil"/>
            </w:tcBorders>
            <w:vAlign w:val="top"/>
          </w:tcPr>
          <w:p w14:paraId="74B5CB31">
            <w:pPr>
              <w:rPr>
                <w:rFonts w:ascii="Arial"/>
                <w:sz w:val="21"/>
              </w:rPr>
            </w:pPr>
          </w:p>
        </w:tc>
        <w:tc>
          <w:tcPr>
            <w:tcW w:w="8425" w:type="dxa"/>
            <w:gridSpan w:val="7"/>
            <w:tcBorders>
              <w:top w:val="single" w:color="000000" w:sz="10" w:space="0"/>
              <w:bottom w:val="single" w:color="000000" w:sz="10" w:space="0"/>
              <w:right w:val="single" w:color="000000" w:sz="10" w:space="0"/>
            </w:tcBorders>
            <w:vAlign w:val="top"/>
          </w:tcPr>
          <w:p w14:paraId="7CD62623">
            <w:pPr>
              <w:pStyle w:val="6"/>
              <w:spacing w:before="120" w:line="220" w:lineRule="auto"/>
              <w:ind w:left="596"/>
            </w:pPr>
            <w:r>
              <w:rPr>
                <w:spacing w:val="-3"/>
              </w:rPr>
              <w:t>（</w:t>
            </w:r>
            <w:r>
              <w:rPr>
                <w:rFonts w:ascii="Times New Roman" w:hAnsi="Times New Roman" w:eastAsia="Times New Roman" w:cs="Times New Roman"/>
                <w:spacing w:val="-3"/>
              </w:rPr>
              <w:t>7</w:t>
            </w:r>
            <w:r>
              <w:rPr>
                <w:spacing w:val="-3"/>
              </w:rPr>
              <w:t>）分析结论</w:t>
            </w:r>
          </w:p>
          <w:p w14:paraId="473FC853">
            <w:pPr>
              <w:pStyle w:val="6"/>
              <w:spacing w:before="182" w:line="353" w:lineRule="auto"/>
              <w:ind w:left="105" w:right="97" w:firstLine="479"/>
            </w:pPr>
            <w:r>
              <w:rPr>
                <w:spacing w:val="1"/>
              </w:rPr>
              <w:t>通过落实本次评价中提出的风险防范措施和应急要求，可以使项目环境风</w:t>
            </w:r>
            <w:r>
              <w:rPr>
                <w:spacing w:val="15"/>
              </w:rPr>
              <w:t xml:space="preserve"> </w:t>
            </w:r>
            <w:r>
              <w:rPr>
                <w:spacing w:val="1"/>
              </w:rPr>
              <w:t>险发生的概率和影响后果降到最低限度；同时，在日常生产过程中应加强风险</w:t>
            </w:r>
            <w:r>
              <w:rPr>
                <w:spacing w:val="12"/>
              </w:rPr>
              <w:t xml:space="preserve"> </w:t>
            </w:r>
            <w:r>
              <w:rPr>
                <w:spacing w:val="1"/>
              </w:rPr>
              <w:t>管控和优化应急处置措施，可以进一步降低项目的环境风险水平。综上所述，</w:t>
            </w:r>
            <w:r>
              <w:rPr>
                <w:spacing w:val="12"/>
              </w:rPr>
              <w:t xml:space="preserve"> </w:t>
            </w:r>
            <w:r>
              <w:rPr>
                <w:spacing w:val="-1"/>
              </w:rPr>
              <w:t>本项目的环境风险处于可接受水平。</w:t>
            </w:r>
          </w:p>
          <w:p w14:paraId="775F4ED9">
            <w:pPr>
              <w:pStyle w:val="6"/>
              <w:spacing w:before="114" w:line="218" w:lineRule="auto"/>
              <w:ind w:left="583"/>
            </w:pPr>
            <w:r>
              <w:rPr>
                <w:rFonts w:ascii="Times New Roman" w:hAnsi="Times New Roman" w:eastAsia="Times New Roman" w:cs="Times New Roman"/>
                <w:b/>
                <w:bCs/>
                <w:spacing w:val="-5"/>
              </w:rPr>
              <w:t>8</w:t>
            </w:r>
            <w:r>
              <w:rPr>
                <w:rFonts w:ascii="Times New Roman" w:hAnsi="Times New Roman" w:eastAsia="Times New Roman" w:cs="Times New Roman"/>
                <w:b/>
                <w:bCs/>
                <w:spacing w:val="-31"/>
              </w:rPr>
              <w:t xml:space="preserve"> </w:t>
            </w:r>
            <w:r>
              <w:rPr>
                <w:b/>
                <w:bCs/>
                <w:spacing w:val="-5"/>
              </w:rPr>
              <w:t>、环保措施及投资估算</w:t>
            </w:r>
          </w:p>
          <w:p w14:paraId="53AB9528">
            <w:pPr>
              <w:pStyle w:val="6"/>
              <w:spacing w:before="218" w:line="219" w:lineRule="auto"/>
              <w:jc w:val="right"/>
            </w:pPr>
            <w:r>
              <w:rPr>
                <w:spacing w:val="-10"/>
              </w:rPr>
              <w:t>本项目总投资为</w:t>
            </w:r>
            <w:r>
              <w:rPr>
                <w:spacing w:val="-58"/>
              </w:rPr>
              <w:t xml:space="preserve"> </w:t>
            </w:r>
            <w:r>
              <w:rPr>
                <w:rFonts w:ascii="Times New Roman" w:hAnsi="Times New Roman" w:eastAsia="Times New Roman" w:cs="Times New Roman"/>
                <w:spacing w:val="-10"/>
              </w:rPr>
              <w:t>350</w:t>
            </w:r>
            <w:r>
              <w:rPr>
                <w:rFonts w:ascii="Times New Roman" w:hAnsi="Times New Roman" w:eastAsia="Times New Roman" w:cs="Times New Roman"/>
                <w:spacing w:val="13"/>
              </w:rPr>
              <w:t xml:space="preserve"> </w:t>
            </w:r>
            <w:r>
              <w:rPr>
                <w:spacing w:val="-10"/>
              </w:rPr>
              <w:t>万元，环保投资为</w:t>
            </w:r>
            <w:r>
              <w:rPr>
                <w:spacing w:val="-37"/>
              </w:rPr>
              <w:t xml:space="preserve"> </w:t>
            </w:r>
            <w:r>
              <w:rPr>
                <w:rFonts w:ascii="Times New Roman" w:hAnsi="Times New Roman" w:eastAsia="Times New Roman" w:cs="Times New Roman"/>
                <w:spacing w:val="-10"/>
              </w:rPr>
              <w:t xml:space="preserve">19 </w:t>
            </w:r>
            <w:r>
              <w:rPr>
                <w:spacing w:val="-10"/>
              </w:rPr>
              <w:t>万元，环保投资所占比例为</w:t>
            </w:r>
            <w:r>
              <w:rPr>
                <w:spacing w:val="-51"/>
              </w:rPr>
              <w:t xml:space="preserve"> </w:t>
            </w:r>
            <w:r>
              <w:rPr>
                <w:rFonts w:ascii="Times New Roman" w:hAnsi="Times New Roman" w:eastAsia="Times New Roman" w:cs="Times New Roman"/>
                <w:spacing w:val="-10"/>
              </w:rPr>
              <w:t>5.4%</w:t>
            </w:r>
            <w:r>
              <w:rPr>
                <w:spacing w:val="-10"/>
              </w:rPr>
              <w:t>，</w:t>
            </w:r>
          </w:p>
          <w:p w14:paraId="3B0F0C2F">
            <w:pPr>
              <w:pStyle w:val="6"/>
              <w:spacing w:before="215" w:line="219" w:lineRule="auto"/>
              <w:ind w:left="109"/>
            </w:pPr>
            <w:r>
              <w:rPr>
                <w:spacing w:val="-2"/>
              </w:rPr>
              <w:t>具体内容见下表。</w:t>
            </w:r>
          </w:p>
          <w:p w14:paraId="4D123838">
            <w:pPr>
              <w:pStyle w:val="6"/>
              <w:spacing w:before="55" w:line="199" w:lineRule="auto"/>
              <w:ind w:left="1975"/>
            </w:pPr>
            <w:r>
              <w:rPr>
                <w:b/>
                <w:bCs/>
                <w:spacing w:val="-2"/>
              </w:rPr>
              <w:t>表</w:t>
            </w:r>
            <w:r>
              <w:rPr>
                <w:spacing w:val="-54"/>
              </w:rPr>
              <w:t xml:space="preserve"> </w:t>
            </w:r>
            <w:r>
              <w:rPr>
                <w:rFonts w:ascii="Times New Roman" w:hAnsi="Times New Roman" w:eastAsia="Times New Roman" w:cs="Times New Roman"/>
                <w:b/>
                <w:bCs/>
                <w:spacing w:val="-2"/>
              </w:rPr>
              <w:t xml:space="preserve">4-17  </w:t>
            </w:r>
            <w:r>
              <w:rPr>
                <w:b/>
                <w:bCs/>
                <w:spacing w:val="-2"/>
              </w:rPr>
              <w:t>本项目环保措施及投资估算一览表</w:t>
            </w:r>
          </w:p>
        </w:tc>
      </w:tr>
      <w:tr w14:paraId="10230EB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2" w:hRule="atLeast"/>
        </w:trPr>
        <w:tc>
          <w:tcPr>
            <w:tcW w:w="477" w:type="dxa"/>
            <w:vMerge w:val="continue"/>
            <w:tcBorders>
              <w:top w:val="nil"/>
              <w:left w:val="single" w:color="000000" w:sz="10" w:space="0"/>
              <w:bottom w:val="nil"/>
            </w:tcBorders>
            <w:vAlign w:val="top"/>
          </w:tcPr>
          <w:p w14:paraId="71AD5173">
            <w:pPr>
              <w:rPr>
                <w:rFonts w:ascii="Arial"/>
                <w:sz w:val="21"/>
              </w:rPr>
            </w:pPr>
          </w:p>
        </w:tc>
        <w:tc>
          <w:tcPr>
            <w:tcW w:w="2013" w:type="dxa"/>
            <w:tcBorders>
              <w:top w:val="single" w:color="000000" w:sz="10" w:space="0"/>
            </w:tcBorders>
            <w:vAlign w:val="top"/>
          </w:tcPr>
          <w:p w14:paraId="69110FA6">
            <w:pPr>
              <w:pStyle w:val="6"/>
              <w:spacing w:before="105" w:line="228" w:lineRule="auto"/>
              <w:ind w:left="850"/>
              <w:rPr>
                <w:sz w:val="20"/>
                <w:szCs w:val="20"/>
              </w:rPr>
            </w:pPr>
            <w:r>
              <w:rPr>
                <w:spacing w:val="3"/>
                <w:sz w:val="20"/>
                <w:szCs w:val="20"/>
              </w:rPr>
              <w:t>项目</w:t>
            </w:r>
          </w:p>
        </w:tc>
        <w:tc>
          <w:tcPr>
            <w:tcW w:w="4060" w:type="dxa"/>
            <w:gridSpan w:val="4"/>
            <w:tcBorders>
              <w:top w:val="single" w:color="000000" w:sz="10" w:space="0"/>
            </w:tcBorders>
            <w:vAlign w:val="top"/>
          </w:tcPr>
          <w:p w14:paraId="6F8AE973">
            <w:pPr>
              <w:pStyle w:val="6"/>
              <w:spacing w:before="105" w:line="228" w:lineRule="auto"/>
              <w:ind w:left="1620"/>
              <w:rPr>
                <w:sz w:val="20"/>
                <w:szCs w:val="20"/>
              </w:rPr>
            </w:pPr>
            <w:r>
              <w:rPr>
                <w:spacing w:val="6"/>
                <w:sz w:val="20"/>
                <w:szCs w:val="20"/>
              </w:rPr>
              <w:t>具体措施</w:t>
            </w:r>
          </w:p>
        </w:tc>
        <w:tc>
          <w:tcPr>
            <w:tcW w:w="2352" w:type="dxa"/>
            <w:gridSpan w:val="2"/>
            <w:tcBorders>
              <w:top w:val="single" w:color="000000" w:sz="10" w:space="0"/>
              <w:right w:val="single" w:color="000000" w:sz="10" w:space="0"/>
            </w:tcBorders>
            <w:vAlign w:val="top"/>
          </w:tcPr>
          <w:p w14:paraId="56D11495">
            <w:pPr>
              <w:pStyle w:val="6"/>
              <w:spacing w:before="105" w:line="226" w:lineRule="auto"/>
              <w:ind w:left="292"/>
              <w:rPr>
                <w:sz w:val="20"/>
                <w:szCs w:val="20"/>
              </w:rPr>
            </w:pPr>
            <w:r>
              <w:rPr>
                <w:spacing w:val="7"/>
                <w:sz w:val="20"/>
                <w:szCs w:val="20"/>
              </w:rPr>
              <w:t>投资估算（万元）</w:t>
            </w:r>
          </w:p>
        </w:tc>
      </w:tr>
      <w:tr w14:paraId="13911E8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477" w:type="dxa"/>
            <w:vMerge w:val="continue"/>
            <w:tcBorders>
              <w:top w:val="nil"/>
              <w:left w:val="single" w:color="000000" w:sz="10" w:space="0"/>
              <w:bottom w:val="nil"/>
            </w:tcBorders>
            <w:vAlign w:val="top"/>
          </w:tcPr>
          <w:p w14:paraId="25946E1F">
            <w:pPr>
              <w:rPr>
                <w:rFonts w:ascii="Arial"/>
                <w:sz w:val="21"/>
              </w:rPr>
            </w:pPr>
          </w:p>
        </w:tc>
        <w:tc>
          <w:tcPr>
            <w:tcW w:w="2013" w:type="dxa"/>
            <w:vAlign w:val="top"/>
          </w:tcPr>
          <w:p w14:paraId="54BEED76">
            <w:pPr>
              <w:pStyle w:val="6"/>
              <w:spacing w:before="231" w:line="228" w:lineRule="auto"/>
              <w:ind w:left="846"/>
              <w:rPr>
                <w:sz w:val="20"/>
                <w:szCs w:val="20"/>
              </w:rPr>
            </w:pPr>
            <w:r>
              <w:rPr>
                <w:spacing w:val="5"/>
                <w:sz w:val="20"/>
                <w:szCs w:val="20"/>
              </w:rPr>
              <w:t>废气</w:t>
            </w:r>
          </w:p>
        </w:tc>
        <w:tc>
          <w:tcPr>
            <w:tcW w:w="4060" w:type="dxa"/>
            <w:gridSpan w:val="4"/>
            <w:vAlign w:val="top"/>
          </w:tcPr>
          <w:p w14:paraId="5549672F">
            <w:pPr>
              <w:pStyle w:val="6"/>
              <w:spacing w:before="76" w:line="250" w:lineRule="auto"/>
              <w:ind w:left="1737" w:right="126" w:hanging="1605"/>
              <w:rPr>
                <w:sz w:val="20"/>
                <w:szCs w:val="20"/>
              </w:rPr>
            </w:pPr>
            <w:r>
              <w:rPr>
                <w:spacing w:val="8"/>
                <w:sz w:val="20"/>
                <w:szCs w:val="20"/>
              </w:rPr>
              <w:t>通风系统、集气罩</w:t>
            </w:r>
            <w:r>
              <w:rPr>
                <w:rFonts w:ascii="Times New Roman" w:hAnsi="Times New Roman" w:eastAsia="Times New Roman" w:cs="Times New Roman"/>
                <w:spacing w:val="8"/>
                <w:sz w:val="20"/>
                <w:szCs w:val="20"/>
              </w:rPr>
              <w:t>+</w:t>
            </w:r>
            <w:r>
              <w:rPr>
                <w:spacing w:val="8"/>
                <w:sz w:val="20"/>
                <w:szCs w:val="20"/>
              </w:rPr>
              <w:t>布袋除尘器</w:t>
            </w:r>
            <w:r>
              <w:rPr>
                <w:rFonts w:ascii="Times New Roman" w:hAnsi="Times New Roman" w:eastAsia="Times New Roman" w:cs="Times New Roman"/>
                <w:spacing w:val="8"/>
                <w:sz w:val="20"/>
                <w:szCs w:val="20"/>
              </w:rPr>
              <w:t>+</w:t>
            </w:r>
            <w:r>
              <w:rPr>
                <w:spacing w:val="8"/>
                <w:sz w:val="20"/>
                <w:szCs w:val="20"/>
              </w:rPr>
              <w:t>活性炭吸</w:t>
            </w:r>
            <w:r>
              <w:rPr>
                <w:spacing w:val="17"/>
                <w:sz w:val="20"/>
                <w:szCs w:val="20"/>
              </w:rPr>
              <w:t xml:space="preserve"> </w:t>
            </w:r>
            <w:r>
              <w:rPr>
                <w:spacing w:val="1"/>
                <w:sz w:val="20"/>
                <w:szCs w:val="20"/>
              </w:rPr>
              <w:t>附装置</w:t>
            </w:r>
          </w:p>
        </w:tc>
        <w:tc>
          <w:tcPr>
            <w:tcW w:w="2352" w:type="dxa"/>
            <w:gridSpan w:val="2"/>
            <w:tcBorders>
              <w:right w:val="single" w:color="000000" w:sz="10" w:space="0"/>
            </w:tcBorders>
            <w:vAlign w:val="top"/>
          </w:tcPr>
          <w:p w14:paraId="319E7B78">
            <w:pPr>
              <w:spacing w:before="267" w:line="195" w:lineRule="auto"/>
              <w:ind w:left="1077"/>
              <w:rPr>
                <w:rFonts w:ascii="Times New Roman" w:hAnsi="Times New Roman" w:eastAsia="Times New Roman" w:cs="Times New Roman"/>
                <w:sz w:val="20"/>
                <w:szCs w:val="20"/>
              </w:rPr>
            </w:pPr>
            <w:r>
              <w:rPr>
                <w:rFonts w:ascii="Times New Roman" w:hAnsi="Times New Roman" w:eastAsia="Times New Roman" w:cs="Times New Roman"/>
                <w:sz w:val="20"/>
                <w:szCs w:val="20"/>
              </w:rPr>
              <w:t>6</w:t>
            </w:r>
          </w:p>
        </w:tc>
      </w:tr>
      <w:tr w14:paraId="0B61EA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trPr>
        <w:tc>
          <w:tcPr>
            <w:tcW w:w="477" w:type="dxa"/>
            <w:vMerge w:val="continue"/>
            <w:tcBorders>
              <w:top w:val="nil"/>
              <w:left w:val="single" w:color="000000" w:sz="10" w:space="0"/>
              <w:bottom w:val="nil"/>
            </w:tcBorders>
            <w:vAlign w:val="top"/>
          </w:tcPr>
          <w:p w14:paraId="305588E0">
            <w:pPr>
              <w:rPr>
                <w:rFonts w:ascii="Arial"/>
                <w:sz w:val="21"/>
              </w:rPr>
            </w:pPr>
          </w:p>
        </w:tc>
        <w:tc>
          <w:tcPr>
            <w:tcW w:w="2013" w:type="dxa"/>
            <w:vAlign w:val="top"/>
          </w:tcPr>
          <w:p w14:paraId="4627211B">
            <w:pPr>
              <w:pStyle w:val="6"/>
              <w:spacing w:before="116" w:line="228" w:lineRule="auto"/>
              <w:ind w:left="846"/>
              <w:rPr>
                <w:sz w:val="20"/>
                <w:szCs w:val="20"/>
              </w:rPr>
            </w:pPr>
            <w:r>
              <w:rPr>
                <w:spacing w:val="5"/>
                <w:sz w:val="20"/>
                <w:szCs w:val="20"/>
              </w:rPr>
              <w:t>废水</w:t>
            </w:r>
          </w:p>
        </w:tc>
        <w:tc>
          <w:tcPr>
            <w:tcW w:w="4060" w:type="dxa"/>
            <w:gridSpan w:val="4"/>
            <w:vAlign w:val="top"/>
          </w:tcPr>
          <w:p w14:paraId="11711C5E">
            <w:pPr>
              <w:pStyle w:val="6"/>
              <w:spacing w:before="116" w:line="228" w:lineRule="auto"/>
              <w:ind w:left="131"/>
              <w:rPr>
                <w:sz w:val="20"/>
                <w:szCs w:val="20"/>
              </w:rPr>
            </w:pPr>
            <w:r>
              <w:rPr>
                <w:spacing w:val="7"/>
                <w:sz w:val="20"/>
                <w:szCs w:val="20"/>
              </w:rPr>
              <w:t>防渗旱厕，移动式隔油设施，</w:t>
            </w:r>
            <w:r>
              <w:rPr>
                <w:rFonts w:ascii="Times New Roman" w:hAnsi="Times New Roman" w:eastAsia="Times New Roman" w:cs="Times New Roman"/>
                <w:spacing w:val="7"/>
                <w:sz w:val="20"/>
                <w:szCs w:val="20"/>
              </w:rPr>
              <w:t>10m</w:t>
            </w:r>
            <w:r>
              <w:rPr>
                <w:rFonts w:ascii="Times New Roman" w:hAnsi="Times New Roman" w:eastAsia="Times New Roman" w:cs="Times New Roman"/>
                <w:spacing w:val="7"/>
                <w:position w:val="6"/>
                <w:sz w:val="13"/>
                <w:szCs w:val="13"/>
              </w:rPr>
              <w:t>3</w:t>
            </w:r>
            <w:r>
              <w:rPr>
                <w:rFonts w:ascii="Times New Roman" w:hAnsi="Times New Roman" w:eastAsia="Times New Roman" w:cs="Times New Roman"/>
                <w:spacing w:val="17"/>
                <w:w w:val="101"/>
                <w:position w:val="6"/>
                <w:sz w:val="13"/>
                <w:szCs w:val="13"/>
              </w:rPr>
              <w:t xml:space="preserve"> </w:t>
            </w:r>
            <w:r>
              <w:rPr>
                <w:spacing w:val="7"/>
                <w:sz w:val="20"/>
                <w:szCs w:val="20"/>
              </w:rPr>
              <w:t>收集池</w:t>
            </w:r>
          </w:p>
        </w:tc>
        <w:tc>
          <w:tcPr>
            <w:tcW w:w="2352" w:type="dxa"/>
            <w:gridSpan w:val="2"/>
            <w:tcBorders>
              <w:right w:val="single" w:color="000000" w:sz="10" w:space="0"/>
            </w:tcBorders>
            <w:vAlign w:val="top"/>
          </w:tcPr>
          <w:p w14:paraId="084DB251">
            <w:pPr>
              <w:spacing w:before="152" w:line="195" w:lineRule="auto"/>
              <w:ind w:left="998"/>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3.2</w:t>
            </w:r>
          </w:p>
        </w:tc>
      </w:tr>
      <w:tr w14:paraId="37D2A9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477" w:type="dxa"/>
            <w:vMerge w:val="continue"/>
            <w:tcBorders>
              <w:top w:val="nil"/>
              <w:left w:val="single" w:color="000000" w:sz="10" w:space="0"/>
              <w:bottom w:val="single" w:color="000000" w:sz="10" w:space="0"/>
            </w:tcBorders>
            <w:vAlign w:val="top"/>
          </w:tcPr>
          <w:p w14:paraId="2A4A40E2">
            <w:pPr>
              <w:rPr>
                <w:rFonts w:ascii="Arial"/>
                <w:sz w:val="21"/>
              </w:rPr>
            </w:pPr>
          </w:p>
        </w:tc>
        <w:tc>
          <w:tcPr>
            <w:tcW w:w="2013" w:type="dxa"/>
            <w:tcBorders>
              <w:bottom w:val="single" w:color="000000" w:sz="10" w:space="0"/>
            </w:tcBorders>
            <w:vAlign w:val="top"/>
          </w:tcPr>
          <w:p w14:paraId="189DAE23">
            <w:pPr>
              <w:pStyle w:val="6"/>
              <w:spacing w:before="119" w:line="228" w:lineRule="auto"/>
              <w:ind w:left="857"/>
              <w:rPr>
                <w:sz w:val="20"/>
                <w:szCs w:val="20"/>
              </w:rPr>
            </w:pPr>
            <w:r>
              <w:rPr>
                <w:spacing w:val="-1"/>
                <w:sz w:val="20"/>
                <w:szCs w:val="20"/>
              </w:rPr>
              <w:t>噪声</w:t>
            </w:r>
          </w:p>
        </w:tc>
        <w:tc>
          <w:tcPr>
            <w:tcW w:w="4060" w:type="dxa"/>
            <w:gridSpan w:val="4"/>
            <w:tcBorders>
              <w:bottom w:val="single" w:color="000000" w:sz="10" w:space="0"/>
            </w:tcBorders>
            <w:vAlign w:val="top"/>
          </w:tcPr>
          <w:p w14:paraId="342A0347">
            <w:pPr>
              <w:pStyle w:val="6"/>
              <w:spacing w:before="118" w:line="228" w:lineRule="auto"/>
              <w:ind w:left="1196"/>
              <w:rPr>
                <w:sz w:val="20"/>
                <w:szCs w:val="20"/>
              </w:rPr>
            </w:pPr>
            <w:r>
              <w:rPr>
                <w:spacing w:val="8"/>
                <w:sz w:val="20"/>
                <w:szCs w:val="20"/>
              </w:rPr>
              <w:t>基础减振、隔声等</w:t>
            </w:r>
          </w:p>
        </w:tc>
        <w:tc>
          <w:tcPr>
            <w:tcW w:w="2352" w:type="dxa"/>
            <w:gridSpan w:val="2"/>
            <w:tcBorders>
              <w:bottom w:val="single" w:color="000000" w:sz="10" w:space="0"/>
              <w:right w:val="single" w:color="000000" w:sz="10" w:space="0"/>
            </w:tcBorders>
            <w:vAlign w:val="top"/>
          </w:tcPr>
          <w:p w14:paraId="7E2E1AEA">
            <w:pPr>
              <w:spacing w:before="154" w:line="195" w:lineRule="auto"/>
              <w:ind w:left="997"/>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0.5</w:t>
            </w:r>
          </w:p>
        </w:tc>
      </w:tr>
    </w:tbl>
    <w:p w14:paraId="52DF8222">
      <w:pPr>
        <w:pStyle w:val="2"/>
        <w:spacing w:line="93" w:lineRule="exact"/>
        <w:rPr>
          <w:sz w:val="8"/>
        </w:rPr>
      </w:pPr>
    </w:p>
    <w:p w14:paraId="7E390A88">
      <w:pPr>
        <w:spacing w:line="93" w:lineRule="exact"/>
        <w:rPr>
          <w:sz w:val="8"/>
          <w:szCs w:val="8"/>
        </w:rPr>
        <w:sectPr>
          <w:footerReference r:id="rId96" w:type="default"/>
          <w:pgSz w:w="11906" w:h="16839"/>
          <w:pgMar w:top="1270" w:right="1489" w:bottom="1263" w:left="1488" w:header="0" w:footer="1097" w:gutter="0"/>
          <w:cols w:space="720" w:num="1"/>
        </w:sectPr>
      </w:pPr>
    </w:p>
    <w:tbl>
      <w:tblPr>
        <w:tblStyle w:val="5"/>
        <w:tblW w:w="8902" w:type="dxa"/>
        <w:tblInd w:w="12" w:type="dxa"/>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Layout w:type="fixed"/>
        <w:tblCellMar>
          <w:top w:w="0" w:type="dxa"/>
          <w:left w:w="0" w:type="dxa"/>
          <w:bottom w:w="0" w:type="dxa"/>
          <w:right w:w="0" w:type="dxa"/>
        </w:tblCellMar>
      </w:tblPr>
      <w:tblGrid>
        <w:gridCol w:w="477"/>
        <w:gridCol w:w="8425"/>
      </w:tblGrid>
      <w:tr w14:paraId="4D01799A">
        <w:tblPrEx>
          <w:tblBorders>
            <w:top w:val="single" w:color="000000" w:sz="10" w:space="0"/>
            <w:left w:val="single" w:color="000000" w:sz="10" w:space="0"/>
            <w:bottom w:val="single" w:color="000000" w:sz="10" w:space="0"/>
            <w:right w:val="single" w:color="000000" w:sz="10" w:space="0"/>
            <w:insideH w:val="single" w:color="000000" w:sz="10" w:space="0"/>
            <w:insideV w:val="single" w:color="000000" w:sz="10" w:space="0"/>
          </w:tblBorders>
          <w:tblCellMar>
            <w:top w:w="0" w:type="dxa"/>
            <w:left w:w="0" w:type="dxa"/>
            <w:bottom w:w="0" w:type="dxa"/>
            <w:right w:w="0" w:type="dxa"/>
          </w:tblCellMar>
        </w:tblPrEx>
        <w:trPr>
          <w:trHeight w:val="13895" w:hRule="atLeast"/>
        </w:trPr>
        <w:tc>
          <w:tcPr>
            <w:tcW w:w="477" w:type="dxa"/>
            <w:tcBorders>
              <w:right w:val="single" w:color="000000" w:sz="2" w:space="0"/>
            </w:tcBorders>
            <w:vAlign w:val="top"/>
          </w:tcPr>
          <w:p w14:paraId="129783FE">
            <w:pPr>
              <w:rPr>
                <w:rFonts w:ascii="Arial"/>
                <w:sz w:val="21"/>
              </w:rPr>
            </w:pPr>
          </w:p>
        </w:tc>
        <w:tc>
          <w:tcPr>
            <w:tcW w:w="8425" w:type="dxa"/>
            <w:tcBorders>
              <w:left w:val="single" w:color="000000" w:sz="2" w:space="0"/>
            </w:tcBorders>
            <w:vAlign w:val="top"/>
          </w:tcPr>
          <w:p w14:paraId="65965872">
            <w:pPr>
              <w:spacing w:line="144" w:lineRule="auto"/>
              <w:rPr>
                <w:rFonts w:ascii="Arial"/>
                <w:sz w:val="2"/>
              </w:rPr>
            </w:pPr>
          </w:p>
          <w:tbl>
            <w:tblPr>
              <w:tblStyle w:val="5"/>
              <w:tblW w:w="8218" w:type="dxa"/>
              <w:tblInd w:w="9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911"/>
              <w:gridCol w:w="4071"/>
              <w:gridCol w:w="2236"/>
            </w:tblGrid>
            <w:tr w14:paraId="7EF102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5" w:hRule="atLeast"/>
              </w:trPr>
              <w:tc>
                <w:tcPr>
                  <w:tcW w:w="1911" w:type="dxa"/>
                  <w:tcBorders>
                    <w:top w:val="nil"/>
                    <w:left w:val="nil"/>
                  </w:tcBorders>
                  <w:vAlign w:val="top"/>
                </w:tcPr>
                <w:p w14:paraId="2B4D69FA">
                  <w:pPr>
                    <w:pStyle w:val="6"/>
                    <w:spacing w:before="94" w:line="228" w:lineRule="auto"/>
                    <w:ind w:left="559"/>
                    <w:rPr>
                      <w:sz w:val="20"/>
                      <w:szCs w:val="20"/>
                    </w:rPr>
                  </w:pPr>
                  <w:r>
                    <w:rPr>
                      <w:spacing w:val="2"/>
                      <w:sz w:val="20"/>
                      <w:szCs w:val="20"/>
                    </w:rPr>
                    <w:t>固体废物</w:t>
                  </w:r>
                </w:p>
              </w:tc>
              <w:tc>
                <w:tcPr>
                  <w:tcW w:w="4071" w:type="dxa"/>
                  <w:tcBorders>
                    <w:top w:val="nil"/>
                  </w:tcBorders>
                  <w:vAlign w:val="top"/>
                </w:tcPr>
                <w:p w14:paraId="6180B5E5">
                  <w:pPr>
                    <w:pStyle w:val="6"/>
                    <w:spacing w:before="93" w:line="228" w:lineRule="auto"/>
                    <w:ind w:left="1219"/>
                    <w:rPr>
                      <w:sz w:val="20"/>
                      <w:szCs w:val="20"/>
                    </w:rPr>
                  </w:pPr>
                  <w:r>
                    <w:rPr>
                      <w:spacing w:val="6"/>
                      <w:sz w:val="20"/>
                      <w:szCs w:val="20"/>
                    </w:rPr>
                    <w:t>固体废物收储设施</w:t>
                  </w:r>
                </w:p>
              </w:tc>
              <w:tc>
                <w:tcPr>
                  <w:tcW w:w="2236" w:type="dxa"/>
                  <w:tcBorders>
                    <w:top w:val="nil"/>
                    <w:right w:val="nil"/>
                  </w:tcBorders>
                  <w:vAlign w:val="top"/>
                </w:tcPr>
                <w:p w14:paraId="48880B6A">
                  <w:pPr>
                    <w:spacing w:before="130" w:line="195" w:lineRule="auto"/>
                    <w:ind w:left="99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0.3</w:t>
                  </w:r>
                </w:p>
              </w:tc>
            </w:tr>
            <w:tr w14:paraId="7ACB6F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3" w:hRule="atLeast"/>
              </w:trPr>
              <w:tc>
                <w:tcPr>
                  <w:tcW w:w="1911" w:type="dxa"/>
                  <w:tcBorders>
                    <w:left w:val="nil"/>
                  </w:tcBorders>
                  <w:vAlign w:val="top"/>
                </w:tcPr>
                <w:p w14:paraId="5081BCBC">
                  <w:pPr>
                    <w:pStyle w:val="6"/>
                    <w:spacing w:before="101" w:line="228" w:lineRule="auto"/>
                    <w:ind w:left="227"/>
                    <w:rPr>
                      <w:sz w:val="20"/>
                      <w:szCs w:val="20"/>
                    </w:rPr>
                  </w:pPr>
                  <w:r>
                    <w:rPr>
                      <w:spacing w:val="8"/>
                      <w:sz w:val="20"/>
                      <w:szCs w:val="20"/>
                    </w:rPr>
                    <w:t>地下水防渗措施</w:t>
                  </w:r>
                </w:p>
              </w:tc>
              <w:tc>
                <w:tcPr>
                  <w:tcW w:w="4071" w:type="dxa"/>
                  <w:vAlign w:val="top"/>
                </w:tcPr>
                <w:p w14:paraId="56A6CE00">
                  <w:pPr>
                    <w:pStyle w:val="6"/>
                    <w:spacing w:before="101" w:line="228" w:lineRule="auto"/>
                    <w:ind w:left="255"/>
                    <w:rPr>
                      <w:sz w:val="20"/>
                      <w:szCs w:val="20"/>
                    </w:rPr>
                  </w:pPr>
                  <w:r>
                    <w:rPr>
                      <w:spacing w:val="9"/>
                      <w:sz w:val="20"/>
                      <w:szCs w:val="20"/>
                    </w:rPr>
                    <w:t>拆解车间、危险废物贮存库重点防渗等</w:t>
                  </w:r>
                </w:p>
              </w:tc>
              <w:tc>
                <w:tcPr>
                  <w:tcW w:w="2236" w:type="dxa"/>
                  <w:tcBorders>
                    <w:right w:val="nil"/>
                  </w:tcBorders>
                  <w:vAlign w:val="top"/>
                </w:tcPr>
                <w:p w14:paraId="00682355">
                  <w:pPr>
                    <w:spacing w:before="138" w:line="195" w:lineRule="auto"/>
                    <w:ind w:left="1075"/>
                    <w:rPr>
                      <w:rFonts w:ascii="Times New Roman" w:hAnsi="Times New Roman" w:eastAsia="Times New Roman" w:cs="Times New Roman"/>
                      <w:sz w:val="20"/>
                      <w:szCs w:val="20"/>
                    </w:rPr>
                  </w:pPr>
                  <w:r>
                    <w:rPr>
                      <w:rFonts w:ascii="Times New Roman" w:hAnsi="Times New Roman" w:eastAsia="Times New Roman" w:cs="Times New Roman"/>
                      <w:sz w:val="20"/>
                      <w:szCs w:val="20"/>
                    </w:rPr>
                    <w:t>8</w:t>
                  </w:r>
                </w:p>
              </w:tc>
            </w:tr>
            <w:tr w14:paraId="6C2057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7" w:hRule="atLeast"/>
              </w:trPr>
              <w:tc>
                <w:tcPr>
                  <w:tcW w:w="5982" w:type="dxa"/>
                  <w:gridSpan w:val="2"/>
                  <w:tcBorders>
                    <w:left w:val="nil"/>
                    <w:bottom w:val="single" w:color="000000" w:sz="10" w:space="0"/>
                  </w:tcBorders>
                  <w:vAlign w:val="top"/>
                </w:tcPr>
                <w:p w14:paraId="5D064E9C">
                  <w:pPr>
                    <w:pStyle w:val="6"/>
                    <w:spacing w:before="110" w:line="228" w:lineRule="auto"/>
                    <w:ind w:left="2368"/>
                    <w:rPr>
                      <w:sz w:val="20"/>
                      <w:szCs w:val="20"/>
                    </w:rPr>
                  </w:pPr>
                  <w:r>
                    <w:rPr>
                      <w:spacing w:val="8"/>
                      <w:sz w:val="20"/>
                      <w:szCs w:val="20"/>
                    </w:rPr>
                    <w:t>环保投资合计</w:t>
                  </w:r>
                </w:p>
              </w:tc>
              <w:tc>
                <w:tcPr>
                  <w:tcW w:w="2236" w:type="dxa"/>
                  <w:tcBorders>
                    <w:bottom w:val="single" w:color="000000" w:sz="10" w:space="0"/>
                    <w:right w:val="nil"/>
                  </w:tcBorders>
                  <w:vAlign w:val="top"/>
                </w:tcPr>
                <w:p w14:paraId="454CE752">
                  <w:pPr>
                    <w:spacing w:before="145" w:line="195" w:lineRule="auto"/>
                    <w:ind w:left="1036"/>
                    <w:rPr>
                      <w:rFonts w:ascii="Times New Roman" w:hAnsi="Times New Roman" w:eastAsia="Times New Roman" w:cs="Times New Roman"/>
                      <w:sz w:val="20"/>
                      <w:szCs w:val="20"/>
                    </w:rPr>
                  </w:pPr>
                  <w:r>
                    <w:rPr>
                      <w:rFonts w:ascii="Times New Roman" w:hAnsi="Times New Roman" w:eastAsia="Times New Roman" w:cs="Times New Roman"/>
                      <w:spacing w:val="-8"/>
                      <w:sz w:val="20"/>
                      <w:szCs w:val="20"/>
                    </w:rPr>
                    <w:t>19</w:t>
                  </w:r>
                </w:p>
              </w:tc>
            </w:tr>
          </w:tbl>
          <w:p w14:paraId="666D37F0">
            <w:pPr>
              <w:pStyle w:val="6"/>
              <w:spacing w:before="115" w:line="220" w:lineRule="auto"/>
              <w:ind w:left="702"/>
            </w:pPr>
            <w:r>
              <w:rPr>
                <w:rFonts w:ascii="Times New Roman" w:hAnsi="Times New Roman" w:eastAsia="Times New Roman" w:cs="Times New Roman"/>
                <w:b/>
                <w:bCs/>
                <w:spacing w:val="-5"/>
              </w:rPr>
              <w:t>9</w:t>
            </w:r>
            <w:r>
              <w:rPr>
                <w:rFonts w:ascii="Times New Roman" w:hAnsi="Times New Roman" w:eastAsia="Times New Roman" w:cs="Times New Roman"/>
                <w:b/>
                <w:bCs/>
                <w:spacing w:val="-32"/>
              </w:rPr>
              <w:t xml:space="preserve"> </w:t>
            </w:r>
            <w:r>
              <w:rPr>
                <w:b/>
                <w:bCs/>
                <w:spacing w:val="-5"/>
              </w:rPr>
              <w:t>、排污许可证制度衔接</w:t>
            </w:r>
          </w:p>
          <w:p w14:paraId="36D2BC76">
            <w:pPr>
              <w:pStyle w:val="6"/>
              <w:spacing w:before="182" w:line="357" w:lineRule="auto"/>
              <w:ind w:left="223" w:right="214" w:firstLine="480"/>
            </w:pPr>
            <w:r>
              <w:rPr>
                <w:spacing w:val="1"/>
              </w:rPr>
              <w:t>根据《国务院办公厅关于印发控制污染物排放许可制实施方案的通知》</w:t>
            </w:r>
            <w:r>
              <w:rPr>
                <w:spacing w:val="9"/>
              </w:rPr>
              <w:t xml:space="preserve"> </w:t>
            </w:r>
            <w:r>
              <w:t>（国办发</w:t>
            </w:r>
            <w:r>
              <w:rPr>
                <w:rFonts w:ascii="Times New Roman" w:hAnsi="Times New Roman" w:eastAsia="Times New Roman" w:cs="Times New Roman"/>
              </w:rPr>
              <w:t xml:space="preserve">[2016]81  </w:t>
            </w:r>
            <w:r>
              <w:t>号</w:t>
            </w:r>
            <w:r>
              <w:rPr>
                <w:spacing w:val="5"/>
              </w:rPr>
              <w:t>），</w:t>
            </w:r>
            <w:r>
              <w:t>将排污许可制建设成为固定污染源环境管理的</w:t>
            </w:r>
            <w:r>
              <w:rPr>
                <w:spacing w:val="-1"/>
              </w:rPr>
              <w:t>核心</w:t>
            </w:r>
            <w:r>
              <w:t xml:space="preserve"> </w:t>
            </w:r>
            <w:r>
              <w:rPr>
                <w:spacing w:val="-3"/>
              </w:rPr>
              <w:t>制度。按照《排污许可管理办法（试行）》（环境保护部令</w:t>
            </w:r>
            <w:r>
              <w:rPr>
                <w:spacing w:val="-45"/>
              </w:rPr>
              <w:t xml:space="preserve"> </w:t>
            </w:r>
            <w:r>
              <w:rPr>
                <w:rFonts w:ascii="Times New Roman" w:hAnsi="Times New Roman" w:eastAsia="Times New Roman" w:cs="Times New Roman"/>
                <w:spacing w:val="-3"/>
              </w:rPr>
              <w:t>48</w:t>
            </w:r>
            <w:r>
              <w:rPr>
                <w:rFonts w:ascii="Times New Roman" w:hAnsi="Times New Roman" w:eastAsia="Times New Roman" w:cs="Times New Roman"/>
                <w:spacing w:val="15"/>
              </w:rPr>
              <w:t xml:space="preserve"> </w:t>
            </w:r>
            <w:r>
              <w:rPr>
                <w:spacing w:val="-3"/>
              </w:rPr>
              <w:t>号）和《固定</w:t>
            </w:r>
            <w:r>
              <w:t xml:space="preserve"> 污染源排污许可分类管理名录（</w:t>
            </w:r>
            <w:r>
              <w:rPr>
                <w:rFonts w:ascii="Times New Roman" w:hAnsi="Times New Roman" w:eastAsia="Times New Roman" w:cs="Times New Roman"/>
              </w:rPr>
              <w:t xml:space="preserve">2019 </w:t>
            </w:r>
            <w:r>
              <w:t>版）》相关</w:t>
            </w:r>
            <w:r>
              <w:rPr>
                <w:spacing w:val="-1"/>
              </w:rPr>
              <w:t>要求，在规定时间内取得排</w:t>
            </w:r>
            <w:r>
              <w:t xml:space="preserve"> </w:t>
            </w:r>
            <w:r>
              <w:rPr>
                <w:spacing w:val="1"/>
              </w:rPr>
              <w:t>污许可证，按证排污。并做好环境管理台账记录，上报季度、年度执行报告</w:t>
            </w:r>
            <w:r>
              <w:rPr>
                <w:spacing w:val="17"/>
              </w:rPr>
              <w:t xml:space="preserve"> </w:t>
            </w:r>
            <w:r>
              <w:rPr>
                <w:spacing w:val="1"/>
              </w:rPr>
              <w:t>等相关要求。本项目应严格按照国家排污许可证改革的要求，推进刷卡排污</w:t>
            </w:r>
            <w:r>
              <w:rPr>
                <w:spacing w:val="15"/>
              </w:rPr>
              <w:t xml:space="preserve"> </w:t>
            </w:r>
            <w:r>
              <w:rPr>
                <w:spacing w:val="2"/>
              </w:rPr>
              <w:t>及污染源</w:t>
            </w:r>
            <w:r>
              <w:rPr>
                <w:rFonts w:ascii="Times New Roman" w:hAnsi="Times New Roman" w:eastAsia="Times New Roman" w:cs="Times New Roman"/>
                <w:spacing w:val="2"/>
              </w:rPr>
              <w:t>“</w:t>
            </w:r>
            <w:r>
              <w:rPr>
                <w:spacing w:val="2"/>
              </w:rPr>
              <w:t>一证式</w:t>
            </w:r>
            <w:r>
              <w:rPr>
                <w:rFonts w:ascii="Times New Roman" w:hAnsi="Times New Roman" w:eastAsia="Times New Roman" w:cs="Times New Roman"/>
                <w:spacing w:val="2"/>
              </w:rPr>
              <w:t>”</w:t>
            </w:r>
            <w:r>
              <w:rPr>
                <w:spacing w:val="2"/>
              </w:rPr>
              <w:t>管理工作，并作为建设单位在生产运营期接受环境监管和</w:t>
            </w:r>
            <w:r>
              <w:rPr>
                <w:spacing w:val="6"/>
              </w:rPr>
              <w:t xml:space="preserve"> </w:t>
            </w:r>
            <w:r>
              <w:rPr>
                <w:spacing w:val="1"/>
              </w:rPr>
              <w:t>环境保护部门实施监管的主要法律文书，单位依法申领排污许可证，按证排</w:t>
            </w:r>
            <w:r>
              <w:rPr>
                <w:spacing w:val="15"/>
              </w:rPr>
              <w:t xml:space="preserve"> </w:t>
            </w:r>
            <w:r>
              <w:t>污，</w:t>
            </w:r>
            <w:r>
              <w:rPr>
                <w:spacing w:val="-68"/>
              </w:rPr>
              <w:t xml:space="preserve"> </w:t>
            </w:r>
            <w:r>
              <w:t>自证守法。环境保护部门基于企事业单位守法承诺，依法发放</w:t>
            </w:r>
            <w:r>
              <w:rPr>
                <w:spacing w:val="-1"/>
              </w:rPr>
              <w:t>排污许可</w:t>
            </w:r>
            <w:r>
              <w:t xml:space="preserve"> </w:t>
            </w:r>
            <w:r>
              <w:rPr>
                <w:spacing w:val="-1"/>
              </w:rPr>
              <w:t>证，依证强化事中事后监管。</w:t>
            </w:r>
          </w:p>
          <w:p w14:paraId="7E04F916">
            <w:pPr>
              <w:pStyle w:val="6"/>
              <w:spacing w:before="37" w:line="219" w:lineRule="auto"/>
              <w:ind w:left="584"/>
              <w:outlineLvl w:val="0"/>
            </w:pPr>
            <w:r>
              <w:rPr>
                <w:spacing w:val="1"/>
              </w:rPr>
              <w:t>环评制度重点关注新建项目选址布局、项目可能产生的环境影响和拟采取</w:t>
            </w:r>
          </w:p>
          <w:p w14:paraId="4870EA71">
            <w:pPr>
              <w:pStyle w:val="6"/>
              <w:spacing w:before="183" w:line="220" w:lineRule="auto"/>
              <w:ind w:left="124"/>
            </w:pPr>
            <w:r>
              <w:rPr>
                <w:spacing w:val="-1"/>
              </w:rPr>
              <w:t>的污染防治措施。排污许可与环评在污染物排放上进</w:t>
            </w:r>
            <w:r>
              <w:rPr>
                <w:spacing w:val="-2"/>
              </w:rPr>
              <w:t>行衔接。</w:t>
            </w:r>
          </w:p>
          <w:p w14:paraId="00F6EC94">
            <w:pPr>
              <w:pStyle w:val="6"/>
              <w:spacing w:before="182" w:line="217" w:lineRule="auto"/>
              <w:ind w:left="583"/>
              <w:outlineLvl w:val="0"/>
            </w:pPr>
            <w:r>
              <w:rPr>
                <w:spacing w:val="1"/>
              </w:rPr>
              <w:t>①在时间节点上，新建污染源必须在产生实际排污行为之前申领排污许可</w:t>
            </w:r>
          </w:p>
          <w:p w14:paraId="17858FDE">
            <w:pPr>
              <w:pStyle w:val="6"/>
              <w:spacing w:before="187" w:line="221" w:lineRule="auto"/>
              <w:ind w:left="104"/>
            </w:pPr>
            <w:r>
              <w:rPr>
                <w:spacing w:val="-5"/>
              </w:rPr>
              <w:t>证；</w:t>
            </w:r>
          </w:p>
          <w:p w14:paraId="0B7982C5">
            <w:pPr>
              <w:pStyle w:val="6"/>
              <w:spacing w:before="180" w:line="217" w:lineRule="auto"/>
              <w:ind w:left="582"/>
              <w:outlineLvl w:val="0"/>
            </w:pPr>
            <w:r>
              <w:rPr>
                <w:spacing w:val="1"/>
              </w:rPr>
              <w:t>②在内容要求上，环境影响评价审批文件中与污染物排放相关内容要纳入</w:t>
            </w:r>
          </w:p>
          <w:p w14:paraId="34815BE1">
            <w:pPr>
              <w:pStyle w:val="6"/>
              <w:spacing w:before="186" w:line="220" w:lineRule="auto"/>
              <w:ind w:left="104"/>
            </w:pPr>
            <w:r>
              <w:rPr>
                <w:spacing w:val="-2"/>
              </w:rPr>
              <w:t>排污许可证；</w:t>
            </w:r>
          </w:p>
          <w:p w14:paraId="310C8FF5">
            <w:pPr>
              <w:pStyle w:val="6"/>
              <w:spacing w:before="182" w:line="217" w:lineRule="auto"/>
              <w:ind w:left="582"/>
              <w:outlineLvl w:val="0"/>
            </w:pPr>
            <w:r>
              <w:rPr>
                <w:spacing w:val="1"/>
              </w:rPr>
              <w:t>③在环境监管上，对需要开展环境影响后评价的，排污单位排污许可证执</w:t>
            </w:r>
          </w:p>
          <w:p w14:paraId="3EEA10B7">
            <w:pPr>
              <w:pStyle w:val="6"/>
              <w:spacing w:before="185" w:line="218" w:lineRule="auto"/>
              <w:ind w:left="108"/>
            </w:pPr>
            <w:r>
              <w:rPr>
                <w:spacing w:val="-1"/>
              </w:rPr>
              <w:t>行情况应作为环境影响后评价的主要依据。</w:t>
            </w:r>
          </w:p>
          <w:p w14:paraId="5823F976">
            <w:pPr>
              <w:pStyle w:val="6"/>
              <w:spacing w:before="186" w:line="346" w:lineRule="auto"/>
              <w:ind w:left="117" w:right="97" w:firstLine="466"/>
            </w:pPr>
            <w:r>
              <w:t>根据《固定污染源排污许可分类管理名录（</w:t>
            </w:r>
            <w:r>
              <w:rPr>
                <w:rFonts w:ascii="Times New Roman" w:hAnsi="Times New Roman" w:eastAsia="Times New Roman" w:cs="Times New Roman"/>
              </w:rPr>
              <w:t>201</w:t>
            </w:r>
            <w:r>
              <w:rPr>
                <w:rFonts w:ascii="Times New Roman" w:hAnsi="Times New Roman" w:eastAsia="Times New Roman" w:cs="Times New Roman"/>
                <w:spacing w:val="-1"/>
              </w:rPr>
              <w:t xml:space="preserve">9 </w:t>
            </w:r>
            <w:r>
              <w:rPr>
                <w:spacing w:val="-1"/>
              </w:rPr>
              <w:t>版）》相关规定，本项目</w:t>
            </w:r>
            <w:r>
              <w:t xml:space="preserve"> </w:t>
            </w:r>
            <w:r>
              <w:rPr>
                <w:spacing w:val="-2"/>
              </w:rPr>
              <w:t>需进行排污许可证简化管理的填报。</w:t>
            </w:r>
          </w:p>
        </w:tc>
      </w:tr>
    </w:tbl>
    <w:p w14:paraId="1EF7BECA">
      <w:pPr>
        <w:pStyle w:val="2"/>
      </w:pPr>
    </w:p>
    <w:p w14:paraId="0FF9CD65">
      <w:pPr>
        <w:sectPr>
          <w:footerReference r:id="rId97" w:type="default"/>
          <w:pgSz w:w="11906" w:h="16839"/>
          <w:pgMar w:top="1270" w:right="1489" w:bottom="1263" w:left="1488" w:header="0" w:footer="1097" w:gutter="0"/>
          <w:cols w:space="720" w:num="1"/>
        </w:sectPr>
      </w:pPr>
    </w:p>
    <w:p w14:paraId="02584B0B">
      <w:pPr>
        <w:pStyle w:val="2"/>
        <w:spacing w:line="270" w:lineRule="auto"/>
      </w:pPr>
    </w:p>
    <w:p w14:paraId="3B246C16">
      <w:pPr>
        <w:pStyle w:val="2"/>
        <w:spacing w:line="270" w:lineRule="auto"/>
      </w:pPr>
    </w:p>
    <w:p w14:paraId="506239D0">
      <w:pPr>
        <w:spacing w:before="91" w:line="220" w:lineRule="auto"/>
        <w:ind w:left="2740"/>
        <w:outlineLvl w:val="0"/>
        <w:rPr>
          <w:rFonts w:ascii="宋体" w:hAnsi="宋体" w:eastAsia="宋体" w:cs="宋体"/>
          <w:sz w:val="28"/>
          <w:szCs w:val="28"/>
        </w:rPr>
      </w:pPr>
      <w:r>
        <w:rPr>
          <w:rFonts w:ascii="宋体" w:hAnsi="宋体" w:eastAsia="宋体" w:cs="宋体"/>
          <w:b/>
          <w:bCs/>
          <w:spacing w:val="-3"/>
          <w:sz w:val="28"/>
          <w:szCs w:val="28"/>
        </w:rPr>
        <w:t>五、环境保护措施监督检查清单</w:t>
      </w:r>
    </w:p>
    <w:p w14:paraId="68BC7F41">
      <w:pPr>
        <w:spacing w:line="115" w:lineRule="exact"/>
      </w:pPr>
    </w:p>
    <w:tbl>
      <w:tblPr>
        <w:tblStyle w:val="5"/>
        <w:tblW w:w="936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708"/>
        <w:gridCol w:w="1631"/>
        <w:gridCol w:w="1795"/>
        <w:gridCol w:w="2522"/>
      </w:tblGrid>
      <w:tr w14:paraId="172DF2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6" w:hRule="atLeast"/>
        </w:trPr>
        <w:tc>
          <w:tcPr>
            <w:tcW w:w="1706" w:type="dxa"/>
            <w:tcBorders>
              <w:top w:val="single" w:color="000000" w:sz="10" w:space="0"/>
              <w:left w:val="single" w:color="000000" w:sz="10" w:space="0"/>
            </w:tcBorders>
            <w:vAlign w:val="top"/>
          </w:tcPr>
          <w:p w14:paraId="002ED3A2">
            <w:pPr>
              <w:pStyle w:val="6"/>
              <w:spacing w:before="38" w:line="234" w:lineRule="auto"/>
              <w:ind w:left="104" w:right="646" w:firstLine="555"/>
              <w:rPr>
                <w:sz w:val="20"/>
                <w:szCs w:val="20"/>
              </w:rPr>
            </w:pPr>
            <w:r>
              <w:drawing>
                <wp:anchor distT="0" distB="0" distL="0" distR="0" simplePos="0" relativeHeight="251674624" behindDoc="1" locked="0" layoutInCell="1" allowOverlap="1">
                  <wp:simplePos x="0" y="0"/>
                  <wp:positionH relativeFrom="column">
                    <wp:posOffset>635</wp:posOffset>
                  </wp:positionH>
                  <wp:positionV relativeFrom="paragraph">
                    <wp:posOffset>-15240</wp:posOffset>
                  </wp:positionV>
                  <wp:extent cx="1079500" cy="421005"/>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124"/>
                          <a:stretch>
                            <a:fillRect/>
                          </a:stretch>
                        </pic:blipFill>
                        <pic:spPr>
                          <a:xfrm>
                            <a:off x="0" y="0"/>
                            <a:ext cx="1079703" cy="421131"/>
                          </a:xfrm>
                          <a:prstGeom prst="rect">
                            <a:avLst/>
                          </a:prstGeom>
                        </pic:spPr>
                      </pic:pic>
                    </a:graphicData>
                  </a:graphic>
                </wp:anchor>
              </w:drawing>
            </w:r>
            <w:r>
              <w:rPr>
                <w:spacing w:val="-8"/>
                <w:sz w:val="20"/>
                <w:szCs w:val="20"/>
              </w:rPr>
              <w:t>内容</w:t>
            </w:r>
            <w:r>
              <w:rPr>
                <w:sz w:val="20"/>
                <w:szCs w:val="20"/>
              </w:rPr>
              <w:t xml:space="preserve"> </w:t>
            </w:r>
            <w:r>
              <w:rPr>
                <w:spacing w:val="4"/>
                <w:sz w:val="20"/>
                <w:szCs w:val="20"/>
              </w:rPr>
              <w:t>类型</w:t>
            </w:r>
          </w:p>
        </w:tc>
        <w:tc>
          <w:tcPr>
            <w:tcW w:w="1708" w:type="dxa"/>
            <w:tcBorders>
              <w:top w:val="single" w:color="000000" w:sz="10" w:space="0"/>
            </w:tcBorders>
            <w:vAlign w:val="top"/>
          </w:tcPr>
          <w:p w14:paraId="2F317F01">
            <w:pPr>
              <w:pStyle w:val="6"/>
              <w:spacing w:before="38" w:line="234" w:lineRule="auto"/>
              <w:ind w:left="186" w:right="159" w:hanging="69"/>
              <w:rPr>
                <w:sz w:val="20"/>
                <w:szCs w:val="20"/>
              </w:rPr>
            </w:pPr>
            <w:r>
              <w:rPr>
                <w:spacing w:val="3"/>
                <w:sz w:val="20"/>
                <w:szCs w:val="20"/>
              </w:rPr>
              <w:t xml:space="preserve">排放口（编号、 </w:t>
            </w:r>
            <w:r>
              <w:rPr>
                <w:spacing w:val="7"/>
                <w:sz w:val="20"/>
                <w:szCs w:val="20"/>
              </w:rPr>
              <w:t>名称）</w:t>
            </w:r>
            <w:r>
              <w:rPr>
                <w:rFonts w:ascii="Calibri" w:hAnsi="Calibri" w:eastAsia="Calibri" w:cs="Calibri"/>
                <w:spacing w:val="7"/>
                <w:sz w:val="20"/>
                <w:szCs w:val="20"/>
              </w:rPr>
              <w:t>/</w:t>
            </w:r>
            <w:r>
              <w:rPr>
                <w:spacing w:val="7"/>
                <w:sz w:val="20"/>
                <w:szCs w:val="20"/>
              </w:rPr>
              <w:t>污染源</w:t>
            </w:r>
          </w:p>
        </w:tc>
        <w:tc>
          <w:tcPr>
            <w:tcW w:w="1631" w:type="dxa"/>
            <w:tcBorders>
              <w:top w:val="single" w:color="000000" w:sz="10" w:space="0"/>
            </w:tcBorders>
            <w:vAlign w:val="top"/>
          </w:tcPr>
          <w:p w14:paraId="2534E252">
            <w:pPr>
              <w:pStyle w:val="6"/>
              <w:spacing w:before="173" w:line="228" w:lineRule="auto"/>
              <w:ind w:left="297"/>
              <w:rPr>
                <w:sz w:val="20"/>
                <w:szCs w:val="20"/>
              </w:rPr>
            </w:pPr>
            <w:r>
              <w:rPr>
                <w:spacing w:val="7"/>
                <w:sz w:val="20"/>
                <w:szCs w:val="20"/>
              </w:rPr>
              <w:t>污染物名称</w:t>
            </w:r>
          </w:p>
        </w:tc>
        <w:tc>
          <w:tcPr>
            <w:tcW w:w="1795" w:type="dxa"/>
            <w:tcBorders>
              <w:top w:val="single" w:color="000000" w:sz="10" w:space="0"/>
            </w:tcBorders>
            <w:vAlign w:val="top"/>
          </w:tcPr>
          <w:p w14:paraId="65908A59">
            <w:pPr>
              <w:pStyle w:val="6"/>
              <w:spacing w:before="173" w:line="228" w:lineRule="auto"/>
              <w:ind w:left="277"/>
              <w:rPr>
                <w:sz w:val="20"/>
                <w:szCs w:val="20"/>
              </w:rPr>
            </w:pPr>
            <w:r>
              <w:rPr>
                <w:spacing w:val="8"/>
                <w:sz w:val="20"/>
                <w:szCs w:val="20"/>
              </w:rPr>
              <w:t>环境保护措施</w:t>
            </w:r>
          </w:p>
        </w:tc>
        <w:tc>
          <w:tcPr>
            <w:tcW w:w="2522" w:type="dxa"/>
            <w:tcBorders>
              <w:top w:val="single" w:color="000000" w:sz="10" w:space="0"/>
              <w:right w:val="single" w:color="000000" w:sz="10" w:space="0"/>
            </w:tcBorders>
            <w:vAlign w:val="top"/>
          </w:tcPr>
          <w:p w14:paraId="08F2B955">
            <w:pPr>
              <w:pStyle w:val="6"/>
              <w:spacing w:before="172" w:line="228" w:lineRule="auto"/>
              <w:ind w:left="848"/>
              <w:rPr>
                <w:sz w:val="20"/>
                <w:szCs w:val="20"/>
              </w:rPr>
            </w:pPr>
            <w:r>
              <w:rPr>
                <w:spacing w:val="7"/>
                <w:sz w:val="20"/>
                <w:szCs w:val="20"/>
              </w:rPr>
              <w:t>执行标准</w:t>
            </w:r>
          </w:p>
        </w:tc>
      </w:tr>
      <w:tr w14:paraId="45BE29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2" w:hRule="atLeast"/>
        </w:trPr>
        <w:tc>
          <w:tcPr>
            <w:tcW w:w="1706" w:type="dxa"/>
            <w:vMerge w:val="restart"/>
            <w:tcBorders>
              <w:left w:val="single" w:color="000000" w:sz="10" w:space="0"/>
              <w:bottom w:val="nil"/>
            </w:tcBorders>
            <w:vAlign w:val="top"/>
          </w:tcPr>
          <w:p w14:paraId="28D2AF64">
            <w:pPr>
              <w:spacing w:line="259" w:lineRule="auto"/>
              <w:rPr>
                <w:rFonts w:ascii="Arial"/>
                <w:sz w:val="21"/>
              </w:rPr>
            </w:pPr>
          </w:p>
          <w:p w14:paraId="069B45F9">
            <w:pPr>
              <w:spacing w:line="259" w:lineRule="auto"/>
              <w:rPr>
                <w:rFonts w:ascii="Arial"/>
                <w:sz w:val="21"/>
              </w:rPr>
            </w:pPr>
          </w:p>
          <w:p w14:paraId="20035A20">
            <w:pPr>
              <w:spacing w:line="259" w:lineRule="auto"/>
              <w:rPr>
                <w:rFonts w:ascii="Arial"/>
                <w:sz w:val="21"/>
              </w:rPr>
            </w:pPr>
          </w:p>
          <w:p w14:paraId="37943668">
            <w:pPr>
              <w:spacing w:line="259" w:lineRule="auto"/>
              <w:rPr>
                <w:rFonts w:ascii="Arial"/>
                <w:sz w:val="21"/>
              </w:rPr>
            </w:pPr>
          </w:p>
          <w:p w14:paraId="731485E2">
            <w:pPr>
              <w:spacing w:line="259" w:lineRule="auto"/>
              <w:rPr>
                <w:rFonts w:ascii="Arial"/>
                <w:sz w:val="21"/>
              </w:rPr>
            </w:pPr>
          </w:p>
          <w:p w14:paraId="01F0B12B">
            <w:pPr>
              <w:spacing w:line="259" w:lineRule="auto"/>
              <w:rPr>
                <w:rFonts w:ascii="Arial"/>
                <w:sz w:val="21"/>
              </w:rPr>
            </w:pPr>
          </w:p>
          <w:p w14:paraId="484A811B">
            <w:pPr>
              <w:spacing w:line="259" w:lineRule="auto"/>
              <w:rPr>
                <w:rFonts w:ascii="Arial"/>
                <w:sz w:val="21"/>
              </w:rPr>
            </w:pPr>
          </w:p>
          <w:p w14:paraId="4EA7F8AB">
            <w:pPr>
              <w:spacing w:line="259" w:lineRule="auto"/>
              <w:rPr>
                <w:rFonts w:ascii="Arial"/>
                <w:sz w:val="21"/>
              </w:rPr>
            </w:pPr>
          </w:p>
          <w:p w14:paraId="240381CD">
            <w:pPr>
              <w:spacing w:line="259" w:lineRule="auto"/>
              <w:rPr>
                <w:rFonts w:ascii="Arial"/>
                <w:sz w:val="21"/>
              </w:rPr>
            </w:pPr>
          </w:p>
          <w:p w14:paraId="4F62E418">
            <w:pPr>
              <w:pStyle w:val="6"/>
              <w:spacing w:before="65" w:line="228" w:lineRule="auto"/>
              <w:ind w:left="428"/>
              <w:rPr>
                <w:sz w:val="20"/>
                <w:szCs w:val="20"/>
              </w:rPr>
            </w:pPr>
            <w:r>
              <w:rPr>
                <w:spacing w:val="6"/>
                <w:sz w:val="20"/>
                <w:szCs w:val="20"/>
              </w:rPr>
              <w:t>大气环境</w:t>
            </w:r>
          </w:p>
        </w:tc>
        <w:tc>
          <w:tcPr>
            <w:tcW w:w="1708" w:type="dxa"/>
            <w:vAlign w:val="top"/>
          </w:tcPr>
          <w:p w14:paraId="13F5504A">
            <w:pPr>
              <w:spacing w:line="311" w:lineRule="auto"/>
              <w:rPr>
                <w:rFonts w:ascii="Arial"/>
                <w:sz w:val="21"/>
              </w:rPr>
            </w:pPr>
          </w:p>
          <w:p w14:paraId="1C0AE4D1">
            <w:pPr>
              <w:spacing w:line="311" w:lineRule="auto"/>
              <w:rPr>
                <w:rFonts w:ascii="Arial"/>
                <w:sz w:val="21"/>
              </w:rPr>
            </w:pPr>
          </w:p>
          <w:p w14:paraId="2905BAA9">
            <w:pPr>
              <w:pStyle w:val="6"/>
              <w:spacing w:before="78" w:line="209" w:lineRule="auto"/>
              <w:ind w:left="115"/>
              <w:rPr>
                <w:rFonts w:ascii="Calibri" w:hAnsi="Calibri" w:eastAsia="Calibri" w:cs="Calibri"/>
                <w:sz w:val="20"/>
                <w:szCs w:val="20"/>
              </w:rPr>
            </w:pPr>
            <w:r>
              <w:rPr>
                <w:spacing w:val="-3"/>
                <w:sz w:val="20"/>
                <w:szCs w:val="20"/>
              </w:rPr>
              <w:t>（</w:t>
            </w:r>
            <w:r>
              <w:rPr>
                <w:rFonts w:ascii="Calibri" w:hAnsi="Calibri" w:eastAsia="Calibri" w:cs="Calibri"/>
                <w:spacing w:val="-3"/>
                <w:sz w:val="20"/>
                <w:szCs w:val="20"/>
              </w:rPr>
              <w:t>DA001</w:t>
            </w:r>
            <w:r>
              <w:rPr>
                <w:spacing w:val="-3"/>
                <w:sz w:val="20"/>
                <w:szCs w:val="20"/>
              </w:rPr>
              <w:t>）</w:t>
            </w:r>
            <w:r>
              <w:rPr>
                <w:b/>
                <w:bCs/>
                <w:spacing w:val="-3"/>
              </w:rPr>
              <w:t>、</w:t>
            </w:r>
            <w:r>
              <w:rPr>
                <w:spacing w:val="-3"/>
                <w:sz w:val="20"/>
                <w:szCs w:val="20"/>
              </w:rPr>
              <w:t>（</w:t>
            </w:r>
            <w:r>
              <w:rPr>
                <w:rFonts w:ascii="Calibri" w:hAnsi="Calibri" w:eastAsia="Calibri" w:cs="Calibri"/>
                <w:spacing w:val="-3"/>
                <w:sz w:val="20"/>
                <w:szCs w:val="20"/>
              </w:rPr>
              <w:t>D</w:t>
            </w:r>
          </w:p>
          <w:p w14:paraId="138F1350">
            <w:pPr>
              <w:pStyle w:val="6"/>
              <w:spacing w:before="9"/>
              <w:ind w:left="523"/>
              <w:rPr>
                <w:sz w:val="20"/>
                <w:szCs w:val="20"/>
              </w:rPr>
            </w:pPr>
            <w:r>
              <w:rPr>
                <w:rFonts w:ascii="Calibri" w:hAnsi="Calibri" w:eastAsia="Calibri" w:cs="Calibri"/>
                <w:spacing w:val="3"/>
                <w:sz w:val="20"/>
                <w:szCs w:val="20"/>
              </w:rPr>
              <w:t>A002</w:t>
            </w:r>
            <w:r>
              <w:rPr>
                <w:spacing w:val="3"/>
                <w:sz w:val="20"/>
                <w:szCs w:val="20"/>
              </w:rPr>
              <w:t>）</w:t>
            </w:r>
          </w:p>
        </w:tc>
        <w:tc>
          <w:tcPr>
            <w:tcW w:w="1631" w:type="dxa"/>
            <w:vAlign w:val="top"/>
          </w:tcPr>
          <w:p w14:paraId="63A4B9D7">
            <w:pPr>
              <w:spacing w:line="245" w:lineRule="auto"/>
              <w:rPr>
                <w:rFonts w:ascii="Arial"/>
                <w:sz w:val="21"/>
              </w:rPr>
            </w:pPr>
          </w:p>
          <w:p w14:paraId="3C1B4C1A">
            <w:pPr>
              <w:spacing w:line="245" w:lineRule="auto"/>
              <w:rPr>
                <w:rFonts w:ascii="Arial"/>
                <w:sz w:val="21"/>
              </w:rPr>
            </w:pPr>
          </w:p>
          <w:p w14:paraId="22A60E44">
            <w:pPr>
              <w:pStyle w:val="6"/>
              <w:spacing w:before="65" w:line="228" w:lineRule="auto"/>
              <w:ind w:left="400"/>
              <w:rPr>
                <w:sz w:val="20"/>
                <w:szCs w:val="20"/>
              </w:rPr>
            </w:pPr>
            <w:r>
              <w:rPr>
                <w:spacing w:val="5"/>
                <w:sz w:val="20"/>
                <w:szCs w:val="20"/>
              </w:rPr>
              <w:t>颗粒物、</w:t>
            </w:r>
          </w:p>
          <w:p w14:paraId="6D783AEF">
            <w:pPr>
              <w:pStyle w:val="6"/>
              <w:spacing w:before="24" w:line="228" w:lineRule="auto"/>
              <w:ind w:left="114"/>
              <w:rPr>
                <w:sz w:val="20"/>
                <w:szCs w:val="20"/>
              </w:rPr>
            </w:pPr>
            <w:r>
              <w:rPr>
                <w:spacing w:val="1"/>
                <w:sz w:val="20"/>
                <w:szCs w:val="20"/>
              </w:rPr>
              <w:t>非甲烷总烃、硫</w:t>
            </w:r>
          </w:p>
          <w:p w14:paraId="24C74606">
            <w:pPr>
              <w:pStyle w:val="6"/>
              <w:spacing w:before="26" w:line="229" w:lineRule="auto"/>
              <w:ind w:left="610"/>
              <w:rPr>
                <w:sz w:val="20"/>
                <w:szCs w:val="20"/>
              </w:rPr>
            </w:pPr>
            <w:r>
              <w:rPr>
                <w:spacing w:val="4"/>
                <w:sz w:val="20"/>
                <w:szCs w:val="20"/>
              </w:rPr>
              <w:t>酸雾</w:t>
            </w:r>
          </w:p>
        </w:tc>
        <w:tc>
          <w:tcPr>
            <w:tcW w:w="1795" w:type="dxa"/>
            <w:vMerge w:val="restart"/>
            <w:tcBorders>
              <w:bottom w:val="nil"/>
            </w:tcBorders>
            <w:vAlign w:val="top"/>
          </w:tcPr>
          <w:p w14:paraId="435D7EB5">
            <w:pPr>
              <w:pStyle w:val="6"/>
              <w:spacing w:before="229" w:line="250" w:lineRule="auto"/>
              <w:ind w:left="112" w:right="38" w:firstLine="59"/>
              <w:jc w:val="both"/>
              <w:rPr>
                <w:sz w:val="20"/>
                <w:szCs w:val="20"/>
              </w:rPr>
            </w:pPr>
            <w:r>
              <w:rPr>
                <w:spacing w:val="8"/>
                <w:sz w:val="20"/>
                <w:szCs w:val="20"/>
              </w:rPr>
              <w:t>拆解区切割工段</w:t>
            </w:r>
            <w:r>
              <w:rPr>
                <w:spacing w:val="1"/>
                <w:sz w:val="20"/>
                <w:szCs w:val="20"/>
              </w:rPr>
              <w:t xml:space="preserve">  </w:t>
            </w:r>
            <w:r>
              <w:rPr>
                <w:spacing w:val="-4"/>
                <w:sz w:val="20"/>
                <w:szCs w:val="20"/>
              </w:rPr>
              <w:t>设置集气罩，收集</w:t>
            </w:r>
            <w:r>
              <w:rPr>
                <w:spacing w:val="6"/>
                <w:sz w:val="20"/>
                <w:szCs w:val="20"/>
              </w:rPr>
              <w:t xml:space="preserve"> </w:t>
            </w:r>
            <w:r>
              <w:rPr>
                <w:spacing w:val="8"/>
                <w:sz w:val="20"/>
                <w:szCs w:val="20"/>
              </w:rPr>
              <w:t>的废气经</w:t>
            </w:r>
            <w:r>
              <w:rPr>
                <w:rFonts w:ascii="Calibri" w:hAnsi="Calibri" w:eastAsia="Calibri" w:cs="Calibri"/>
                <w:spacing w:val="8"/>
                <w:sz w:val="20"/>
                <w:szCs w:val="20"/>
              </w:rPr>
              <w:t>1</w:t>
            </w:r>
            <w:r>
              <w:rPr>
                <w:spacing w:val="8"/>
                <w:sz w:val="20"/>
                <w:szCs w:val="20"/>
              </w:rPr>
              <w:t>套布袋</w:t>
            </w:r>
            <w:r>
              <w:rPr>
                <w:spacing w:val="6"/>
                <w:sz w:val="20"/>
                <w:szCs w:val="20"/>
              </w:rPr>
              <w:t xml:space="preserve"> </w:t>
            </w:r>
            <w:r>
              <w:rPr>
                <w:spacing w:val="9"/>
                <w:sz w:val="20"/>
                <w:szCs w:val="20"/>
              </w:rPr>
              <w:t>除尘器处理后由</w:t>
            </w:r>
            <w:r>
              <w:rPr>
                <w:rFonts w:ascii="Calibri" w:hAnsi="Calibri" w:eastAsia="Calibri" w:cs="Calibri"/>
                <w:spacing w:val="9"/>
                <w:sz w:val="20"/>
                <w:szCs w:val="20"/>
              </w:rPr>
              <w:t>1</w:t>
            </w:r>
            <w:r>
              <w:rPr>
                <w:rFonts w:ascii="Calibri" w:hAnsi="Calibri" w:eastAsia="Calibri" w:cs="Calibri"/>
                <w:sz w:val="20"/>
                <w:szCs w:val="20"/>
              </w:rPr>
              <w:t xml:space="preserve">  </w:t>
            </w:r>
            <w:r>
              <w:rPr>
                <w:rFonts w:ascii="Calibri" w:hAnsi="Calibri" w:eastAsia="Calibri" w:cs="Calibri"/>
                <w:spacing w:val="11"/>
                <w:sz w:val="20"/>
                <w:szCs w:val="20"/>
              </w:rPr>
              <w:t>5m</w:t>
            </w:r>
            <w:r>
              <w:rPr>
                <w:spacing w:val="11"/>
                <w:sz w:val="20"/>
                <w:szCs w:val="20"/>
              </w:rPr>
              <w:t>高排气筒排放</w:t>
            </w:r>
            <w:r>
              <w:rPr>
                <w:sz w:val="20"/>
                <w:szCs w:val="20"/>
              </w:rPr>
              <w:t xml:space="preserve">  </w:t>
            </w:r>
            <w:r>
              <w:rPr>
                <w:spacing w:val="6"/>
                <w:sz w:val="20"/>
                <w:szCs w:val="20"/>
              </w:rPr>
              <w:t>（</w:t>
            </w:r>
            <w:r>
              <w:rPr>
                <w:rFonts w:ascii="Calibri" w:hAnsi="Calibri" w:eastAsia="Calibri" w:cs="Calibri"/>
                <w:sz w:val="20"/>
                <w:szCs w:val="20"/>
              </w:rPr>
              <w:t>DA</w:t>
            </w:r>
            <w:r>
              <w:rPr>
                <w:rFonts w:ascii="Calibri" w:hAnsi="Calibri" w:eastAsia="Calibri" w:cs="Calibri"/>
                <w:spacing w:val="6"/>
                <w:sz w:val="20"/>
                <w:szCs w:val="20"/>
              </w:rPr>
              <w:t>001</w:t>
            </w:r>
            <w:r>
              <w:rPr>
                <w:spacing w:val="-3"/>
                <w:sz w:val="20"/>
                <w:szCs w:val="20"/>
              </w:rPr>
              <w:t>）；</w:t>
            </w:r>
            <w:r>
              <w:rPr>
                <w:spacing w:val="6"/>
                <w:sz w:val="20"/>
                <w:szCs w:val="20"/>
              </w:rPr>
              <w:t>抽油</w:t>
            </w:r>
            <w:r>
              <w:rPr>
                <w:spacing w:val="1"/>
                <w:sz w:val="20"/>
                <w:szCs w:val="20"/>
              </w:rPr>
              <w:t xml:space="preserve"> </w:t>
            </w:r>
            <w:r>
              <w:rPr>
                <w:spacing w:val="17"/>
                <w:sz w:val="20"/>
                <w:szCs w:val="20"/>
              </w:rPr>
              <w:t>液工段与危险废</w:t>
            </w:r>
            <w:r>
              <w:rPr>
                <w:sz w:val="20"/>
                <w:szCs w:val="20"/>
              </w:rPr>
              <w:t xml:space="preserve">  </w:t>
            </w:r>
            <w:r>
              <w:rPr>
                <w:spacing w:val="-3"/>
                <w:sz w:val="20"/>
                <w:szCs w:val="20"/>
              </w:rPr>
              <w:t>物贮存库（</w:t>
            </w:r>
            <w:r>
              <w:rPr>
                <w:rFonts w:ascii="Calibri" w:hAnsi="Calibri" w:eastAsia="Calibri" w:cs="Calibri"/>
                <w:spacing w:val="-3"/>
                <w:sz w:val="20"/>
                <w:szCs w:val="20"/>
              </w:rPr>
              <w:t>1#</w:t>
            </w:r>
            <w:r>
              <w:rPr>
                <w:spacing w:val="-3"/>
                <w:sz w:val="20"/>
                <w:szCs w:val="20"/>
              </w:rPr>
              <w:t>其他</w:t>
            </w:r>
            <w:r>
              <w:rPr>
                <w:sz w:val="20"/>
                <w:szCs w:val="20"/>
              </w:rPr>
              <w:t xml:space="preserve"> </w:t>
            </w:r>
            <w:r>
              <w:rPr>
                <w:spacing w:val="4"/>
                <w:sz w:val="20"/>
                <w:szCs w:val="20"/>
              </w:rPr>
              <w:t>危险废物暂存区、</w:t>
            </w:r>
            <w:r>
              <w:rPr>
                <w:spacing w:val="5"/>
                <w:sz w:val="20"/>
                <w:szCs w:val="20"/>
              </w:rPr>
              <w:t xml:space="preserve"> </w:t>
            </w:r>
            <w:r>
              <w:rPr>
                <w:rFonts w:ascii="Calibri" w:hAnsi="Calibri" w:eastAsia="Calibri" w:cs="Calibri"/>
                <w:spacing w:val="14"/>
                <w:sz w:val="20"/>
                <w:szCs w:val="20"/>
              </w:rPr>
              <w:t>2#</w:t>
            </w:r>
            <w:r>
              <w:rPr>
                <w:spacing w:val="14"/>
                <w:sz w:val="20"/>
                <w:szCs w:val="20"/>
              </w:rPr>
              <w:t>废蓄电池暂存</w:t>
            </w:r>
            <w:r>
              <w:rPr>
                <w:spacing w:val="3"/>
                <w:sz w:val="20"/>
                <w:szCs w:val="20"/>
              </w:rPr>
              <w:t xml:space="preserve">  </w:t>
            </w:r>
            <w:r>
              <w:rPr>
                <w:spacing w:val="-3"/>
                <w:sz w:val="20"/>
                <w:szCs w:val="20"/>
              </w:rPr>
              <w:t>区、</w:t>
            </w:r>
            <w:r>
              <w:rPr>
                <w:rFonts w:ascii="Calibri" w:hAnsi="Calibri" w:eastAsia="Calibri" w:cs="Calibri"/>
                <w:spacing w:val="-3"/>
                <w:sz w:val="20"/>
                <w:szCs w:val="20"/>
              </w:rPr>
              <w:t>3#</w:t>
            </w:r>
            <w:r>
              <w:rPr>
                <w:spacing w:val="-3"/>
                <w:sz w:val="20"/>
                <w:szCs w:val="20"/>
              </w:rPr>
              <w:t>废矿物油暂</w:t>
            </w:r>
            <w:r>
              <w:rPr>
                <w:spacing w:val="2"/>
                <w:sz w:val="20"/>
                <w:szCs w:val="20"/>
              </w:rPr>
              <w:t xml:space="preserve"> </w:t>
            </w:r>
            <w:r>
              <w:rPr>
                <w:spacing w:val="8"/>
                <w:sz w:val="20"/>
                <w:szCs w:val="20"/>
              </w:rPr>
              <w:t>存区）共用</w:t>
            </w:r>
            <w:r>
              <w:rPr>
                <w:rFonts w:ascii="Calibri" w:hAnsi="Calibri" w:eastAsia="Calibri" w:cs="Calibri"/>
                <w:spacing w:val="8"/>
                <w:sz w:val="20"/>
                <w:szCs w:val="20"/>
              </w:rPr>
              <w:t>1</w:t>
            </w:r>
            <w:r>
              <w:rPr>
                <w:spacing w:val="8"/>
                <w:sz w:val="20"/>
                <w:szCs w:val="20"/>
              </w:rPr>
              <w:t>套设</w:t>
            </w:r>
            <w:r>
              <w:rPr>
                <w:spacing w:val="6"/>
                <w:sz w:val="20"/>
                <w:szCs w:val="20"/>
              </w:rPr>
              <w:t xml:space="preserve"> </w:t>
            </w:r>
            <w:r>
              <w:rPr>
                <w:spacing w:val="-4"/>
                <w:sz w:val="20"/>
                <w:szCs w:val="20"/>
              </w:rPr>
              <w:t>置集气装置，收集</w:t>
            </w:r>
            <w:r>
              <w:rPr>
                <w:spacing w:val="6"/>
                <w:sz w:val="20"/>
                <w:szCs w:val="20"/>
              </w:rPr>
              <w:t xml:space="preserve"> </w:t>
            </w:r>
            <w:r>
              <w:rPr>
                <w:spacing w:val="8"/>
                <w:sz w:val="20"/>
                <w:szCs w:val="20"/>
              </w:rPr>
              <w:t>的废气经</w:t>
            </w:r>
            <w:r>
              <w:rPr>
                <w:rFonts w:ascii="Calibri" w:hAnsi="Calibri" w:eastAsia="Calibri" w:cs="Calibri"/>
                <w:spacing w:val="8"/>
                <w:sz w:val="20"/>
                <w:szCs w:val="20"/>
              </w:rPr>
              <w:t>1</w:t>
            </w:r>
            <w:r>
              <w:rPr>
                <w:spacing w:val="8"/>
                <w:sz w:val="20"/>
                <w:szCs w:val="20"/>
              </w:rPr>
              <w:t>套活性</w:t>
            </w:r>
            <w:r>
              <w:rPr>
                <w:spacing w:val="6"/>
                <w:sz w:val="20"/>
                <w:szCs w:val="20"/>
              </w:rPr>
              <w:t xml:space="preserve"> </w:t>
            </w:r>
            <w:r>
              <w:rPr>
                <w:spacing w:val="17"/>
                <w:sz w:val="20"/>
                <w:szCs w:val="20"/>
              </w:rPr>
              <w:t>碳吸附装置处理</w:t>
            </w:r>
            <w:r>
              <w:rPr>
                <w:sz w:val="20"/>
                <w:szCs w:val="20"/>
              </w:rPr>
              <w:t xml:space="preserve">  </w:t>
            </w:r>
            <w:r>
              <w:rPr>
                <w:spacing w:val="17"/>
                <w:sz w:val="20"/>
                <w:szCs w:val="20"/>
              </w:rPr>
              <w:t>后由</w:t>
            </w:r>
            <w:r>
              <w:rPr>
                <w:rFonts w:ascii="Calibri" w:hAnsi="Calibri" w:eastAsia="Calibri" w:cs="Calibri"/>
                <w:spacing w:val="17"/>
                <w:sz w:val="20"/>
                <w:szCs w:val="20"/>
              </w:rPr>
              <w:t>15m</w:t>
            </w:r>
            <w:r>
              <w:rPr>
                <w:spacing w:val="17"/>
                <w:sz w:val="20"/>
                <w:szCs w:val="20"/>
              </w:rPr>
              <w:t>高排气</w:t>
            </w:r>
            <w:r>
              <w:rPr>
                <w:sz w:val="20"/>
                <w:szCs w:val="20"/>
              </w:rPr>
              <w:t xml:space="preserve">  </w:t>
            </w:r>
            <w:r>
              <w:rPr>
                <w:spacing w:val="6"/>
                <w:sz w:val="20"/>
                <w:szCs w:val="20"/>
              </w:rPr>
              <w:t>筒排放（</w:t>
            </w:r>
            <w:r>
              <w:rPr>
                <w:rFonts w:ascii="Calibri" w:hAnsi="Calibri" w:eastAsia="Calibri" w:cs="Calibri"/>
                <w:sz w:val="20"/>
                <w:szCs w:val="20"/>
              </w:rPr>
              <w:t>DA</w:t>
            </w:r>
            <w:r>
              <w:rPr>
                <w:rFonts w:ascii="Calibri" w:hAnsi="Calibri" w:eastAsia="Calibri" w:cs="Calibri"/>
                <w:spacing w:val="6"/>
                <w:sz w:val="20"/>
                <w:szCs w:val="20"/>
              </w:rPr>
              <w:t>002</w:t>
            </w:r>
            <w:r>
              <w:rPr>
                <w:spacing w:val="6"/>
                <w:sz w:val="20"/>
                <w:szCs w:val="20"/>
              </w:rPr>
              <w:t>）</w:t>
            </w:r>
          </w:p>
        </w:tc>
        <w:tc>
          <w:tcPr>
            <w:tcW w:w="2522" w:type="dxa"/>
            <w:tcBorders>
              <w:right w:val="single" w:color="000000" w:sz="10" w:space="0"/>
            </w:tcBorders>
            <w:vAlign w:val="top"/>
          </w:tcPr>
          <w:p w14:paraId="6D5E41BF">
            <w:pPr>
              <w:spacing w:line="353" w:lineRule="auto"/>
              <w:rPr>
                <w:rFonts w:ascii="Arial"/>
                <w:sz w:val="21"/>
              </w:rPr>
            </w:pPr>
          </w:p>
          <w:p w14:paraId="6581B96B">
            <w:pPr>
              <w:pStyle w:val="6"/>
              <w:spacing w:before="65" w:line="228" w:lineRule="auto"/>
              <w:ind w:left="119"/>
              <w:rPr>
                <w:sz w:val="20"/>
                <w:szCs w:val="20"/>
              </w:rPr>
            </w:pPr>
            <w:r>
              <w:rPr>
                <w:spacing w:val="8"/>
                <w:sz w:val="20"/>
                <w:szCs w:val="20"/>
              </w:rPr>
              <w:t>满足《大气污染物综合排</w:t>
            </w:r>
          </w:p>
          <w:p w14:paraId="1070A5FC">
            <w:pPr>
              <w:pStyle w:val="6"/>
              <w:spacing w:before="27" w:line="220" w:lineRule="auto"/>
              <w:ind w:left="150"/>
              <w:rPr>
                <w:rFonts w:ascii="Calibri" w:hAnsi="Calibri" w:eastAsia="Calibri" w:cs="Calibri"/>
                <w:sz w:val="20"/>
                <w:szCs w:val="20"/>
              </w:rPr>
            </w:pPr>
            <w:r>
              <w:rPr>
                <w:spacing w:val="6"/>
                <w:sz w:val="20"/>
                <w:szCs w:val="20"/>
              </w:rPr>
              <w:t>放标准》</w:t>
            </w:r>
            <w:r>
              <w:rPr>
                <w:rFonts w:ascii="Calibri" w:hAnsi="Calibri" w:eastAsia="Calibri" w:cs="Calibri"/>
                <w:spacing w:val="6"/>
                <w:sz w:val="20"/>
                <w:szCs w:val="20"/>
              </w:rPr>
              <w:t>(</w:t>
            </w:r>
            <w:r>
              <w:rPr>
                <w:rFonts w:ascii="Calibri" w:hAnsi="Calibri" w:eastAsia="Calibri" w:cs="Calibri"/>
                <w:sz w:val="20"/>
                <w:szCs w:val="20"/>
              </w:rPr>
              <w:t>GB</w:t>
            </w:r>
            <w:r>
              <w:rPr>
                <w:rFonts w:ascii="Calibri" w:hAnsi="Calibri" w:eastAsia="Calibri" w:cs="Calibri"/>
                <w:spacing w:val="6"/>
                <w:sz w:val="20"/>
                <w:szCs w:val="20"/>
              </w:rPr>
              <w:t>16297-1996)</w:t>
            </w:r>
          </w:p>
          <w:p w14:paraId="7DF549BB">
            <w:pPr>
              <w:pStyle w:val="6"/>
              <w:spacing w:before="31" w:line="228" w:lineRule="auto"/>
              <w:ind w:left="185"/>
              <w:rPr>
                <w:sz w:val="20"/>
                <w:szCs w:val="20"/>
              </w:rPr>
            </w:pPr>
            <w:r>
              <w:rPr>
                <w:spacing w:val="7"/>
                <w:sz w:val="20"/>
                <w:szCs w:val="20"/>
              </w:rPr>
              <w:t>表</w:t>
            </w:r>
            <w:r>
              <w:rPr>
                <w:rFonts w:ascii="Calibri" w:hAnsi="Calibri" w:eastAsia="Calibri" w:cs="Calibri"/>
                <w:spacing w:val="7"/>
                <w:sz w:val="20"/>
                <w:szCs w:val="20"/>
              </w:rPr>
              <w:t>2</w:t>
            </w:r>
            <w:r>
              <w:rPr>
                <w:spacing w:val="7"/>
                <w:sz w:val="20"/>
                <w:szCs w:val="20"/>
              </w:rPr>
              <w:t>中新污染源</w:t>
            </w:r>
            <w:r>
              <w:rPr>
                <w:rFonts w:ascii="Calibri" w:hAnsi="Calibri" w:eastAsia="Calibri" w:cs="Calibri"/>
                <w:spacing w:val="7"/>
                <w:sz w:val="20"/>
                <w:szCs w:val="20"/>
              </w:rPr>
              <w:t>15m</w:t>
            </w:r>
            <w:r>
              <w:rPr>
                <w:spacing w:val="7"/>
                <w:sz w:val="20"/>
                <w:szCs w:val="20"/>
              </w:rPr>
              <w:t>高排</w:t>
            </w:r>
          </w:p>
          <w:p w14:paraId="4719DEFC">
            <w:pPr>
              <w:pStyle w:val="6"/>
              <w:spacing w:before="26" w:line="228" w:lineRule="auto"/>
              <w:ind w:left="640"/>
              <w:rPr>
                <w:sz w:val="20"/>
                <w:szCs w:val="20"/>
              </w:rPr>
            </w:pPr>
            <w:r>
              <w:rPr>
                <w:spacing w:val="8"/>
                <w:sz w:val="20"/>
                <w:szCs w:val="20"/>
              </w:rPr>
              <w:t>气筒排放限值</w:t>
            </w:r>
          </w:p>
        </w:tc>
      </w:tr>
      <w:tr w14:paraId="31AB83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0" w:hRule="atLeast"/>
        </w:trPr>
        <w:tc>
          <w:tcPr>
            <w:tcW w:w="1706" w:type="dxa"/>
            <w:vMerge w:val="continue"/>
            <w:tcBorders>
              <w:top w:val="nil"/>
              <w:left w:val="single" w:color="000000" w:sz="10" w:space="0"/>
              <w:bottom w:val="nil"/>
            </w:tcBorders>
            <w:vAlign w:val="top"/>
          </w:tcPr>
          <w:p w14:paraId="0FEA1F9D">
            <w:pPr>
              <w:rPr>
                <w:rFonts w:ascii="Arial"/>
                <w:sz w:val="21"/>
              </w:rPr>
            </w:pPr>
          </w:p>
        </w:tc>
        <w:tc>
          <w:tcPr>
            <w:tcW w:w="1708" w:type="dxa"/>
            <w:vAlign w:val="top"/>
          </w:tcPr>
          <w:p w14:paraId="6E678145">
            <w:pPr>
              <w:spacing w:line="284" w:lineRule="auto"/>
              <w:rPr>
                <w:rFonts w:ascii="Arial"/>
                <w:sz w:val="21"/>
              </w:rPr>
            </w:pPr>
          </w:p>
          <w:p w14:paraId="4AFE35ED">
            <w:pPr>
              <w:spacing w:line="285" w:lineRule="auto"/>
              <w:rPr>
                <w:rFonts w:ascii="Arial"/>
                <w:sz w:val="21"/>
              </w:rPr>
            </w:pPr>
          </w:p>
          <w:p w14:paraId="776C03BB">
            <w:pPr>
              <w:spacing w:line="285" w:lineRule="auto"/>
              <w:rPr>
                <w:rFonts w:ascii="Arial"/>
                <w:sz w:val="21"/>
              </w:rPr>
            </w:pPr>
          </w:p>
          <w:p w14:paraId="1DF4CFCE">
            <w:pPr>
              <w:pStyle w:val="6"/>
              <w:spacing w:before="65" w:line="228" w:lineRule="auto"/>
              <w:ind w:left="645"/>
              <w:rPr>
                <w:sz w:val="20"/>
                <w:szCs w:val="20"/>
              </w:rPr>
            </w:pPr>
            <w:r>
              <w:rPr>
                <w:spacing w:val="3"/>
                <w:sz w:val="20"/>
                <w:szCs w:val="20"/>
              </w:rPr>
              <w:t>厂界</w:t>
            </w:r>
          </w:p>
        </w:tc>
        <w:tc>
          <w:tcPr>
            <w:tcW w:w="1631" w:type="dxa"/>
            <w:vAlign w:val="top"/>
          </w:tcPr>
          <w:p w14:paraId="60F36920">
            <w:pPr>
              <w:spacing w:line="291" w:lineRule="auto"/>
              <w:rPr>
                <w:rFonts w:ascii="Arial"/>
                <w:sz w:val="21"/>
              </w:rPr>
            </w:pPr>
          </w:p>
          <w:p w14:paraId="1960DAB0">
            <w:pPr>
              <w:spacing w:line="291" w:lineRule="auto"/>
              <w:rPr>
                <w:rFonts w:ascii="Arial"/>
                <w:sz w:val="21"/>
              </w:rPr>
            </w:pPr>
          </w:p>
          <w:p w14:paraId="7688E446">
            <w:pPr>
              <w:pStyle w:val="6"/>
              <w:spacing w:before="65" w:line="228" w:lineRule="auto"/>
              <w:ind w:left="400"/>
              <w:rPr>
                <w:sz w:val="20"/>
                <w:szCs w:val="20"/>
              </w:rPr>
            </w:pPr>
            <w:r>
              <w:rPr>
                <w:spacing w:val="5"/>
                <w:sz w:val="20"/>
                <w:szCs w:val="20"/>
              </w:rPr>
              <w:t>颗粒物、</w:t>
            </w:r>
          </w:p>
          <w:p w14:paraId="640E6762">
            <w:pPr>
              <w:pStyle w:val="6"/>
              <w:spacing w:before="24" w:line="228" w:lineRule="auto"/>
              <w:ind w:left="114"/>
              <w:rPr>
                <w:sz w:val="20"/>
                <w:szCs w:val="20"/>
              </w:rPr>
            </w:pPr>
            <w:r>
              <w:rPr>
                <w:spacing w:val="1"/>
                <w:sz w:val="20"/>
                <w:szCs w:val="20"/>
              </w:rPr>
              <w:t>非甲烷总烃、硫</w:t>
            </w:r>
          </w:p>
          <w:p w14:paraId="0F899847">
            <w:pPr>
              <w:pStyle w:val="6"/>
              <w:spacing w:before="26" w:line="229" w:lineRule="auto"/>
              <w:ind w:left="610"/>
              <w:rPr>
                <w:sz w:val="20"/>
                <w:szCs w:val="20"/>
              </w:rPr>
            </w:pPr>
            <w:r>
              <w:rPr>
                <w:spacing w:val="4"/>
                <w:sz w:val="20"/>
                <w:szCs w:val="20"/>
              </w:rPr>
              <w:t>酸雾</w:t>
            </w:r>
          </w:p>
        </w:tc>
        <w:tc>
          <w:tcPr>
            <w:tcW w:w="1795" w:type="dxa"/>
            <w:vMerge w:val="continue"/>
            <w:tcBorders>
              <w:top w:val="nil"/>
              <w:bottom w:val="nil"/>
            </w:tcBorders>
            <w:vAlign w:val="top"/>
          </w:tcPr>
          <w:p w14:paraId="631321F3">
            <w:pPr>
              <w:rPr>
                <w:rFonts w:ascii="Arial"/>
                <w:sz w:val="21"/>
              </w:rPr>
            </w:pPr>
          </w:p>
        </w:tc>
        <w:tc>
          <w:tcPr>
            <w:tcW w:w="2522" w:type="dxa"/>
            <w:tcBorders>
              <w:right w:val="single" w:color="000000" w:sz="10" w:space="0"/>
            </w:tcBorders>
            <w:vAlign w:val="top"/>
          </w:tcPr>
          <w:p w14:paraId="66F9CAEB">
            <w:pPr>
              <w:spacing w:line="446" w:lineRule="auto"/>
              <w:rPr>
                <w:rFonts w:ascii="Arial"/>
                <w:sz w:val="21"/>
              </w:rPr>
            </w:pPr>
          </w:p>
          <w:p w14:paraId="0F889D32">
            <w:pPr>
              <w:pStyle w:val="6"/>
              <w:spacing w:before="65" w:line="228" w:lineRule="auto"/>
              <w:ind w:left="119"/>
              <w:rPr>
                <w:sz w:val="20"/>
                <w:szCs w:val="20"/>
              </w:rPr>
            </w:pPr>
            <w:r>
              <w:rPr>
                <w:spacing w:val="8"/>
                <w:sz w:val="20"/>
                <w:szCs w:val="20"/>
              </w:rPr>
              <w:t>满足《大气污染物综合排</w:t>
            </w:r>
          </w:p>
          <w:p w14:paraId="1623ED02">
            <w:pPr>
              <w:pStyle w:val="6"/>
              <w:spacing w:before="27" w:line="228" w:lineRule="auto"/>
              <w:ind w:left="143"/>
              <w:rPr>
                <w:rFonts w:ascii="Times New Roman" w:hAnsi="Times New Roman" w:eastAsia="Times New Roman" w:cs="Times New Roman"/>
                <w:sz w:val="20"/>
                <w:szCs w:val="20"/>
              </w:rPr>
            </w:pPr>
            <w:r>
              <w:rPr>
                <w:spacing w:val="7"/>
                <w:sz w:val="20"/>
                <w:szCs w:val="20"/>
              </w:rPr>
              <w:t>放标准》（</w:t>
            </w:r>
            <w:r>
              <w:rPr>
                <w:rFonts w:ascii="Times New Roman" w:hAnsi="Times New Roman" w:eastAsia="Times New Roman" w:cs="Times New Roman"/>
                <w:sz w:val="20"/>
                <w:szCs w:val="20"/>
              </w:rPr>
              <w:t>GB</w:t>
            </w:r>
            <w:r>
              <w:rPr>
                <w:rFonts w:ascii="Times New Roman" w:hAnsi="Times New Roman" w:eastAsia="Times New Roman" w:cs="Times New Roman"/>
                <w:spacing w:val="7"/>
                <w:sz w:val="20"/>
                <w:szCs w:val="20"/>
              </w:rPr>
              <w:t>16297-199</w:t>
            </w:r>
          </w:p>
          <w:p w14:paraId="396F3725">
            <w:pPr>
              <w:pStyle w:val="6"/>
              <w:spacing w:before="24" w:line="228" w:lineRule="auto"/>
              <w:ind w:left="168"/>
              <w:rPr>
                <w:sz w:val="20"/>
                <w:szCs w:val="20"/>
              </w:rPr>
            </w:pPr>
            <w:r>
              <w:rPr>
                <w:rFonts w:ascii="Times New Roman" w:hAnsi="Times New Roman" w:eastAsia="Times New Roman" w:cs="Times New Roman"/>
                <w:spacing w:val="4"/>
                <w:sz w:val="20"/>
                <w:szCs w:val="20"/>
              </w:rPr>
              <w:t>6</w:t>
            </w:r>
            <w:r>
              <w:rPr>
                <w:spacing w:val="4"/>
                <w:sz w:val="20"/>
                <w:szCs w:val="20"/>
              </w:rPr>
              <w:t>）表</w:t>
            </w:r>
            <w:r>
              <w:rPr>
                <w:spacing w:val="-33"/>
                <w:sz w:val="20"/>
                <w:szCs w:val="20"/>
              </w:rPr>
              <w:t xml:space="preserve"> </w:t>
            </w:r>
            <w:r>
              <w:rPr>
                <w:rFonts w:ascii="Times New Roman" w:hAnsi="Times New Roman" w:eastAsia="Times New Roman" w:cs="Times New Roman"/>
                <w:spacing w:val="4"/>
                <w:sz w:val="20"/>
                <w:szCs w:val="20"/>
              </w:rPr>
              <w:t>2</w:t>
            </w:r>
            <w:r>
              <w:rPr>
                <w:rFonts w:ascii="Times New Roman" w:hAnsi="Times New Roman" w:eastAsia="Times New Roman" w:cs="Times New Roman"/>
                <w:spacing w:val="32"/>
                <w:sz w:val="20"/>
                <w:szCs w:val="20"/>
              </w:rPr>
              <w:t xml:space="preserve"> </w:t>
            </w:r>
            <w:r>
              <w:rPr>
                <w:spacing w:val="4"/>
                <w:sz w:val="20"/>
                <w:szCs w:val="20"/>
              </w:rPr>
              <w:t>中无组织排放监</w:t>
            </w:r>
          </w:p>
          <w:p w14:paraId="22BC674F">
            <w:pPr>
              <w:pStyle w:val="6"/>
              <w:spacing w:before="25" w:line="228" w:lineRule="auto"/>
              <w:ind w:left="742"/>
              <w:rPr>
                <w:sz w:val="20"/>
                <w:szCs w:val="20"/>
              </w:rPr>
            </w:pPr>
            <w:r>
              <w:rPr>
                <w:spacing w:val="8"/>
                <w:sz w:val="20"/>
                <w:szCs w:val="20"/>
              </w:rPr>
              <w:t>控浓度限值</w:t>
            </w:r>
          </w:p>
        </w:tc>
      </w:tr>
      <w:tr w14:paraId="546D093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2" w:hRule="atLeast"/>
        </w:trPr>
        <w:tc>
          <w:tcPr>
            <w:tcW w:w="1706" w:type="dxa"/>
            <w:vMerge w:val="continue"/>
            <w:tcBorders>
              <w:top w:val="nil"/>
              <w:left w:val="single" w:color="000000" w:sz="10" w:space="0"/>
            </w:tcBorders>
            <w:vAlign w:val="top"/>
          </w:tcPr>
          <w:p w14:paraId="792BC987">
            <w:pPr>
              <w:rPr>
                <w:rFonts w:ascii="Arial"/>
                <w:sz w:val="21"/>
              </w:rPr>
            </w:pPr>
          </w:p>
        </w:tc>
        <w:tc>
          <w:tcPr>
            <w:tcW w:w="1708" w:type="dxa"/>
            <w:vAlign w:val="top"/>
          </w:tcPr>
          <w:p w14:paraId="578D4B47">
            <w:pPr>
              <w:spacing w:line="381" w:lineRule="auto"/>
              <w:rPr>
                <w:rFonts w:ascii="Arial"/>
                <w:sz w:val="21"/>
              </w:rPr>
            </w:pPr>
          </w:p>
          <w:p w14:paraId="72F2C298">
            <w:pPr>
              <w:pStyle w:val="6"/>
              <w:spacing w:before="65" w:line="228" w:lineRule="auto"/>
              <w:ind w:left="328"/>
              <w:rPr>
                <w:sz w:val="20"/>
                <w:szCs w:val="20"/>
              </w:rPr>
            </w:pPr>
            <w:r>
              <w:rPr>
                <w:spacing w:val="8"/>
                <w:sz w:val="20"/>
                <w:szCs w:val="20"/>
              </w:rPr>
              <w:t>拆解车间外</w:t>
            </w:r>
          </w:p>
        </w:tc>
        <w:tc>
          <w:tcPr>
            <w:tcW w:w="1631" w:type="dxa"/>
            <w:vAlign w:val="top"/>
          </w:tcPr>
          <w:p w14:paraId="515EB6DF">
            <w:pPr>
              <w:spacing w:line="381" w:lineRule="auto"/>
              <w:rPr>
                <w:rFonts w:ascii="Arial"/>
                <w:sz w:val="21"/>
              </w:rPr>
            </w:pPr>
          </w:p>
          <w:p w14:paraId="72D5F7DA">
            <w:pPr>
              <w:pStyle w:val="6"/>
              <w:spacing w:before="65" w:line="228" w:lineRule="auto"/>
              <w:ind w:left="299"/>
              <w:rPr>
                <w:sz w:val="20"/>
                <w:szCs w:val="20"/>
              </w:rPr>
            </w:pPr>
            <w:r>
              <w:rPr>
                <w:spacing w:val="7"/>
                <w:sz w:val="20"/>
                <w:szCs w:val="20"/>
              </w:rPr>
              <w:t>非甲烷总烃</w:t>
            </w:r>
          </w:p>
        </w:tc>
        <w:tc>
          <w:tcPr>
            <w:tcW w:w="1795" w:type="dxa"/>
            <w:vMerge w:val="continue"/>
            <w:tcBorders>
              <w:top w:val="nil"/>
            </w:tcBorders>
            <w:vAlign w:val="top"/>
          </w:tcPr>
          <w:p w14:paraId="04082C57">
            <w:pPr>
              <w:rPr>
                <w:rFonts w:ascii="Arial"/>
                <w:sz w:val="21"/>
              </w:rPr>
            </w:pPr>
          </w:p>
        </w:tc>
        <w:tc>
          <w:tcPr>
            <w:tcW w:w="2522" w:type="dxa"/>
            <w:tcBorders>
              <w:right w:val="single" w:color="000000" w:sz="10" w:space="0"/>
            </w:tcBorders>
            <w:vAlign w:val="top"/>
          </w:tcPr>
          <w:p w14:paraId="1AF8DA2D">
            <w:pPr>
              <w:pStyle w:val="6"/>
              <w:spacing w:before="40" w:line="227" w:lineRule="auto"/>
              <w:ind w:left="119"/>
              <w:rPr>
                <w:sz w:val="20"/>
                <w:szCs w:val="20"/>
              </w:rPr>
            </w:pPr>
            <w:r>
              <w:rPr>
                <w:spacing w:val="8"/>
                <w:sz w:val="20"/>
                <w:szCs w:val="20"/>
              </w:rPr>
              <w:t>满足《挥发性有机物无组</w:t>
            </w:r>
          </w:p>
          <w:p w14:paraId="0BCDAD91">
            <w:pPr>
              <w:pStyle w:val="6"/>
              <w:spacing w:before="25" w:line="228" w:lineRule="auto"/>
              <w:ind w:left="129"/>
              <w:rPr>
                <w:rFonts w:ascii="Times New Roman" w:hAnsi="Times New Roman" w:eastAsia="Times New Roman" w:cs="Times New Roman"/>
                <w:sz w:val="20"/>
                <w:szCs w:val="20"/>
              </w:rPr>
            </w:pPr>
            <w:r>
              <w:rPr>
                <w:spacing w:val="9"/>
                <w:sz w:val="20"/>
                <w:szCs w:val="20"/>
              </w:rPr>
              <w:t>织排放控制标准》（</w:t>
            </w:r>
            <w:r>
              <w:rPr>
                <w:rFonts w:ascii="Times New Roman" w:hAnsi="Times New Roman" w:eastAsia="Times New Roman" w:cs="Times New Roman"/>
                <w:sz w:val="20"/>
                <w:szCs w:val="20"/>
              </w:rPr>
              <w:t>GB</w:t>
            </w:r>
            <w:r>
              <w:rPr>
                <w:rFonts w:ascii="Times New Roman" w:hAnsi="Times New Roman" w:eastAsia="Times New Roman" w:cs="Times New Roman"/>
                <w:spacing w:val="9"/>
                <w:sz w:val="20"/>
                <w:szCs w:val="20"/>
              </w:rPr>
              <w:t>3</w:t>
            </w:r>
          </w:p>
          <w:p w14:paraId="65FECA51">
            <w:pPr>
              <w:pStyle w:val="6"/>
              <w:spacing w:before="24" w:line="228" w:lineRule="auto"/>
              <w:ind w:left="118"/>
              <w:rPr>
                <w:sz w:val="20"/>
                <w:szCs w:val="20"/>
              </w:rPr>
            </w:pPr>
            <w:r>
              <w:rPr>
                <w:rFonts w:ascii="Times New Roman" w:hAnsi="Times New Roman" w:eastAsia="Times New Roman" w:cs="Times New Roman"/>
                <w:spacing w:val="-1"/>
                <w:sz w:val="20"/>
                <w:szCs w:val="20"/>
              </w:rPr>
              <w:t>7822-2019</w:t>
            </w:r>
            <w:r>
              <w:rPr>
                <w:spacing w:val="-1"/>
                <w:sz w:val="20"/>
                <w:szCs w:val="20"/>
              </w:rPr>
              <w:t>）表</w:t>
            </w:r>
            <w:r>
              <w:rPr>
                <w:spacing w:val="-30"/>
                <w:sz w:val="20"/>
                <w:szCs w:val="20"/>
              </w:rPr>
              <w:t xml:space="preserve"> </w:t>
            </w:r>
            <w:r>
              <w:rPr>
                <w:rFonts w:ascii="Times New Roman" w:hAnsi="Times New Roman" w:eastAsia="Times New Roman" w:cs="Times New Roman"/>
                <w:spacing w:val="-1"/>
                <w:sz w:val="20"/>
                <w:szCs w:val="20"/>
              </w:rPr>
              <w:t>A.</w:t>
            </w:r>
            <w:r>
              <w:rPr>
                <w:rFonts w:ascii="Times New Roman" w:hAnsi="Times New Roman" w:eastAsia="Times New Roman" w:cs="Times New Roman"/>
                <w:spacing w:val="-25"/>
                <w:sz w:val="20"/>
                <w:szCs w:val="20"/>
              </w:rPr>
              <w:t xml:space="preserve"> </w:t>
            </w:r>
            <w:r>
              <w:rPr>
                <w:rFonts w:ascii="Times New Roman" w:hAnsi="Times New Roman" w:eastAsia="Times New Roman" w:cs="Times New Roman"/>
                <w:spacing w:val="-1"/>
                <w:sz w:val="20"/>
                <w:szCs w:val="20"/>
              </w:rPr>
              <w:t xml:space="preserve">1 </w:t>
            </w:r>
            <w:r>
              <w:rPr>
                <w:spacing w:val="-1"/>
                <w:sz w:val="20"/>
                <w:szCs w:val="20"/>
              </w:rPr>
              <w:t>排放标</w:t>
            </w:r>
          </w:p>
          <w:p w14:paraId="4408CCAB">
            <w:pPr>
              <w:pStyle w:val="6"/>
              <w:spacing w:before="26" w:line="208" w:lineRule="auto"/>
              <w:ind w:left="956"/>
              <w:rPr>
                <w:sz w:val="20"/>
                <w:szCs w:val="20"/>
              </w:rPr>
            </w:pPr>
            <w:r>
              <w:rPr>
                <w:spacing w:val="6"/>
                <w:sz w:val="20"/>
                <w:szCs w:val="20"/>
              </w:rPr>
              <w:t>准限值</w:t>
            </w:r>
          </w:p>
        </w:tc>
      </w:tr>
      <w:tr w14:paraId="761F9AA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2" w:hRule="atLeast"/>
        </w:trPr>
        <w:tc>
          <w:tcPr>
            <w:tcW w:w="1706" w:type="dxa"/>
            <w:vMerge w:val="restart"/>
            <w:tcBorders>
              <w:left w:val="single" w:color="000000" w:sz="10" w:space="0"/>
              <w:bottom w:val="nil"/>
            </w:tcBorders>
            <w:vAlign w:val="top"/>
          </w:tcPr>
          <w:p w14:paraId="4518291A">
            <w:pPr>
              <w:spacing w:line="247" w:lineRule="auto"/>
              <w:rPr>
                <w:rFonts w:ascii="Arial"/>
                <w:sz w:val="21"/>
              </w:rPr>
            </w:pPr>
          </w:p>
          <w:p w14:paraId="56FAC75D">
            <w:pPr>
              <w:pStyle w:val="6"/>
              <w:spacing w:before="65" w:line="228" w:lineRule="auto"/>
              <w:ind w:left="320"/>
              <w:rPr>
                <w:sz w:val="20"/>
                <w:szCs w:val="20"/>
              </w:rPr>
            </w:pPr>
            <w:r>
              <w:rPr>
                <w:spacing w:val="8"/>
                <w:sz w:val="20"/>
                <w:szCs w:val="20"/>
              </w:rPr>
              <w:t>地表水环境</w:t>
            </w:r>
          </w:p>
        </w:tc>
        <w:tc>
          <w:tcPr>
            <w:tcW w:w="1708" w:type="dxa"/>
            <w:vMerge w:val="restart"/>
            <w:tcBorders>
              <w:bottom w:val="nil"/>
            </w:tcBorders>
            <w:vAlign w:val="top"/>
          </w:tcPr>
          <w:p w14:paraId="6EA70B7A">
            <w:pPr>
              <w:spacing w:line="247" w:lineRule="auto"/>
              <w:rPr>
                <w:rFonts w:ascii="Arial"/>
                <w:sz w:val="21"/>
              </w:rPr>
            </w:pPr>
          </w:p>
          <w:p w14:paraId="0740CC04">
            <w:pPr>
              <w:pStyle w:val="6"/>
              <w:spacing w:before="65" w:line="228" w:lineRule="auto"/>
              <w:ind w:left="435"/>
              <w:rPr>
                <w:sz w:val="20"/>
                <w:szCs w:val="20"/>
              </w:rPr>
            </w:pPr>
            <w:r>
              <w:rPr>
                <w:spacing w:val="6"/>
                <w:sz w:val="20"/>
                <w:szCs w:val="20"/>
              </w:rPr>
              <w:t>生活污水</w:t>
            </w:r>
          </w:p>
        </w:tc>
        <w:tc>
          <w:tcPr>
            <w:tcW w:w="1631" w:type="dxa"/>
            <w:vAlign w:val="top"/>
          </w:tcPr>
          <w:p w14:paraId="505742E6">
            <w:pPr>
              <w:spacing w:before="134" w:line="186" w:lineRule="auto"/>
              <w:ind w:left="633"/>
              <w:rPr>
                <w:rFonts w:ascii="Calibri" w:hAnsi="Calibri" w:eastAsia="Calibri" w:cs="Calibri"/>
                <w:sz w:val="20"/>
                <w:szCs w:val="20"/>
              </w:rPr>
            </w:pPr>
            <w:r>
              <w:rPr>
                <w:rFonts w:ascii="Calibri" w:hAnsi="Calibri" w:eastAsia="Calibri" w:cs="Calibri"/>
                <w:spacing w:val="2"/>
                <w:sz w:val="20"/>
                <w:szCs w:val="20"/>
              </w:rPr>
              <w:t>COD</w:t>
            </w:r>
          </w:p>
        </w:tc>
        <w:tc>
          <w:tcPr>
            <w:tcW w:w="1795" w:type="dxa"/>
            <w:vMerge w:val="restart"/>
            <w:tcBorders>
              <w:bottom w:val="nil"/>
            </w:tcBorders>
            <w:vAlign w:val="top"/>
          </w:tcPr>
          <w:p w14:paraId="66DD8E0F">
            <w:pPr>
              <w:pStyle w:val="6"/>
              <w:spacing w:before="42" w:line="227" w:lineRule="auto"/>
              <w:ind w:left="175"/>
              <w:rPr>
                <w:sz w:val="20"/>
                <w:szCs w:val="20"/>
              </w:rPr>
            </w:pPr>
            <w:r>
              <w:rPr>
                <w:spacing w:val="8"/>
                <w:sz w:val="20"/>
                <w:szCs w:val="20"/>
              </w:rPr>
              <w:t>设防渗旱厕供员</w:t>
            </w:r>
          </w:p>
          <w:p w14:paraId="55A44E16">
            <w:pPr>
              <w:pStyle w:val="6"/>
              <w:spacing w:before="24" w:line="228" w:lineRule="auto"/>
              <w:ind w:left="116"/>
              <w:rPr>
                <w:sz w:val="20"/>
                <w:szCs w:val="20"/>
              </w:rPr>
            </w:pPr>
            <w:r>
              <w:rPr>
                <w:spacing w:val="-4"/>
                <w:sz w:val="20"/>
                <w:szCs w:val="20"/>
              </w:rPr>
              <w:t>工使用，定期清掏</w:t>
            </w:r>
          </w:p>
          <w:p w14:paraId="508A3371">
            <w:pPr>
              <w:pStyle w:val="6"/>
              <w:spacing w:before="27" w:line="205" w:lineRule="auto"/>
              <w:ind w:left="591"/>
              <w:rPr>
                <w:sz w:val="20"/>
                <w:szCs w:val="20"/>
              </w:rPr>
            </w:pPr>
            <w:r>
              <w:rPr>
                <w:spacing w:val="6"/>
                <w:sz w:val="20"/>
                <w:szCs w:val="20"/>
              </w:rPr>
              <w:t>做农肥</w:t>
            </w:r>
          </w:p>
        </w:tc>
        <w:tc>
          <w:tcPr>
            <w:tcW w:w="2522" w:type="dxa"/>
            <w:vMerge w:val="restart"/>
            <w:tcBorders>
              <w:bottom w:val="nil"/>
              <w:right w:val="single" w:color="000000" w:sz="10" w:space="0"/>
            </w:tcBorders>
            <w:vAlign w:val="top"/>
          </w:tcPr>
          <w:p w14:paraId="264CC6B5">
            <w:pPr>
              <w:spacing w:before="276" w:line="280" w:lineRule="exact"/>
              <w:ind w:left="1220"/>
              <w:rPr>
                <w:rFonts w:ascii="Calibri" w:hAnsi="Calibri" w:eastAsia="Calibri" w:cs="Calibri"/>
                <w:sz w:val="20"/>
                <w:szCs w:val="20"/>
              </w:rPr>
            </w:pPr>
            <w:r>
              <w:rPr>
                <w:rFonts w:ascii="Calibri" w:hAnsi="Calibri" w:eastAsia="Calibri" w:cs="Calibri"/>
                <w:spacing w:val="3"/>
                <w:position w:val="3"/>
                <w:sz w:val="20"/>
                <w:szCs w:val="20"/>
              </w:rPr>
              <w:t>/</w:t>
            </w:r>
          </w:p>
        </w:tc>
      </w:tr>
      <w:tr w14:paraId="7C71A1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3" w:hRule="atLeast"/>
        </w:trPr>
        <w:tc>
          <w:tcPr>
            <w:tcW w:w="1706" w:type="dxa"/>
            <w:vMerge w:val="continue"/>
            <w:tcBorders>
              <w:top w:val="nil"/>
              <w:left w:val="single" w:color="000000" w:sz="10" w:space="0"/>
            </w:tcBorders>
            <w:vAlign w:val="top"/>
          </w:tcPr>
          <w:p w14:paraId="253198C6">
            <w:pPr>
              <w:rPr>
                <w:rFonts w:ascii="Arial"/>
                <w:sz w:val="21"/>
              </w:rPr>
            </w:pPr>
          </w:p>
        </w:tc>
        <w:tc>
          <w:tcPr>
            <w:tcW w:w="1708" w:type="dxa"/>
            <w:vMerge w:val="continue"/>
            <w:tcBorders>
              <w:top w:val="nil"/>
            </w:tcBorders>
            <w:vAlign w:val="top"/>
          </w:tcPr>
          <w:p w14:paraId="63494D39">
            <w:pPr>
              <w:rPr>
                <w:rFonts w:ascii="Arial"/>
                <w:sz w:val="21"/>
              </w:rPr>
            </w:pPr>
          </w:p>
        </w:tc>
        <w:tc>
          <w:tcPr>
            <w:tcW w:w="1631" w:type="dxa"/>
            <w:vAlign w:val="top"/>
          </w:tcPr>
          <w:p w14:paraId="22677ACC">
            <w:pPr>
              <w:spacing w:before="164" w:line="194" w:lineRule="auto"/>
              <w:ind w:left="561"/>
              <w:rPr>
                <w:rFonts w:ascii="Calibri" w:hAnsi="Calibri" w:eastAsia="Calibri" w:cs="Calibri"/>
                <w:sz w:val="20"/>
                <w:szCs w:val="20"/>
              </w:rPr>
            </w:pPr>
            <w:r>
              <w:rPr>
                <w:rFonts w:ascii="Calibri" w:hAnsi="Calibri" w:eastAsia="Calibri" w:cs="Calibri"/>
                <w:sz w:val="20"/>
                <w:szCs w:val="20"/>
              </w:rPr>
              <w:t>NH</w:t>
            </w:r>
            <w:r>
              <w:rPr>
                <w:rFonts w:ascii="Calibri" w:hAnsi="Calibri" w:eastAsia="Calibri" w:cs="Calibri"/>
                <w:spacing w:val="2"/>
                <w:position w:val="-1"/>
                <w:sz w:val="13"/>
                <w:szCs w:val="13"/>
              </w:rPr>
              <w:t>3</w:t>
            </w:r>
            <w:r>
              <w:rPr>
                <w:rFonts w:ascii="Calibri" w:hAnsi="Calibri" w:eastAsia="Calibri" w:cs="Calibri"/>
                <w:spacing w:val="2"/>
                <w:sz w:val="20"/>
                <w:szCs w:val="20"/>
              </w:rPr>
              <w:t>-N</w:t>
            </w:r>
          </w:p>
        </w:tc>
        <w:tc>
          <w:tcPr>
            <w:tcW w:w="1795" w:type="dxa"/>
            <w:vMerge w:val="continue"/>
            <w:tcBorders>
              <w:top w:val="nil"/>
            </w:tcBorders>
            <w:vAlign w:val="top"/>
          </w:tcPr>
          <w:p w14:paraId="29BB896F">
            <w:pPr>
              <w:rPr>
                <w:rFonts w:ascii="Arial"/>
                <w:sz w:val="21"/>
              </w:rPr>
            </w:pPr>
          </w:p>
        </w:tc>
        <w:tc>
          <w:tcPr>
            <w:tcW w:w="2522" w:type="dxa"/>
            <w:vMerge w:val="continue"/>
            <w:tcBorders>
              <w:top w:val="nil"/>
              <w:right w:val="single" w:color="000000" w:sz="10" w:space="0"/>
            </w:tcBorders>
            <w:vAlign w:val="top"/>
          </w:tcPr>
          <w:p w14:paraId="3EE0DD05">
            <w:pPr>
              <w:rPr>
                <w:rFonts w:ascii="Arial"/>
                <w:sz w:val="21"/>
              </w:rPr>
            </w:pPr>
          </w:p>
        </w:tc>
      </w:tr>
      <w:tr w14:paraId="7759C4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trPr>
        <w:tc>
          <w:tcPr>
            <w:tcW w:w="1706" w:type="dxa"/>
            <w:tcBorders>
              <w:left w:val="single" w:color="000000" w:sz="10" w:space="0"/>
            </w:tcBorders>
            <w:vAlign w:val="top"/>
          </w:tcPr>
          <w:p w14:paraId="76CD8E6B">
            <w:pPr>
              <w:spacing w:line="251" w:lineRule="auto"/>
              <w:rPr>
                <w:rFonts w:ascii="Arial"/>
                <w:sz w:val="21"/>
              </w:rPr>
            </w:pPr>
          </w:p>
          <w:p w14:paraId="18C7FFB2">
            <w:pPr>
              <w:pStyle w:val="6"/>
              <w:spacing w:before="65" w:line="228" w:lineRule="auto"/>
              <w:ind w:left="533"/>
              <w:rPr>
                <w:sz w:val="20"/>
                <w:szCs w:val="20"/>
              </w:rPr>
            </w:pPr>
            <w:r>
              <w:rPr>
                <w:spacing w:val="5"/>
                <w:sz w:val="20"/>
                <w:szCs w:val="20"/>
              </w:rPr>
              <w:t>声环境</w:t>
            </w:r>
          </w:p>
        </w:tc>
        <w:tc>
          <w:tcPr>
            <w:tcW w:w="1708" w:type="dxa"/>
            <w:vAlign w:val="top"/>
          </w:tcPr>
          <w:p w14:paraId="31E78D6C">
            <w:pPr>
              <w:spacing w:line="251" w:lineRule="auto"/>
              <w:rPr>
                <w:rFonts w:ascii="Arial"/>
                <w:sz w:val="21"/>
              </w:rPr>
            </w:pPr>
          </w:p>
          <w:p w14:paraId="4F84969E">
            <w:pPr>
              <w:pStyle w:val="6"/>
              <w:spacing w:before="65" w:line="228" w:lineRule="auto"/>
              <w:ind w:left="437"/>
              <w:rPr>
                <w:sz w:val="20"/>
                <w:szCs w:val="20"/>
              </w:rPr>
            </w:pPr>
            <w:r>
              <w:rPr>
                <w:spacing w:val="6"/>
                <w:sz w:val="20"/>
                <w:szCs w:val="20"/>
              </w:rPr>
              <w:t>设备噪声</w:t>
            </w:r>
          </w:p>
        </w:tc>
        <w:tc>
          <w:tcPr>
            <w:tcW w:w="1631" w:type="dxa"/>
            <w:vAlign w:val="top"/>
          </w:tcPr>
          <w:p w14:paraId="10CC3D74">
            <w:pPr>
              <w:spacing w:line="251" w:lineRule="auto"/>
              <w:rPr>
                <w:rFonts w:ascii="Arial"/>
                <w:sz w:val="21"/>
              </w:rPr>
            </w:pPr>
          </w:p>
          <w:p w14:paraId="749C9105">
            <w:pPr>
              <w:pStyle w:val="6"/>
              <w:spacing w:before="65" w:line="228" w:lineRule="auto"/>
              <w:ind w:left="619"/>
              <w:rPr>
                <w:sz w:val="20"/>
                <w:szCs w:val="20"/>
              </w:rPr>
            </w:pPr>
            <w:r>
              <w:rPr>
                <w:spacing w:val="-1"/>
                <w:sz w:val="20"/>
                <w:szCs w:val="20"/>
              </w:rPr>
              <w:t>噪声</w:t>
            </w:r>
          </w:p>
        </w:tc>
        <w:tc>
          <w:tcPr>
            <w:tcW w:w="1795" w:type="dxa"/>
            <w:vAlign w:val="top"/>
          </w:tcPr>
          <w:p w14:paraId="511B0E27">
            <w:pPr>
              <w:spacing w:line="251" w:lineRule="auto"/>
              <w:rPr>
                <w:rFonts w:ascii="Arial"/>
                <w:sz w:val="21"/>
              </w:rPr>
            </w:pPr>
          </w:p>
          <w:p w14:paraId="72C27A67">
            <w:pPr>
              <w:pStyle w:val="6"/>
              <w:spacing w:before="65" w:line="228" w:lineRule="auto"/>
              <w:ind w:left="171"/>
              <w:rPr>
                <w:sz w:val="20"/>
                <w:szCs w:val="20"/>
              </w:rPr>
            </w:pPr>
            <w:r>
              <w:rPr>
                <w:spacing w:val="8"/>
                <w:sz w:val="20"/>
                <w:szCs w:val="20"/>
              </w:rPr>
              <w:t>基础减振、隔声</w:t>
            </w:r>
          </w:p>
        </w:tc>
        <w:tc>
          <w:tcPr>
            <w:tcW w:w="2522" w:type="dxa"/>
            <w:tcBorders>
              <w:right w:val="single" w:color="000000" w:sz="10" w:space="0"/>
            </w:tcBorders>
            <w:vAlign w:val="top"/>
          </w:tcPr>
          <w:p w14:paraId="7DD6ADD9">
            <w:pPr>
              <w:pStyle w:val="6"/>
              <w:spacing w:before="45" w:line="228" w:lineRule="auto"/>
              <w:ind w:left="121"/>
              <w:rPr>
                <w:sz w:val="20"/>
                <w:szCs w:val="20"/>
              </w:rPr>
            </w:pPr>
            <w:r>
              <w:rPr>
                <w:spacing w:val="7"/>
                <w:sz w:val="20"/>
                <w:szCs w:val="20"/>
              </w:rPr>
              <w:t>厂界执行《工业企业厂界</w:t>
            </w:r>
          </w:p>
          <w:p w14:paraId="1ABDFCC0">
            <w:pPr>
              <w:pStyle w:val="6"/>
              <w:spacing w:before="24" w:line="228" w:lineRule="auto"/>
              <w:ind w:left="119"/>
              <w:rPr>
                <w:rFonts w:ascii="Calibri" w:hAnsi="Calibri" w:eastAsia="Calibri" w:cs="Calibri"/>
                <w:sz w:val="20"/>
                <w:szCs w:val="20"/>
              </w:rPr>
            </w:pPr>
            <w:r>
              <w:rPr>
                <w:spacing w:val="5"/>
                <w:sz w:val="20"/>
                <w:szCs w:val="20"/>
              </w:rPr>
              <w:t>环境噪声排放标准》（</w:t>
            </w:r>
            <w:r>
              <w:rPr>
                <w:rFonts w:ascii="Calibri" w:hAnsi="Calibri" w:eastAsia="Calibri" w:cs="Calibri"/>
                <w:sz w:val="20"/>
                <w:szCs w:val="20"/>
              </w:rPr>
              <w:t>GB</w:t>
            </w:r>
          </w:p>
          <w:p w14:paraId="774D606F">
            <w:pPr>
              <w:pStyle w:val="6"/>
              <w:spacing w:before="23" w:line="205" w:lineRule="auto"/>
              <w:ind w:left="294"/>
              <w:rPr>
                <w:sz w:val="20"/>
                <w:szCs w:val="20"/>
              </w:rPr>
            </w:pPr>
            <w:r>
              <w:rPr>
                <w:rFonts w:ascii="Calibri" w:hAnsi="Calibri" w:eastAsia="Calibri" w:cs="Calibri"/>
                <w:spacing w:val="4"/>
                <w:sz w:val="20"/>
                <w:szCs w:val="20"/>
              </w:rPr>
              <w:t>12348-2008</w:t>
            </w:r>
            <w:r>
              <w:rPr>
                <w:spacing w:val="4"/>
                <w:sz w:val="20"/>
                <w:szCs w:val="20"/>
              </w:rPr>
              <w:t>）</w:t>
            </w:r>
            <w:r>
              <w:rPr>
                <w:rFonts w:ascii="Calibri" w:hAnsi="Calibri" w:eastAsia="Calibri" w:cs="Calibri"/>
                <w:spacing w:val="4"/>
                <w:sz w:val="20"/>
                <w:szCs w:val="20"/>
              </w:rPr>
              <w:t>2</w:t>
            </w:r>
            <w:r>
              <w:rPr>
                <w:spacing w:val="4"/>
                <w:sz w:val="20"/>
                <w:szCs w:val="20"/>
              </w:rPr>
              <w:t>类标准</w:t>
            </w:r>
          </w:p>
        </w:tc>
      </w:tr>
      <w:tr w14:paraId="4638E1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7" w:hRule="atLeast"/>
        </w:trPr>
        <w:tc>
          <w:tcPr>
            <w:tcW w:w="1706" w:type="dxa"/>
            <w:tcBorders>
              <w:left w:val="single" w:color="000000" w:sz="10" w:space="0"/>
            </w:tcBorders>
            <w:vAlign w:val="top"/>
          </w:tcPr>
          <w:p w14:paraId="073D07FC">
            <w:pPr>
              <w:pStyle w:val="6"/>
              <w:spacing w:before="47" w:line="203" w:lineRule="auto"/>
              <w:ind w:left="450"/>
              <w:rPr>
                <w:sz w:val="20"/>
                <w:szCs w:val="20"/>
              </w:rPr>
            </w:pPr>
            <w:r>
              <w:rPr>
                <w:spacing w:val="1"/>
                <w:sz w:val="20"/>
                <w:szCs w:val="20"/>
              </w:rPr>
              <w:t>电磁辐射</w:t>
            </w:r>
          </w:p>
        </w:tc>
        <w:tc>
          <w:tcPr>
            <w:tcW w:w="1708" w:type="dxa"/>
            <w:vAlign w:val="top"/>
          </w:tcPr>
          <w:p w14:paraId="7D4B0E78">
            <w:pPr>
              <w:spacing w:before="6" w:line="261" w:lineRule="exact"/>
              <w:ind w:left="805"/>
              <w:rPr>
                <w:rFonts w:ascii="Calibri" w:hAnsi="Calibri" w:eastAsia="Calibri" w:cs="Calibri"/>
                <w:sz w:val="20"/>
                <w:szCs w:val="20"/>
              </w:rPr>
            </w:pPr>
            <w:r>
              <w:rPr>
                <w:rFonts w:ascii="Calibri" w:hAnsi="Calibri" w:eastAsia="Calibri" w:cs="Calibri"/>
                <w:spacing w:val="3"/>
                <w:position w:val="2"/>
                <w:sz w:val="20"/>
                <w:szCs w:val="20"/>
              </w:rPr>
              <w:t>/</w:t>
            </w:r>
          </w:p>
        </w:tc>
        <w:tc>
          <w:tcPr>
            <w:tcW w:w="1631" w:type="dxa"/>
            <w:vAlign w:val="top"/>
          </w:tcPr>
          <w:p w14:paraId="2113C36E">
            <w:pPr>
              <w:spacing w:before="6" w:line="261" w:lineRule="exact"/>
              <w:ind w:left="772"/>
              <w:rPr>
                <w:rFonts w:ascii="Calibri" w:hAnsi="Calibri" w:eastAsia="Calibri" w:cs="Calibri"/>
                <w:sz w:val="20"/>
                <w:szCs w:val="20"/>
              </w:rPr>
            </w:pPr>
            <w:r>
              <w:rPr>
                <w:rFonts w:ascii="Calibri" w:hAnsi="Calibri" w:eastAsia="Calibri" w:cs="Calibri"/>
                <w:spacing w:val="3"/>
                <w:position w:val="2"/>
                <w:sz w:val="20"/>
                <w:szCs w:val="20"/>
              </w:rPr>
              <w:t>/</w:t>
            </w:r>
          </w:p>
        </w:tc>
        <w:tc>
          <w:tcPr>
            <w:tcW w:w="1795" w:type="dxa"/>
            <w:vAlign w:val="top"/>
          </w:tcPr>
          <w:p w14:paraId="64C0B967">
            <w:pPr>
              <w:spacing w:before="6" w:line="261" w:lineRule="exact"/>
              <w:ind w:left="857"/>
              <w:rPr>
                <w:rFonts w:ascii="Calibri" w:hAnsi="Calibri" w:eastAsia="Calibri" w:cs="Calibri"/>
                <w:sz w:val="20"/>
                <w:szCs w:val="20"/>
              </w:rPr>
            </w:pPr>
            <w:r>
              <w:rPr>
                <w:rFonts w:ascii="Calibri" w:hAnsi="Calibri" w:eastAsia="Calibri" w:cs="Calibri"/>
                <w:spacing w:val="3"/>
                <w:position w:val="2"/>
                <w:sz w:val="20"/>
                <w:szCs w:val="20"/>
              </w:rPr>
              <w:t>/</w:t>
            </w:r>
          </w:p>
        </w:tc>
        <w:tc>
          <w:tcPr>
            <w:tcW w:w="2522" w:type="dxa"/>
            <w:tcBorders>
              <w:right w:val="single" w:color="000000" w:sz="10" w:space="0"/>
            </w:tcBorders>
            <w:vAlign w:val="top"/>
          </w:tcPr>
          <w:p w14:paraId="6648B982">
            <w:pPr>
              <w:spacing w:before="6" w:line="261" w:lineRule="exact"/>
              <w:ind w:left="1220"/>
              <w:rPr>
                <w:rFonts w:ascii="Calibri" w:hAnsi="Calibri" w:eastAsia="Calibri" w:cs="Calibri"/>
                <w:sz w:val="20"/>
                <w:szCs w:val="20"/>
              </w:rPr>
            </w:pPr>
            <w:r>
              <w:rPr>
                <w:rFonts w:ascii="Calibri" w:hAnsi="Calibri" w:eastAsia="Calibri" w:cs="Calibri"/>
                <w:spacing w:val="3"/>
                <w:position w:val="2"/>
                <w:sz w:val="20"/>
                <w:szCs w:val="20"/>
              </w:rPr>
              <w:t>/</w:t>
            </w:r>
          </w:p>
        </w:tc>
      </w:tr>
      <w:tr w14:paraId="4FB348D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706" w:type="dxa"/>
            <w:vMerge w:val="restart"/>
            <w:tcBorders>
              <w:left w:val="single" w:color="000000" w:sz="10" w:space="0"/>
              <w:bottom w:val="nil"/>
            </w:tcBorders>
            <w:vAlign w:val="top"/>
          </w:tcPr>
          <w:p w14:paraId="5CFCAFD1">
            <w:pPr>
              <w:spacing w:line="243" w:lineRule="auto"/>
              <w:rPr>
                <w:rFonts w:ascii="Arial"/>
                <w:sz w:val="21"/>
              </w:rPr>
            </w:pPr>
          </w:p>
          <w:p w14:paraId="4EA3E948">
            <w:pPr>
              <w:spacing w:line="243" w:lineRule="auto"/>
              <w:rPr>
                <w:rFonts w:ascii="Arial"/>
                <w:sz w:val="21"/>
              </w:rPr>
            </w:pPr>
          </w:p>
          <w:p w14:paraId="53E3291B">
            <w:pPr>
              <w:spacing w:line="243" w:lineRule="auto"/>
              <w:rPr>
                <w:rFonts w:ascii="Arial"/>
                <w:sz w:val="21"/>
              </w:rPr>
            </w:pPr>
          </w:p>
          <w:p w14:paraId="4CBEB853">
            <w:pPr>
              <w:spacing w:line="244" w:lineRule="auto"/>
              <w:rPr>
                <w:rFonts w:ascii="Arial"/>
                <w:sz w:val="21"/>
              </w:rPr>
            </w:pPr>
          </w:p>
          <w:p w14:paraId="1D2F577D">
            <w:pPr>
              <w:spacing w:line="244" w:lineRule="auto"/>
              <w:rPr>
                <w:rFonts w:ascii="Arial"/>
                <w:sz w:val="21"/>
              </w:rPr>
            </w:pPr>
          </w:p>
          <w:p w14:paraId="23EA55B1">
            <w:pPr>
              <w:spacing w:line="244" w:lineRule="auto"/>
              <w:rPr>
                <w:rFonts w:ascii="Arial"/>
                <w:sz w:val="21"/>
              </w:rPr>
            </w:pPr>
          </w:p>
          <w:p w14:paraId="02B8045F">
            <w:pPr>
              <w:spacing w:line="244" w:lineRule="auto"/>
              <w:rPr>
                <w:rFonts w:ascii="Arial"/>
                <w:sz w:val="21"/>
              </w:rPr>
            </w:pPr>
          </w:p>
          <w:p w14:paraId="6AE895F5">
            <w:pPr>
              <w:spacing w:line="244" w:lineRule="auto"/>
              <w:rPr>
                <w:rFonts w:ascii="Arial"/>
                <w:sz w:val="21"/>
              </w:rPr>
            </w:pPr>
          </w:p>
          <w:p w14:paraId="2BAB8602">
            <w:pPr>
              <w:spacing w:line="244" w:lineRule="auto"/>
              <w:rPr>
                <w:rFonts w:ascii="Arial"/>
                <w:sz w:val="21"/>
              </w:rPr>
            </w:pPr>
          </w:p>
          <w:p w14:paraId="6857C111">
            <w:pPr>
              <w:spacing w:line="244" w:lineRule="auto"/>
              <w:rPr>
                <w:rFonts w:ascii="Arial"/>
                <w:sz w:val="21"/>
              </w:rPr>
            </w:pPr>
          </w:p>
          <w:p w14:paraId="23704141">
            <w:pPr>
              <w:pStyle w:val="6"/>
              <w:spacing w:before="65" w:line="228" w:lineRule="auto"/>
              <w:ind w:left="444"/>
              <w:rPr>
                <w:sz w:val="20"/>
                <w:szCs w:val="20"/>
              </w:rPr>
            </w:pPr>
            <w:r>
              <w:rPr>
                <w:spacing w:val="2"/>
                <w:sz w:val="20"/>
                <w:szCs w:val="20"/>
              </w:rPr>
              <w:t>固体废物</w:t>
            </w:r>
          </w:p>
        </w:tc>
        <w:tc>
          <w:tcPr>
            <w:tcW w:w="1708" w:type="dxa"/>
            <w:vAlign w:val="top"/>
          </w:tcPr>
          <w:p w14:paraId="190315B9">
            <w:pPr>
              <w:spacing w:line="388" w:lineRule="auto"/>
              <w:rPr>
                <w:rFonts w:ascii="Arial"/>
                <w:sz w:val="21"/>
              </w:rPr>
            </w:pPr>
          </w:p>
          <w:p w14:paraId="08BDB89D">
            <w:pPr>
              <w:pStyle w:val="6"/>
              <w:spacing w:before="65" w:line="228" w:lineRule="auto"/>
              <w:ind w:left="435"/>
              <w:rPr>
                <w:sz w:val="20"/>
                <w:szCs w:val="20"/>
              </w:rPr>
            </w:pPr>
            <w:r>
              <w:rPr>
                <w:spacing w:val="6"/>
                <w:sz w:val="20"/>
                <w:szCs w:val="20"/>
              </w:rPr>
              <w:t>生活垃圾</w:t>
            </w:r>
          </w:p>
        </w:tc>
        <w:tc>
          <w:tcPr>
            <w:tcW w:w="1631" w:type="dxa"/>
            <w:vAlign w:val="top"/>
          </w:tcPr>
          <w:p w14:paraId="67521382">
            <w:pPr>
              <w:spacing w:line="388" w:lineRule="auto"/>
              <w:rPr>
                <w:rFonts w:ascii="Arial"/>
                <w:sz w:val="21"/>
              </w:rPr>
            </w:pPr>
          </w:p>
          <w:p w14:paraId="1A9DD87F">
            <w:pPr>
              <w:pStyle w:val="6"/>
              <w:spacing w:before="65" w:line="228" w:lineRule="auto"/>
              <w:ind w:left="403"/>
              <w:rPr>
                <w:sz w:val="20"/>
                <w:szCs w:val="20"/>
              </w:rPr>
            </w:pPr>
            <w:r>
              <w:rPr>
                <w:spacing w:val="6"/>
                <w:sz w:val="20"/>
                <w:szCs w:val="20"/>
              </w:rPr>
              <w:t>生活垃圾</w:t>
            </w:r>
          </w:p>
        </w:tc>
        <w:tc>
          <w:tcPr>
            <w:tcW w:w="1795" w:type="dxa"/>
            <w:vAlign w:val="top"/>
          </w:tcPr>
          <w:p w14:paraId="5C11DCAD">
            <w:pPr>
              <w:pStyle w:val="6"/>
              <w:spacing w:before="48" w:line="228" w:lineRule="auto"/>
              <w:ind w:left="173"/>
              <w:rPr>
                <w:sz w:val="20"/>
                <w:szCs w:val="20"/>
              </w:rPr>
            </w:pPr>
            <w:r>
              <w:rPr>
                <w:spacing w:val="8"/>
                <w:sz w:val="20"/>
                <w:szCs w:val="20"/>
              </w:rPr>
              <w:t>生活垃圾经垃圾</w:t>
            </w:r>
          </w:p>
          <w:p w14:paraId="0C38B510">
            <w:pPr>
              <w:pStyle w:val="6"/>
              <w:spacing w:before="23" w:line="228" w:lineRule="auto"/>
              <w:ind w:left="173"/>
              <w:rPr>
                <w:sz w:val="20"/>
                <w:szCs w:val="20"/>
              </w:rPr>
            </w:pPr>
            <w:r>
              <w:rPr>
                <w:spacing w:val="8"/>
                <w:sz w:val="20"/>
                <w:szCs w:val="20"/>
              </w:rPr>
              <w:t>箱收集后由当地</w:t>
            </w:r>
          </w:p>
          <w:p w14:paraId="0EB5440B">
            <w:pPr>
              <w:pStyle w:val="6"/>
              <w:spacing w:before="24" w:line="228" w:lineRule="auto"/>
              <w:ind w:left="171"/>
              <w:rPr>
                <w:sz w:val="20"/>
                <w:szCs w:val="20"/>
              </w:rPr>
            </w:pPr>
            <w:r>
              <w:rPr>
                <w:spacing w:val="8"/>
                <w:sz w:val="20"/>
                <w:szCs w:val="20"/>
              </w:rPr>
              <w:t>环卫部门统一进</w:t>
            </w:r>
          </w:p>
          <w:p w14:paraId="2BBD59B2">
            <w:pPr>
              <w:pStyle w:val="6"/>
              <w:spacing w:before="27" w:line="202" w:lineRule="auto"/>
              <w:ind w:left="386"/>
              <w:rPr>
                <w:sz w:val="20"/>
                <w:szCs w:val="20"/>
              </w:rPr>
            </w:pPr>
            <w:r>
              <w:rPr>
                <w:spacing w:val="7"/>
                <w:sz w:val="20"/>
                <w:szCs w:val="20"/>
              </w:rPr>
              <w:t>行外运处理</w:t>
            </w:r>
          </w:p>
        </w:tc>
        <w:tc>
          <w:tcPr>
            <w:tcW w:w="2522" w:type="dxa"/>
            <w:tcBorders>
              <w:right w:val="single" w:color="000000" w:sz="10" w:space="0"/>
            </w:tcBorders>
            <w:vAlign w:val="top"/>
          </w:tcPr>
          <w:p w14:paraId="2F4F12B2">
            <w:pPr>
              <w:pStyle w:val="6"/>
              <w:spacing w:before="181" w:line="228" w:lineRule="auto"/>
              <w:ind w:left="125"/>
              <w:rPr>
                <w:sz w:val="20"/>
                <w:szCs w:val="20"/>
              </w:rPr>
            </w:pPr>
            <w:r>
              <w:rPr>
                <w:spacing w:val="8"/>
                <w:sz w:val="20"/>
                <w:szCs w:val="20"/>
              </w:rPr>
              <w:t>暂存设施满足防渗漏、防</w:t>
            </w:r>
          </w:p>
          <w:p w14:paraId="6E61B838">
            <w:pPr>
              <w:pStyle w:val="6"/>
              <w:spacing w:before="24" w:line="226" w:lineRule="auto"/>
              <w:ind w:left="127"/>
              <w:rPr>
                <w:sz w:val="20"/>
                <w:szCs w:val="20"/>
              </w:rPr>
            </w:pPr>
            <w:r>
              <w:rPr>
                <w:spacing w:val="7"/>
                <w:sz w:val="20"/>
                <w:szCs w:val="20"/>
              </w:rPr>
              <w:t>雨淋、防扬尘等环境保护</w:t>
            </w:r>
          </w:p>
          <w:p w14:paraId="6BDB6282">
            <w:pPr>
              <w:pStyle w:val="6"/>
              <w:spacing w:before="28" w:line="229" w:lineRule="auto"/>
              <w:ind w:left="1060"/>
              <w:rPr>
                <w:sz w:val="20"/>
                <w:szCs w:val="20"/>
              </w:rPr>
            </w:pPr>
            <w:r>
              <w:rPr>
                <w:spacing w:val="4"/>
                <w:sz w:val="20"/>
                <w:szCs w:val="20"/>
              </w:rPr>
              <w:t>要求</w:t>
            </w:r>
          </w:p>
        </w:tc>
      </w:tr>
      <w:tr w14:paraId="5163D38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2" w:hRule="atLeast"/>
        </w:trPr>
        <w:tc>
          <w:tcPr>
            <w:tcW w:w="1706" w:type="dxa"/>
            <w:vMerge w:val="continue"/>
            <w:tcBorders>
              <w:top w:val="nil"/>
              <w:left w:val="single" w:color="000000" w:sz="10" w:space="0"/>
              <w:bottom w:val="nil"/>
            </w:tcBorders>
            <w:vAlign w:val="top"/>
          </w:tcPr>
          <w:p w14:paraId="62D03415">
            <w:pPr>
              <w:rPr>
                <w:rFonts w:ascii="Arial"/>
                <w:sz w:val="21"/>
              </w:rPr>
            </w:pPr>
          </w:p>
        </w:tc>
        <w:tc>
          <w:tcPr>
            <w:tcW w:w="1708" w:type="dxa"/>
            <w:vAlign w:val="top"/>
          </w:tcPr>
          <w:p w14:paraId="5F43DDFB">
            <w:pPr>
              <w:spacing w:line="390" w:lineRule="auto"/>
              <w:rPr>
                <w:rFonts w:ascii="Arial"/>
                <w:sz w:val="21"/>
              </w:rPr>
            </w:pPr>
          </w:p>
          <w:p w14:paraId="61FD0715">
            <w:pPr>
              <w:pStyle w:val="6"/>
              <w:spacing w:before="65" w:line="228" w:lineRule="auto"/>
              <w:ind w:left="436"/>
              <w:rPr>
                <w:sz w:val="20"/>
                <w:szCs w:val="20"/>
              </w:rPr>
            </w:pPr>
            <w:r>
              <w:rPr>
                <w:spacing w:val="6"/>
                <w:sz w:val="20"/>
                <w:szCs w:val="20"/>
              </w:rPr>
              <w:t>危险废物</w:t>
            </w:r>
          </w:p>
        </w:tc>
        <w:tc>
          <w:tcPr>
            <w:tcW w:w="1631" w:type="dxa"/>
            <w:vAlign w:val="top"/>
          </w:tcPr>
          <w:p w14:paraId="2BBF385C">
            <w:pPr>
              <w:pStyle w:val="6"/>
              <w:spacing w:before="182" w:line="243" w:lineRule="auto"/>
              <w:ind w:left="110" w:right="104"/>
              <w:jc w:val="both"/>
              <w:rPr>
                <w:sz w:val="20"/>
                <w:szCs w:val="20"/>
              </w:rPr>
            </w:pPr>
            <w:r>
              <w:rPr>
                <w:spacing w:val="1"/>
                <w:sz w:val="20"/>
                <w:szCs w:val="20"/>
              </w:rPr>
              <w:t>拆解废油液、燃</w:t>
            </w:r>
            <w:r>
              <w:rPr>
                <w:spacing w:val="2"/>
                <w:sz w:val="20"/>
                <w:szCs w:val="20"/>
              </w:rPr>
              <w:t xml:space="preserve"> </w:t>
            </w:r>
            <w:r>
              <w:rPr>
                <w:spacing w:val="1"/>
                <w:sz w:val="20"/>
                <w:szCs w:val="20"/>
              </w:rPr>
              <w:t>料箱、废铅蓄电</w:t>
            </w:r>
            <w:r>
              <w:rPr>
                <w:sz w:val="20"/>
                <w:szCs w:val="20"/>
              </w:rPr>
              <w:t xml:space="preserve"> </w:t>
            </w:r>
            <w:r>
              <w:rPr>
                <w:spacing w:val="1"/>
                <w:sz w:val="20"/>
                <w:szCs w:val="20"/>
              </w:rPr>
              <w:t>池、废活性炭等</w:t>
            </w:r>
          </w:p>
        </w:tc>
        <w:tc>
          <w:tcPr>
            <w:tcW w:w="1795" w:type="dxa"/>
            <w:vAlign w:val="top"/>
          </w:tcPr>
          <w:p w14:paraId="12563A2E">
            <w:pPr>
              <w:pStyle w:val="6"/>
              <w:spacing w:before="48" w:line="228" w:lineRule="auto"/>
              <w:ind w:left="114"/>
              <w:rPr>
                <w:sz w:val="20"/>
                <w:szCs w:val="20"/>
              </w:rPr>
            </w:pPr>
            <w:r>
              <w:rPr>
                <w:spacing w:val="-3"/>
                <w:sz w:val="20"/>
                <w:szCs w:val="20"/>
              </w:rPr>
              <w:t>集中收集，暂存于</w:t>
            </w:r>
          </w:p>
          <w:p w14:paraId="46892A33">
            <w:pPr>
              <w:pStyle w:val="6"/>
              <w:spacing w:before="24" w:line="228" w:lineRule="auto"/>
              <w:ind w:right="14"/>
              <w:jc w:val="right"/>
              <w:rPr>
                <w:sz w:val="20"/>
                <w:szCs w:val="20"/>
              </w:rPr>
            </w:pPr>
            <w:r>
              <w:rPr>
                <w:spacing w:val="7"/>
                <w:sz w:val="20"/>
                <w:szCs w:val="20"/>
              </w:rPr>
              <w:t>危险废物贮存库，</w:t>
            </w:r>
          </w:p>
          <w:p w14:paraId="01205184">
            <w:pPr>
              <w:pStyle w:val="6"/>
              <w:spacing w:before="24" w:line="228" w:lineRule="auto"/>
              <w:ind w:left="171"/>
              <w:rPr>
                <w:sz w:val="20"/>
                <w:szCs w:val="20"/>
              </w:rPr>
            </w:pPr>
            <w:r>
              <w:rPr>
                <w:spacing w:val="8"/>
                <w:sz w:val="20"/>
                <w:szCs w:val="20"/>
              </w:rPr>
              <w:t>委托有资质单位</w:t>
            </w:r>
          </w:p>
          <w:p w14:paraId="00B259F6">
            <w:pPr>
              <w:pStyle w:val="6"/>
              <w:spacing w:before="26" w:line="200" w:lineRule="auto"/>
              <w:ind w:left="701"/>
              <w:rPr>
                <w:sz w:val="20"/>
                <w:szCs w:val="20"/>
              </w:rPr>
            </w:pPr>
            <w:r>
              <w:rPr>
                <w:spacing w:val="2"/>
                <w:sz w:val="20"/>
                <w:szCs w:val="20"/>
              </w:rPr>
              <w:t>处理</w:t>
            </w:r>
          </w:p>
        </w:tc>
        <w:tc>
          <w:tcPr>
            <w:tcW w:w="2522" w:type="dxa"/>
            <w:tcBorders>
              <w:right w:val="single" w:color="000000" w:sz="10" w:space="0"/>
            </w:tcBorders>
            <w:vAlign w:val="top"/>
          </w:tcPr>
          <w:p w14:paraId="1EE1AA87">
            <w:pPr>
              <w:spacing w:line="254" w:lineRule="auto"/>
              <w:rPr>
                <w:rFonts w:ascii="Arial"/>
                <w:sz w:val="21"/>
              </w:rPr>
            </w:pPr>
          </w:p>
          <w:p w14:paraId="3B6EF610">
            <w:pPr>
              <w:pStyle w:val="6"/>
              <w:spacing w:before="65" w:line="239" w:lineRule="auto"/>
              <w:ind w:left="120" w:right="11" w:firstLine="105"/>
              <w:rPr>
                <w:sz w:val="20"/>
                <w:szCs w:val="20"/>
              </w:rPr>
            </w:pPr>
            <w:r>
              <w:rPr>
                <w:spacing w:val="8"/>
                <w:sz w:val="20"/>
                <w:szCs w:val="20"/>
              </w:rPr>
              <w:t>《危险废物贮存污染控</w:t>
            </w:r>
            <w:r>
              <w:rPr>
                <w:spacing w:val="1"/>
                <w:sz w:val="20"/>
                <w:szCs w:val="20"/>
              </w:rPr>
              <w:t xml:space="preserve">   </w:t>
            </w:r>
            <w:r>
              <w:rPr>
                <w:spacing w:val="-2"/>
                <w:sz w:val="20"/>
                <w:szCs w:val="20"/>
              </w:rPr>
              <w:t>制标准》（</w:t>
            </w:r>
            <w:r>
              <w:rPr>
                <w:rFonts w:ascii="Calibri" w:hAnsi="Calibri" w:eastAsia="Calibri" w:cs="Calibri"/>
                <w:spacing w:val="-2"/>
                <w:sz w:val="20"/>
                <w:szCs w:val="20"/>
              </w:rPr>
              <w:t>GB18597-2023</w:t>
            </w:r>
            <w:r>
              <w:rPr>
                <w:spacing w:val="-2"/>
                <w:sz w:val="20"/>
                <w:szCs w:val="20"/>
              </w:rPr>
              <w:t>）</w:t>
            </w:r>
          </w:p>
        </w:tc>
      </w:tr>
      <w:tr w14:paraId="097FDA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3" w:hRule="atLeast"/>
        </w:trPr>
        <w:tc>
          <w:tcPr>
            <w:tcW w:w="1706" w:type="dxa"/>
            <w:vMerge w:val="continue"/>
            <w:tcBorders>
              <w:top w:val="nil"/>
              <w:left w:val="single" w:color="000000" w:sz="10" w:space="0"/>
              <w:bottom w:val="nil"/>
            </w:tcBorders>
            <w:vAlign w:val="top"/>
          </w:tcPr>
          <w:p w14:paraId="20E0EB72">
            <w:pPr>
              <w:rPr>
                <w:rFonts w:ascii="Arial"/>
                <w:sz w:val="21"/>
              </w:rPr>
            </w:pPr>
          </w:p>
        </w:tc>
        <w:tc>
          <w:tcPr>
            <w:tcW w:w="1708" w:type="dxa"/>
            <w:vMerge w:val="restart"/>
            <w:tcBorders>
              <w:bottom w:val="nil"/>
            </w:tcBorders>
            <w:vAlign w:val="top"/>
          </w:tcPr>
          <w:p w14:paraId="0F62CB7A">
            <w:pPr>
              <w:spacing w:line="242" w:lineRule="auto"/>
              <w:rPr>
                <w:rFonts w:ascii="Arial"/>
                <w:sz w:val="21"/>
              </w:rPr>
            </w:pPr>
          </w:p>
          <w:p w14:paraId="647682CC">
            <w:pPr>
              <w:spacing w:line="242" w:lineRule="auto"/>
              <w:rPr>
                <w:rFonts w:ascii="Arial"/>
                <w:sz w:val="21"/>
              </w:rPr>
            </w:pPr>
          </w:p>
          <w:p w14:paraId="7105B25A">
            <w:pPr>
              <w:spacing w:line="242" w:lineRule="auto"/>
              <w:rPr>
                <w:rFonts w:ascii="Arial"/>
                <w:sz w:val="21"/>
              </w:rPr>
            </w:pPr>
          </w:p>
          <w:p w14:paraId="6733AAB3">
            <w:pPr>
              <w:spacing w:line="242" w:lineRule="auto"/>
              <w:rPr>
                <w:rFonts w:ascii="Arial"/>
                <w:sz w:val="21"/>
              </w:rPr>
            </w:pPr>
          </w:p>
          <w:p w14:paraId="4D867177">
            <w:pPr>
              <w:spacing w:line="243" w:lineRule="auto"/>
              <w:rPr>
                <w:rFonts w:ascii="Arial"/>
                <w:sz w:val="21"/>
              </w:rPr>
            </w:pPr>
          </w:p>
          <w:p w14:paraId="22B8EEAA">
            <w:pPr>
              <w:pStyle w:val="6"/>
              <w:spacing w:before="65" w:line="241" w:lineRule="auto"/>
              <w:ind w:left="747" w:right="124" w:hanging="627"/>
              <w:rPr>
                <w:sz w:val="20"/>
                <w:szCs w:val="20"/>
              </w:rPr>
            </w:pPr>
            <w:r>
              <w:rPr>
                <w:spacing w:val="8"/>
                <w:sz w:val="20"/>
                <w:szCs w:val="20"/>
              </w:rPr>
              <w:t>一般工业固体废</w:t>
            </w:r>
            <w:r>
              <w:rPr>
                <w:sz w:val="20"/>
                <w:szCs w:val="20"/>
              </w:rPr>
              <w:t xml:space="preserve"> 物</w:t>
            </w:r>
          </w:p>
        </w:tc>
        <w:tc>
          <w:tcPr>
            <w:tcW w:w="1631" w:type="dxa"/>
            <w:vAlign w:val="top"/>
          </w:tcPr>
          <w:p w14:paraId="64FB75C5">
            <w:pPr>
              <w:spacing w:line="392" w:lineRule="auto"/>
              <w:rPr>
                <w:rFonts w:ascii="Arial"/>
                <w:sz w:val="21"/>
              </w:rPr>
            </w:pPr>
          </w:p>
          <w:p w14:paraId="39156205">
            <w:pPr>
              <w:pStyle w:val="6"/>
              <w:spacing w:before="65" w:line="228" w:lineRule="auto"/>
              <w:ind w:left="403"/>
              <w:rPr>
                <w:sz w:val="20"/>
                <w:szCs w:val="20"/>
              </w:rPr>
            </w:pPr>
            <w:r>
              <w:rPr>
                <w:spacing w:val="6"/>
                <w:sz w:val="20"/>
                <w:szCs w:val="20"/>
              </w:rPr>
              <w:t>生活垃圾</w:t>
            </w:r>
          </w:p>
        </w:tc>
        <w:tc>
          <w:tcPr>
            <w:tcW w:w="1795" w:type="dxa"/>
            <w:vAlign w:val="top"/>
          </w:tcPr>
          <w:p w14:paraId="53F32F8A">
            <w:pPr>
              <w:pStyle w:val="6"/>
              <w:spacing w:before="51" w:line="228" w:lineRule="auto"/>
              <w:ind w:left="171"/>
              <w:rPr>
                <w:sz w:val="20"/>
                <w:szCs w:val="20"/>
              </w:rPr>
            </w:pPr>
            <w:r>
              <w:rPr>
                <w:spacing w:val="8"/>
                <w:sz w:val="20"/>
                <w:szCs w:val="20"/>
              </w:rPr>
              <w:t>运送至当地指定</w:t>
            </w:r>
          </w:p>
          <w:p w14:paraId="66D28039">
            <w:pPr>
              <w:pStyle w:val="6"/>
              <w:spacing w:before="23" w:line="228" w:lineRule="auto"/>
              <w:ind w:left="189"/>
              <w:rPr>
                <w:sz w:val="20"/>
                <w:szCs w:val="20"/>
              </w:rPr>
            </w:pPr>
            <w:r>
              <w:rPr>
                <w:spacing w:val="6"/>
                <w:sz w:val="20"/>
                <w:szCs w:val="20"/>
              </w:rPr>
              <w:t>的垃圾存放处由</w:t>
            </w:r>
          </w:p>
          <w:p w14:paraId="380CFC08">
            <w:pPr>
              <w:pStyle w:val="6"/>
              <w:spacing w:before="26" w:line="228" w:lineRule="auto"/>
              <w:ind w:left="171"/>
              <w:rPr>
                <w:sz w:val="20"/>
                <w:szCs w:val="20"/>
              </w:rPr>
            </w:pPr>
            <w:r>
              <w:rPr>
                <w:spacing w:val="8"/>
                <w:sz w:val="20"/>
                <w:szCs w:val="20"/>
              </w:rPr>
              <w:t>环卫部门统一处</w:t>
            </w:r>
          </w:p>
          <w:p w14:paraId="24A25820">
            <w:pPr>
              <w:pStyle w:val="6"/>
              <w:spacing w:before="24" w:line="199" w:lineRule="auto"/>
              <w:ind w:left="805"/>
              <w:rPr>
                <w:sz w:val="20"/>
                <w:szCs w:val="20"/>
              </w:rPr>
            </w:pPr>
            <w:r>
              <w:rPr>
                <w:sz w:val="20"/>
                <w:szCs w:val="20"/>
              </w:rPr>
              <w:t>理</w:t>
            </w:r>
          </w:p>
        </w:tc>
        <w:tc>
          <w:tcPr>
            <w:tcW w:w="2522" w:type="dxa"/>
            <w:vMerge w:val="restart"/>
            <w:tcBorders>
              <w:bottom w:val="nil"/>
              <w:right w:val="single" w:color="000000" w:sz="10" w:space="0"/>
            </w:tcBorders>
            <w:vAlign w:val="top"/>
          </w:tcPr>
          <w:p w14:paraId="1A49C880">
            <w:pPr>
              <w:spacing w:line="269" w:lineRule="auto"/>
              <w:rPr>
                <w:rFonts w:ascii="Arial"/>
                <w:sz w:val="21"/>
              </w:rPr>
            </w:pPr>
          </w:p>
          <w:p w14:paraId="1A95371B">
            <w:pPr>
              <w:spacing w:line="269" w:lineRule="auto"/>
              <w:rPr>
                <w:rFonts w:ascii="Arial"/>
                <w:sz w:val="21"/>
              </w:rPr>
            </w:pPr>
          </w:p>
          <w:p w14:paraId="0A56BEDE">
            <w:pPr>
              <w:spacing w:line="269" w:lineRule="auto"/>
              <w:rPr>
                <w:rFonts w:ascii="Arial"/>
                <w:sz w:val="21"/>
              </w:rPr>
            </w:pPr>
          </w:p>
          <w:p w14:paraId="265EB2CD">
            <w:pPr>
              <w:spacing w:line="269" w:lineRule="auto"/>
              <w:rPr>
                <w:rFonts w:ascii="Arial"/>
                <w:sz w:val="21"/>
              </w:rPr>
            </w:pPr>
          </w:p>
          <w:p w14:paraId="77BC9505">
            <w:pPr>
              <w:pStyle w:val="6"/>
              <w:spacing w:before="65" w:line="228" w:lineRule="auto"/>
              <w:ind w:left="225"/>
              <w:rPr>
                <w:sz w:val="20"/>
                <w:szCs w:val="20"/>
              </w:rPr>
            </w:pPr>
            <w:r>
              <w:rPr>
                <w:spacing w:val="8"/>
                <w:sz w:val="20"/>
                <w:szCs w:val="20"/>
              </w:rPr>
              <w:t>《一般工业固体废物贮</w:t>
            </w:r>
          </w:p>
          <w:p w14:paraId="09CEFE32">
            <w:pPr>
              <w:pStyle w:val="6"/>
              <w:spacing w:before="25" w:line="228" w:lineRule="auto"/>
              <w:ind w:left="118"/>
              <w:rPr>
                <w:sz w:val="20"/>
                <w:szCs w:val="20"/>
              </w:rPr>
            </w:pPr>
            <w:r>
              <w:rPr>
                <w:spacing w:val="8"/>
                <w:sz w:val="20"/>
                <w:szCs w:val="20"/>
              </w:rPr>
              <w:t>存和填埋污染控制标准》</w:t>
            </w:r>
          </w:p>
          <w:p w14:paraId="204D44D9">
            <w:pPr>
              <w:pStyle w:val="6"/>
              <w:spacing w:before="24"/>
              <w:ind w:left="381"/>
              <w:rPr>
                <w:sz w:val="20"/>
                <w:szCs w:val="20"/>
              </w:rPr>
            </w:pPr>
            <w:r>
              <w:rPr>
                <w:spacing w:val="2"/>
                <w:sz w:val="20"/>
                <w:szCs w:val="20"/>
              </w:rPr>
              <w:t>（</w:t>
            </w:r>
            <w:r>
              <w:rPr>
                <w:rFonts w:ascii="Calibri" w:hAnsi="Calibri" w:eastAsia="Calibri" w:cs="Calibri"/>
                <w:sz w:val="20"/>
                <w:szCs w:val="20"/>
              </w:rPr>
              <w:t>GB</w:t>
            </w:r>
            <w:r>
              <w:rPr>
                <w:rFonts w:ascii="Calibri" w:hAnsi="Calibri" w:eastAsia="Calibri" w:cs="Calibri"/>
                <w:spacing w:val="19"/>
                <w:w w:val="101"/>
                <w:sz w:val="20"/>
                <w:szCs w:val="20"/>
              </w:rPr>
              <w:t xml:space="preserve">  </w:t>
            </w:r>
            <w:r>
              <w:rPr>
                <w:rFonts w:ascii="Calibri" w:hAnsi="Calibri" w:eastAsia="Calibri" w:cs="Calibri"/>
                <w:spacing w:val="2"/>
                <w:sz w:val="20"/>
                <w:szCs w:val="20"/>
              </w:rPr>
              <w:t>18599-2020</w:t>
            </w:r>
            <w:r>
              <w:rPr>
                <w:spacing w:val="2"/>
                <w:sz w:val="20"/>
                <w:szCs w:val="20"/>
              </w:rPr>
              <w:t>）</w:t>
            </w:r>
          </w:p>
        </w:tc>
      </w:tr>
      <w:tr w14:paraId="5B5B75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0" w:hRule="atLeast"/>
        </w:trPr>
        <w:tc>
          <w:tcPr>
            <w:tcW w:w="1706" w:type="dxa"/>
            <w:vMerge w:val="continue"/>
            <w:tcBorders>
              <w:top w:val="nil"/>
              <w:left w:val="single" w:color="000000" w:sz="10" w:space="0"/>
              <w:bottom w:val="nil"/>
            </w:tcBorders>
            <w:vAlign w:val="top"/>
          </w:tcPr>
          <w:p w14:paraId="6EB9E025">
            <w:pPr>
              <w:rPr>
                <w:rFonts w:ascii="Arial"/>
                <w:sz w:val="21"/>
              </w:rPr>
            </w:pPr>
          </w:p>
        </w:tc>
        <w:tc>
          <w:tcPr>
            <w:tcW w:w="1708" w:type="dxa"/>
            <w:vMerge w:val="continue"/>
            <w:tcBorders>
              <w:top w:val="nil"/>
              <w:bottom w:val="nil"/>
            </w:tcBorders>
            <w:vAlign w:val="top"/>
          </w:tcPr>
          <w:p w14:paraId="348CE159">
            <w:pPr>
              <w:rPr>
                <w:rFonts w:ascii="Arial"/>
                <w:sz w:val="21"/>
              </w:rPr>
            </w:pPr>
          </w:p>
        </w:tc>
        <w:tc>
          <w:tcPr>
            <w:tcW w:w="1631" w:type="dxa"/>
            <w:vAlign w:val="top"/>
          </w:tcPr>
          <w:p w14:paraId="2BB7DFA2">
            <w:pPr>
              <w:pStyle w:val="6"/>
              <w:spacing w:before="154" w:line="255" w:lineRule="auto"/>
              <w:ind w:left="505" w:right="144" w:hanging="332"/>
              <w:rPr>
                <w:sz w:val="20"/>
                <w:szCs w:val="20"/>
              </w:rPr>
            </w:pPr>
            <w:r>
              <w:rPr>
                <w:spacing w:val="4"/>
                <w:sz w:val="20"/>
                <w:szCs w:val="20"/>
              </w:rPr>
              <w:t>电子电器产品</w:t>
            </w:r>
            <w:r>
              <w:rPr>
                <w:rFonts w:ascii="Calibri" w:hAnsi="Calibri" w:eastAsia="Calibri" w:cs="Calibri"/>
                <w:spacing w:val="4"/>
                <w:sz w:val="20"/>
                <w:szCs w:val="20"/>
              </w:rPr>
              <w:t>/</w:t>
            </w:r>
            <w:r>
              <w:rPr>
                <w:rFonts w:ascii="Calibri" w:hAnsi="Calibri" w:eastAsia="Calibri" w:cs="Calibri"/>
                <w:spacing w:val="1"/>
                <w:sz w:val="20"/>
                <w:szCs w:val="20"/>
              </w:rPr>
              <w:t xml:space="preserve"> </w:t>
            </w:r>
            <w:r>
              <w:rPr>
                <w:spacing w:val="6"/>
                <w:sz w:val="20"/>
                <w:szCs w:val="20"/>
              </w:rPr>
              <w:t>元器件</w:t>
            </w:r>
          </w:p>
        </w:tc>
        <w:tc>
          <w:tcPr>
            <w:tcW w:w="1795" w:type="dxa"/>
            <w:vAlign w:val="top"/>
          </w:tcPr>
          <w:p w14:paraId="748C0C15">
            <w:pPr>
              <w:pStyle w:val="6"/>
              <w:spacing w:before="52" w:line="228" w:lineRule="auto"/>
              <w:ind w:left="176"/>
              <w:rPr>
                <w:sz w:val="20"/>
                <w:szCs w:val="20"/>
              </w:rPr>
            </w:pPr>
            <w:r>
              <w:rPr>
                <w:spacing w:val="8"/>
                <w:sz w:val="20"/>
                <w:szCs w:val="20"/>
              </w:rPr>
              <w:t>交由有废电器资</w:t>
            </w:r>
          </w:p>
          <w:p w14:paraId="07C471F8">
            <w:pPr>
              <w:pStyle w:val="6"/>
              <w:spacing w:before="24" w:line="228" w:lineRule="auto"/>
              <w:ind w:left="115"/>
              <w:rPr>
                <w:sz w:val="20"/>
                <w:szCs w:val="20"/>
              </w:rPr>
            </w:pPr>
            <w:r>
              <w:rPr>
                <w:spacing w:val="-4"/>
                <w:sz w:val="20"/>
                <w:szCs w:val="20"/>
              </w:rPr>
              <w:t>质企业拆解，不自</w:t>
            </w:r>
          </w:p>
          <w:p w14:paraId="5BB38A31">
            <w:pPr>
              <w:pStyle w:val="6"/>
              <w:spacing w:before="23" w:line="199" w:lineRule="auto"/>
              <w:ind w:left="595"/>
              <w:rPr>
                <w:sz w:val="20"/>
                <w:szCs w:val="20"/>
              </w:rPr>
            </w:pPr>
            <w:r>
              <w:rPr>
                <w:spacing w:val="5"/>
                <w:sz w:val="20"/>
                <w:szCs w:val="20"/>
              </w:rPr>
              <w:t>行拆解</w:t>
            </w:r>
          </w:p>
        </w:tc>
        <w:tc>
          <w:tcPr>
            <w:tcW w:w="2522" w:type="dxa"/>
            <w:vMerge w:val="continue"/>
            <w:tcBorders>
              <w:top w:val="nil"/>
              <w:bottom w:val="nil"/>
              <w:right w:val="single" w:color="000000" w:sz="10" w:space="0"/>
            </w:tcBorders>
            <w:vAlign w:val="top"/>
          </w:tcPr>
          <w:p w14:paraId="28207912">
            <w:pPr>
              <w:rPr>
                <w:rFonts w:ascii="Arial"/>
                <w:sz w:val="21"/>
              </w:rPr>
            </w:pPr>
          </w:p>
        </w:tc>
      </w:tr>
      <w:tr w14:paraId="27DEEB6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14" w:hRule="atLeast"/>
        </w:trPr>
        <w:tc>
          <w:tcPr>
            <w:tcW w:w="1706" w:type="dxa"/>
            <w:vMerge w:val="continue"/>
            <w:tcBorders>
              <w:top w:val="nil"/>
              <w:left w:val="single" w:color="000000" w:sz="10" w:space="0"/>
              <w:bottom w:val="single" w:color="000000" w:sz="10" w:space="0"/>
            </w:tcBorders>
            <w:vAlign w:val="top"/>
          </w:tcPr>
          <w:p w14:paraId="4F5250DE">
            <w:pPr>
              <w:rPr>
                <w:rFonts w:ascii="Arial"/>
                <w:sz w:val="21"/>
              </w:rPr>
            </w:pPr>
          </w:p>
        </w:tc>
        <w:tc>
          <w:tcPr>
            <w:tcW w:w="1708" w:type="dxa"/>
            <w:vMerge w:val="continue"/>
            <w:tcBorders>
              <w:top w:val="nil"/>
              <w:bottom w:val="single" w:color="000000" w:sz="10" w:space="0"/>
            </w:tcBorders>
            <w:vAlign w:val="top"/>
          </w:tcPr>
          <w:p w14:paraId="3A3FD1C4">
            <w:pPr>
              <w:rPr>
                <w:rFonts w:ascii="Arial"/>
                <w:sz w:val="21"/>
              </w:rPr>
            </w:pPr>
          </w:p>
        </w:tc>
        <w:tc>
          <w:tcPr>
            <w:tcW w:w="1631" w:type="dxa"/>
            <w:tcBorders>
              <w:bottom w:val="single" w:color="000000" w:sz="10" w:space="0"/>
            </w:tcBorders>
            <w:vAlign w:val="top"/>
          </w:tcPr>
          <w:p w14:paraId="0D1ED112">
            <w:pPr>
              <w:pStyle w:val="6"/>
              <w:spacing w:before="189" w:line="243" w:lineRule="auto"/>
              <w:ind w:left="110" w:right="107" w:firstLine="82"/>
              <w:jc w:val="both"/>
              <w:rPr>
                <w:sz w:val="20"/>
                <w:szCs w:val="20"/>
              </w:rPr>
            </w:pPr>
            <w:r>
              <w:rPr>
                <w:spacing w:val="7"/>
                <w:sz w:val="20"/>
                <w:szCs w:val="20"/>
              </w:rPr>
              <w:t>玻璃、废旧轮</w:t>
            </w:r>
            <w:r>
              <w:rPr>
                <w:spacing w:val="3"/>
                <w:sz w:val="20"/>
                <w:szCs w:val="20"/>
              </w:rPr>
              <w:t xml:space="preserve"> </w:t>
            </w:r>
            <w:r>
              <w:rPr>
                <w:spacing w:val="1"/>
                <w:sz w:val="20"/>
                <w:szCs w:val="20"/>
              </w:rPr>
              <w:t>胎、塑料、密封</w:t>
            </w:r>
            <w:r>
              <w:rPr>
                <w:sz w:val="20"/>
                <w:szCs w:val="20"/>
              </w:rPr>
              <w:t xml:space="preserve"> </w:t>
            </w:r>
            <w:r>
              <w:rPr>
                <w:spacing w:val="21"/>
                <w:sz w:val="20"/>
                <w:szCs w:val="20"/>
              </w:rPr>
              <w:t>胶条、金属类</w:t>
            </w:r>
          </w:p>
        </w:tc>
        <w:tc>
          <w:tcPr>
            <w:tcW w:w="1795" w:type="dxa"/>
            <w:tcBorders>
              <w:bottom w:val="single" w:color="000000" w:sz="10" w:space="0"/>
            </w:tcBorders>
            <w:vAlign w:val="top"/>
          </w:tcPr>
          <w:p w14:paraId="7169B5AD">
            <w:pPr>
              <w:pStyle w:val="6"/>
              <w:spacing w:before="50" w:line="243" w:lineRule="auto"/>
              <w:ind w:left="113" w:right="38" w:firstLine="4"/>
              <w:jc w:val="both"/>
              <w:rPr>
                <w:sz w:val="20"/>
                <w:szCs w:val="20"/>
              </w:rPr>
            </w:pPr>
            <w:r>
              <w:rPr>
                <w:spacing w:val="4"/>
                <w:sz w:val="20"/>
                <w:szCs w:val="20"/>
              </w:rPr>
              <w:t>玻璃、废旧轮胎、</w:t>
            </w:r>
            <w:r>
              <w:rPr>
                <w:sz w:val="20"/>
                <w:szCs w:val="20"/>
              </w:rPr>
              <w:t xml:space="preserve"> </w:t>
            </w:r>
            <w:r>
              <w:rPr>
                <w:spacing w:val="4"/>
                <w:sz w:val="20"/>
                <w:szCs w:val="20"/>
              </w:rPr>
              <w:t>塑料、密封胶条、</w:t>
            </w:r>
            <w:r>
              <w:rPr>
                <w:spacing w:val="5"/>
                <w:sz w:val="20"/>
                <w:szCs w:val="20"/>
              </w:rPr>
              <w:t xml:space="preserve"> </w:t>
            </w:r>
            <w:r>
              <w:rPr>
                <w:spacing w:val="-4"/>
                <w:sz w:val="20"/>
                <w:szCs w:val="20"/>
              </w:rPr>
              <w:t>金属类，暂存在拆</w:t>
            </w:r>
            <w:r>
              <w:rPr>
                <w:spacing w:val="5"/>
                <w:sz w:val="20"/>
                <w:szCs w:val="20"/>
              </w:rPr>
              <w:t xml:space="preserve"> </w:t>
            </w:r>
            <w:r>
              <w:rPr>
                <w:spacing w:val="2"/>
                <w:sz w:val="20"/>
                <w:szCs w:val="20"/>
              </w:rPr>
              <w:t>解后物料储存区，</w:t>
            </w:r>
          </w:p>
        </w:tc>
        <w:tc>
          <w:tcPr>
            <w:tcW w:w="2522" w:type="dxa"/>
            <w:vMerge w:val="continue"/>
            <w:tcBorders>
              <w:top w:val="nil"/>
              <w:bottom w:val="single" w:color="000000" w:sz="10" w:space="0"/>
              <w:right w:val="single" w:color="000000" w:sz="10" w:space="0"/>
            </w:tcBorders>
            <w:vAlign w:val="top"/>
          </w:tcPr>
          <w:p w14:paraId="4CA7C0AD">
            <w:pPr>
              <w:rPr>
                <w:rFonts w:ascii="Arial"/>
                <w:sz w:val="21"/>
              </w:rPr>
            </w:pPr>
          </w:p>
        </w:tc>
      </w:tr>
    </w:tbl>
    <w:p w14:paraId="16EC0B26">
      <w:pPr>
        <w:pStyle w:val="2"/>
      </w:pPr>
    </w:p>
    <w:p w14:paraId="35BE076B">
      <w:pPr>
        <w:sectPr>
          <w:footerReference r:id="rId98" w:type="default"/>
          <w:pgSz w:w="11906" w:h="16839"/>
          <w:pgMar w:top="1431" w:right="1259" w:bottom="1263" w:left="1258" w:header="0" w:footer="1097" w:gutter="0"/>
          <w:cols w:space="720" w:num="1"/>
        </w:sectPr>
      </w:pPr>
    </w:p>
    <w:tbl>
      <w:tblPr>
        <w:tblStyle w:val="5"/>
        <w:tblW w:w="936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1708"/>
        <w:gridCol w:w="1631"/>
        <w:gridCol w:w="1795"/>
        <w:gridCol w:w="2522"/>
      </w:tblGrid>
      <w:tr w14:paraId="5006095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706" w:type="dxa"/>
            <w:tcBorders>
              <w:top w:val="single" w:color="000000" w:sz="10" w:space="0"/>
              <w:left w:val="single" w:color="000000" w:sz="10" w:space="0"/>
            </w:tcBorders>
            <w:vAlign w:val="top"/>
          </w:tcPr>
          <w:p w14:paraId="573B29D7">
            <w:pPr>
              <w:rPr>
                <w:rFonts w:ascii="Arial"/>
                <w:sz w:val="21"/>
              </w:rPr>
            </w:pPr>
          </w:p>
        </w:tc>
        <w:tc>
          <w:tcPr>
            <w:tcW w:w="1708" w:type="dxa"/>
            <w:tcBorders>
              <w:top w:val="single" w:color="000000" w:sz="10" w:space="0"/>
            </w:tcBorders>
            <w:vAlign w:val="top"/>
          </w:tcPr>
          <w:p w14:paraId="0EAAED1D">
            <w:pPr>
              <w:rPr>
                <w:rFonts w:ascii="Arial"/>
                <w:sz w:val="21"/>
              </w:rPr>
            </w:pPr>
          </w:p>
        </w:tc>
        <w:tc>
          <w:tcPr>
            <w:tcW w:w="1631" w:type="dxa"/>
            <w:tcBorders>
              <w:top w:val="single" w:color="000000" w:sz="10" w:space="0"/>
            </w:tcBorders>
            <w:vAlign w:val="top"/>
          </w:tcPr>
          <w:p w14:paraId="73811018">
            <w:pPr>
              <w:rPr>
                <w:rFonts w:ascii="Arial"/>
                <w:sz w:val="21"/>
              </w:rPr>
            </w:pPr>
          </w:p>
        </w:tc>
        <w:tc>
          <w:tcPr>
            <w:tcW w:w="1795" w:type="dxa"/>
            <w:tcBorders>
              <w:top w:val="single" w:color="000000" w:sz="10" w:space="0"/>
            </w:tcBorders>
            <w:vAlign w:val="top"/>
          </w:tcPr>
          <w:p w14:paraId="5F1AEBFF">
            <w:pPr>
              <w:pStyle w:val="6"/>
              <w:spacing w:before="16" w:line="239" w:lineRule="auto"/>
              <w:ind w:left="506" w:right="157" w:hanging="330"/>
              <w:rPr>
                <w:sz w:val="20"/>
                <w:szCs w:val="20"/>
              </w:rPr>
            </w:pPr>
            <w:r>
              <w:rPr>
                <w:spacing w:val="8"/>
                <w:sz w:val="20"/>
                <w:szCs w:val="20"/>
              </w:rPr>
              <w:t>外售给废旧资源</w:t>
            </w:r>
            <w:r>
              <w:rPr>
                <w:sz w:val="20"/>
                <w:szCs w:val="20"/>
              </w:rPr>
              <w:t xml:space="preserve"> </w:t>
            </w:r>
            <w:r>
              <w:rPr>
                <w:spacing w:val="2"/>
                <w:sz w:val="20"/>
                <w:szCs w:val="20"/>
              </w:rPr>
              <w:t>回收公司</w:t>
            </w:r>
          </w:p>
        </w:tc>
        <w:tc>
          <w:tcPr>
            <w:tcW w:w="2522" w:type="dxa"/>
            <w:tcBorders>
              <w:top w:val="single" w:color="000000" w:sz="10" w:space="0"/>
              <w:right w:val="single" w:color="000000" w:sz="10" w:space="0"/>
            </w:tcBorders>
            <w:vAlign w:val="top"/>
          </w:tcPr>
          <w:p w14:paraId="10DCC716">
            <w:pPr>
              <w:rPr>
                <w:rFonts w:ascii="Arial"/>
                <w:sz w:val="21"/>
              </w:rPr>
            </w:pPr>
          </w:p>
        </w:tc>
      </w:tr>
      <w:tr w14:paraId="062099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76" w:hRule="atLeast"/>
        </w:trPr>
        <w:tc>
          <w:tcPr>
            <w:tcW w:w="1706" w:type="dxa"/>
            <w:tcBorders>
              <w:left w:val="single" w:color="000000" w:sz="10" w:space="0"/>
            </w:tcBorders>
            <w:vAlign w:val="top"/>
          </w:tcPr>
          <w:p w14:paraId="21B1F724">
            <w:pPr>
              <w:pStyle w:val="6"/>
              <w:spacing w:before="33" w:line="215" w:lineRule="auto"/>
              <w:ind w:left="216"/>
              <w:rPr>
                <w:sz w:val="20"/>
                <w:szCs w:val="20"/>
              </w:rPr>
            </w:pPr>
            <w:r>
              <w:rPr>
                <w:spacing w:val="7"/>
                <w:sz w:val="20"/>
                <w:szCs w:val="20"/>
              </w:rPr>
              <w:t>生态保护措施</w:t>
            </w:r>
          </w:p>
        </w:tc>
        <w:tc>
          <w:tcPr>
            <w:tcW w:w="7656" w:type="dxa"/>
            <w:gridSpan w:val="4"/>
            <w:tcBorders>
              <w:right w:val="single" w:color="000000" w:sz="10" w:space="0"/>
            </w:tcBorders>
            <w:vAlign w:val="top"/>
          </w:tcPr>
          <w:p w14:paraId="13218448">
            <w:pPr>
              <w:spacing w:line="265" w:lineRule="exact"/>
              <w:ind w:left="3781"/>
              <w:rPr>
                <w:rFonts w:ascii="Calibri" w:hAnsi="Calibri" w:eastAsia="Calibri" w:cs="Calibri"/>
                <w:sz w:val="20"/>
                <w:szCs w:val="20"/>
              </w:rPr>
            </w:pPr>
            <w:r>
              <w:rPr>
                <w:rFonts w:ascii="Calibri" w:hAnsi="Calibri" w:eastAsia="Calibri" w:cs="Calibri"/>
                <w:spacing w:val="3"/>
                <w:position w:val="2"/>
                <w:sz w:val="20"/>
                <w:szCs w:val="20"/>
              </w:rPr>
              <w:t>/</w:t>
            </w:r>
          </w:p>
        </w:tc>
      </w:tr>
      <w:tr w14:paraId="5029E1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077" w:hRule="atLeast"/>
        </w:trPr>
        <w:tc>
          <w:tcPr>
            <w:tcW w:w="1706" w:type="dxa"/>
            <w:tcBorders>
              <w:left w:val="single" w:color="000000" w:sz="10" w:space="0"/>
              <w:bottom w:val="single" w:color="000000" w:sz="10" w:space="0"/>
            </w:tcBorders>
            <w:vAlign w:val="top"/>
          </w:tcPr>
          <w:p w14:paraId="55E5CE8D">
            <w:pPr>
              <w:spacing w:line="247" w:lineRule="auto"/>
              <w:rPr>
                <w:rFonts w:ascii="Arial"/>
                <w:sz w:val="21"/>
              </w:rPr>
            </w:pPr>
          </w:p>
          <w:p w14:paraId="53FD2781">
            <w:pPr>
              <w:spacing w:line="247" w:lineRule="auto"/>
              <w:rPr>
                <w:rFonts w:ascii="Arial"/>
                <w:sz w:val="21"/>
              </w:rPr>
            </w:pPr>
          </w:p>
          <w:p w14:paraId="69026FC6">
            <w:pPr>
              <w:spacing w:line="247" w:lineRule="auto"/>
              <w:rPr>
                <w:rFonts w:ascii="Arial"/>
                <w:sz w:val="21"/>
              </w:rPr>
            </w:pPr>
          </w:p>
          <w:p w14:paraId="2781A8FB">
            <w:pPr>
              <w:spacing w:line="247" w:lineRule="auto"/>
              <w:rPr>
                <w:rFonts w:ascii="Arial"/>
                <w:sz w:val="21"/>
              </w:rPr>
            </w:pPr>
          </w:p>
          <w:p w14:paraId="56C9412E">
            <w:pPr>
              <w:spacing w:line="247" w:lineRule="auto"/>
              <w:rPr>
                <w:rFonts w:ascii="Arial"/>
                <w:sz w:val="21"/>
              </w:rPr>
            </w:pPr>
          </w:p>
          <w:p w14:paraId="21E6CD05">
            <w:pPr>
              <w:spacing w:line="247" w:lineRule="auto"/>
              <w:rPr>
                <w:rFonts w:ascii="Arial"/>
                <w:sz w:val="21"/>
              </w:rPr>
            </w:pPr>
          </w:p>
          <w:p w14:paraId="1781FFE5">
            <w:pPr>
              <w:spacing w:line="247" w:lineRule="auto"/>
              <w:rPr>
                <w:rFonts w:ascii="Arial"/>
                <w:sz w:val="21"/>
              </w:rPr>
            </w:pPr>
          </w:p>
          <w:p w14:paraId="56E1E6C8">
            <w:pPr>
              <w:spacing w:line="247" w:lineRule="auto"/>
              <w:rPr>
                <w:rFonts w:ascii="Arial"/>
                <w:sz w:val="21"/>
              </w:rPr>
            </w:pPr>
          </w:p>
          <w:p w14:paraId="056439C3">
            <w:pPr>
              <w:spacing w:line="248" w:lineRule="auto"/>
              <w:rPr>
                <w:rFonts w:ascii="Arial"/>
                <w:sz w:val="21"/>
              </w:rPr>
            </w:pPr>
          </w:p>
          <w:p w14:paraId="16C802C9">
            <w:pPr>
              <w:spacing w:line="248" w:lineRule="auto"/>
              <w:rPr>
                <w:rFonts w:ascii="Arial"/>
                <w:sz w:val="21"/>
              </w:rPr>
            </w:pPr>
          </w:p>
          <w:p w14:paraId="3E13C7ED">
            <w:pPr>
              <w:spacing w:line="248" w:lineRule="auto"/>
              <w:rPr>
                <w:rFonts w:ascii="Arial"/>
                <w:sz w:val="21"/>
              </w:rPr>
            </w:pPr>
          </w:p>
          <w:p w14:paraId="0F1E560A">
            <w:pPr>
              <w:spacing w:line="248" w:lineRule="auto"/>
              <w:rPr>
                <w:rFonts w:ascii="Arial"/>
                <w:sz w:val="21"/>
              </w:rPr>
            </w:pPr>
          </w:p>
          <w:p w14:paraId="7D870CB4">
            <w:pPr>
              <w:spacing w:line="248" w:lineRule="auto"/>
              <w:rPr>
                <w:rFonts w:ascii="Arial"/>
                <w:sz w:val="21"/>
              </w:rPr>
            </w:pPr>
          </w:p>
          <w:p w14:paraId="209FF0A7">
            <w:pPr>
              <w:spacing w:line="248" w:lineRule="auto"/>
              <w:rPr>
                <w:rFonts w:ascii="Arial"/>
                <w:sz w:val="21"/>
              </w:rPr>
            </w:pPr>
          </w:p>
          <w:p w14:paraId="2713B623">
            <w:pPr>
              <w:spacing w:line="248" w:lineRule="auto"/>
              <w:rPr>
                <w:rFonts w:ascii="Arial"/>
                <w:sz w:val="21"/>
              </w:rPr>
            </w:pPr>
          </w:p>
          <w:p w14:paraId="3E20BBAE">
            <w:pPr>
              <w:spacing w:line="248" w:lineRule="auto"/>
              <w:rPr>
                <w:rFonts w:ascii="Arial"/>
                <w:sz w:val="21"/>
              </w:rPr>
            </w:pPr>
          </w:p>
          <w:p w14:paraId="0C873097">
            <w:pPr>
              <w:spacing w:line="248" w:lineRule="auto"/>
              <w:rPr>
                <w:rFonts w:ascii="Arial"/>
                <w:sz w:val="21"/>
              </w:rPr>
            </w:pPr>
          </w:p>
          <w:p w14:paraId="6EE44B09">
            <w:pPr>
              <w:spacing w:line="248" w:lineRule="auto"/>
              <w:rPr>
                <w:rFonts w:ascii="Arial"/>
                <w:sz w:val="21"/>
              </w:rPr>
            </w:pPr>
          </w:p>
          <w:p w14:paraId="58E764FA">
            <w:pPr>
              <w:spacing w:line="248" w:lineRule="auto"/>
              <w:rPr>
                <w:rFonts w:ascii="Arial"/>
                <w:sz w:val="21"/>
              </w:rPr>
            </w:pPr>
          </w:p>
          <w:p w14:paraId="12010955">
            <w:pPr>
              <w:spacing w:line="248" w:lineRule="auto"/>
              <w:rPr>
                <w:rFonts w:ascii="Arial"/>
                <w:sz w:val="21"/>
              </w:rPr>
            </w:pPr>
          </w:p>
          <w:p w14:paraId="0C71F979">
            <w:pPr>
              <w:spacing w:line="248" w:lineRule="auto"/>
              <w:rPr>
                <w:rFonts w:ascii="Arial"/>
                <w:sz w:val="21"/>
              </w:rPr>
            </w:pPr>
          </w:p>
          <w:p w14:paraId="2B94AD52">
            <w:pPr>
              <w:spacing w:line="248" w:lineRule="auto"/>
              <w:rPr>
                <w:rFonts w:ascii="Arial"/>
                <w:sz w:val="21"/>
              </w:rPr>
            </w:pPr>
          </w:p>
          <w:p w14:paraId="356AACD3">
            <w:pPr>
              <w:spacing w:line="248" w:lineRule="auto"/>
              <w:rPr>
                <w:rFonts w:ascii="Arial"/>
                <w:sz w:val="21"/>
              </w:rPr>
            </w:pPr>
          </w:p>
          <w:p w14:paraId="4FB21D4C">
            <w:pPr>
              <w:spacing w:line="248" w:lineRule="auto"/>
              <w:rPr>
                <w:rFonts w:ascii="Arial"/>
                <w:sz w:val="21"/>
              </w:rPr>
            </w:pPr>
          </w:p>
          <w:p w14:paraId="229BA13B">
            <w:pPr>
              <w:spacing w:line="248" w:lineRule="auto"/>
              <w:rPr>
                <w:rFonts w:ascii="Arial"/>
                <w:sz w:val="21"/>
              </w:rPr>
            </w:pPr>
          </w:p>
          <w:p w14:paraId="303CBD58">
            <w:pPr>
              <w:pStyle w:val="6"/>
              <w:spacing w:before="65" w:line="242" w:lineRule="auto"/>
              <w:ind w:left="739" w:right="120" w:hanging="630"/>
              <w:rPr>
                <w:sz w:val="20"/>
                <w:szCs w:val="20"/>
              </w:rPr>
            </w:pPr>
            <w:r>
              <w:rPr>
                <w:spacing w:val="8"/>
                <w:sz w:val="20"/>
                <w:szCs w:val="20"/>
              </w:rPr>
              <w:t>环境风险防范措</w:t>
            </w:r>
            <w:r>
              <w:rPr>
                <w:spacing w:val="3"/>
                <w:sz w:val="20"/>
                <w:szCs w:val="20"/>
              </w:rPr>
              <w:t xml:space="preserve"> </w:t>
            </w:r>
            <w:r>
              <w:rPr>
                <w:spacing w:val="1"/>
                <w:sz w:val="20"/>
                <w:szCs w:val="20"/>
              </w:rPr>
              <w:t>施</w:t>
            </w:r>
          </w:p>
        </w:tc>
        <w:tc>
          <w:tcPr>
            <w:tcW w:w="7656" w:type="dxa"/>
            <w:gridSpan w:val="4"/>
            <w:tcBorders>
              <w:bottom w:val="single" w:color="000000" w:sz="10" w:space="0"/>
              <w:right w:val="single" w:color="000000" w:sz="10" w:space="0"/>
            </w:tcBorders>
            <w:vAlign w:val="top"/>
          </w:tcPr>
          <w:p w14:paraId="79AB3A7E">
            <w:pPr>
              <w:pStyle w:val="6"/>
              <w:spacing w:before="34" w:line="228" w:lineRule="auto"/>
              <w:ind w:left="526"/>
              <w:rPr>
                <w:rFonts w:ascii="Calibri" w:hAnsi="Calibri" w:eastAsia="Calibri" w:cs="Calibri"/>
                <w:sz w:val="20"/>
                <w:szCs w:val="20"/>
              </w:rPr>
            </w:pPr>
            <w:r>
              <w:rPr>
                <w:spacing w:val="8"/>
                <w:sz w:val="20"/>
                <w:szCs w:val="20"/>
              </w:rPr>
              <w:t>贮存过程中事故防范措施</w:t>
            </w:r>
            <w:r>
              <w:rPr>
                <w:rFonts w:ascii="Calibri" w:hAnsi="Calibri" w:eastAsia="Calibri" w:cs="Calibri"/>
                <w:spacing w:val="8"/>
                <w:sz w:val="20"/>
                <w:szCs w:val="20"/>
              </w:rPr>
              <w:t>:</w:t>
            </w:r>
          </w:p>
          <w:p w14:paraId="7A8BC28B">
            <w:pPr>
              <w:pStyle w:val="6"/>
              <w:spacing w:before="24" w:line="248" w:lineRule="auto"/>
              <w:ind w:left="104" w:right="96" w:firstLine="420"/>
              <w:rPr>
                <w:sz w:val="20"/>
                <w:szCs w:val="20"/>
              </w:rPr>
            </w:pPr>
            <w:r>
              <w:rPr>
                <w:spacing w:val="6"/>
                <w:sz w:val="20"/>
                <w:szCs w:val="20"/>
              </w:rPr>
              <w:t>①严格按贮存要求设计。在废电池的收集、储存及转运过程中，严格执行《废</w:t>
            </w:r>
            <w:r>
              <w:rPr>
                <w:spacing w:val="12"/>
                <w:sz w:val="20"/>
                <w:szCs w:val="20"/>
              </w:rPr>
              <w:t xml:space="preserve"> </w:t>
            </w:r>
            <w:r>
              <w:rPr>
                <w:spacing w:val="9"/>
                <w:sz w:val="20"/>
                <w:szCs w:val="20"/>
              </w:rPr>
              <w:t>铅酸蓄电池处理污染控制技术规范》（</w:t>
            </w:r>
            <w:r>
              <w:rPr>
                <w:spacing w:val="56"/>
                <w:sz w:val="20"/>
                <w:szCs w:val="20"/>
              </w:rPr>
              <w:t xml:space="preserve"> </w:t>
            </w:r>
            <w:r>
              <w:rPr>
                <w:rFonts w:ascii="Calibri" w:hAnsi="Calibri" w:eastAsia="Calibri" w:cs="Calibri"/>
                <w:sz w:val="20"/>
                <w:szCs w:val="20"/>
              </w:rPr>
              <w:t>HJ</w:t>
            </w:r>
            <w:r>
              <w:rPr>
                <w:rFonts w:ascii="Calibri" w:hAnsi="Calibri" w:eastAsia="Calibri" w:cs="Calibri"/>
                <w:spacing w:val="9"/>
                <w:sz w:val="20"/>
                <w:szCs w:val="20"/>
              </w:rPr>
              <w:t>51</w:t>
            </w:r>
            <w:r>
              <w:rPr>
                <w:rFonts w:ascii="Calibri" w:hAnsi="Calibri" w:eastAsia="Calibri" w:cs="Calibri"/>
                <w:spacing w:val="8"/>
                <w:sz w:val="20"/>
                <w:szCs w:val="20"/>
              </w:rPr>
              <w:t>9-2009</w:t>
            </w:r>
            <w:r>
              <w:rPr>
                <w:spacing w:val="8"/>
                <w:sz w:val="20"/>
                <w:szCs w:val="20"/>
              </w:rPr>
              <w:t>）相关要求，废电池的储存进</w:t>
            </w:r>
            <w:r>
              <w:rPr>
                <w:sz w:val="20"/>
                <w:szCs w:val="20"/>
              </w:rPr>
              <w:t xml:space="preserve"> </w:t>
            </w:r>
            <w:r>
              <w:rPr>
                <w:spacing w:val="12"/>
                <w:sz w:val="20"/>
                <w:szCs w:val="20"/>
              </w:rPr>
              <w:t>行分区储存，并进行隔离，废电池完好的放在托盘中并采用塑料膜包装以防碰撞</w:t>
            </w:r>
            <w:r>
              <w:rPr>
                <w:spacing w:val="16"/>
                <w:sz w:val="20"/>
                <w:szCs w:val="20"/>
              </w:rPr>
              <w:t xml:space="preserve"> </w:t>
            </w:r>
            <w:r>
              <w:rPr>
                <w:spacing w:val="12"/>
                <w:sz w:val="20"/>
                <w:szCs w:val="20"/>
              </w:rPr>
              <w:t>破损；如有破损的废电池放置在耐酸耐腐蚀的塑料箱内储存。危险废物贮存库地</w:t>
            </w:r>
            <w:r>
              <w:rPr>
                <w:spacing w:val="16"/>
                <w:sz w:val="20"/>
                <w:szCs w:val="20"/>
              </w:rPr>
              <w:t xml:space="preserve"> </w:t>
            </w:r>
            <w:r>
              <w:rPr>
                <w:spacing w:val="12"/>
                <w:sz w:val="20"/>
                <w:szCs w:val="20"/>
              </w:rPr>
              <w:t xml:space="preserve">面采取表面防渗措施，采用 </w:t>
            </w:r>
            <w:r>
              <w:rPr>
                <w:rFonts w:ascii="Calibri" w:hAnsi="Calibri" w:eastAsia="Calibri" w:cs="Calibri"/>
                <w:spacing w:val="12"/>
                <w:sz w:val="20"/>
                <w:szCs w:val="20"/>
              </w:rPr>
              <w:t>2</w:t>
            </w:r>
            <w:r>
              <w:rPr>
                <w:rFonts w:ascii="Calibri" w:hAnsi="Calibri" w:eastAsia="Calibri" w:cs="Calibri"/>
                <w:sz w:val="20"/>
                <w:szCs w:val="20"/>
              </w:rPr>
              <w:t>mm</w:t>
            </w:r>
            <w:r>
              <w:rPr>
                <w:rFonts w:ascii="Calibri" w:hAnsi="Calibri" w:eastAsia="Calibri" w:cs="Calibri"/>
                <w:spacing w:val="16"/>
                <w:sz w:val="20"/>
                <w:szCs w:val="20"/>
              </w:rPr>
              <w:t xml:space="preserve">  </w:t>
            </w:r>
            <w:r>
              <w:rPr>
                <w:spacing w:val="12"/>
                <w:sz w:val="20"/>
                <w:szCs w:val="20"/>
              </w:rPr>
              <w:t>厚高密度聚</w:t>
            </w:r>
            <w:r>
              <w:rPr>
                <w:spacing w:val="11"/>
                <w:sz w:val="20"/>
                <w:szCs w:val="20"/>
              </w:rPr>
              <w:t>乙烯膜防渗材料，渗透系数不大于</w:t>
            </w:r>
            <w:r>
              <w:rPr>
                <w:sz w:val="20"/>
                <w:szCs w:val="20"/>
              </w:rPr>
              <w:t xml:space="preserve"> </w:t>
            </w:r>
            <w:r>
              <w:rPr>
                <w:rFonts w:ascii="Calibri" w:hAnsi="Calibri" w:eastAsia="Calibri" w:cs="Calibri"/>
                <w:spacing w:val="7"/>
                <w:sz w:val="20"/>
                <w:szCs w:val="20"/>
              </w:rPr>
              <w:t>10</w:t>
            </w:r>
            <w:r>
              <w:rPr>
                <w:rFonts w:ascii="Calibri" w:hAnsi="Calibri" w:eastAsia="Calibri" w:cs="Calibri"/>
                <w:spacing w:val="7"/>
                <w:position w:val="7"/>
                <w:sz w:val="13"/>
                <w:szCs w:val="13"/>
              </w:rPr>
              <w:t>-10</w:t>
            </w:r>
            <w:r>
              <w:rPr>
                <w:rFonts w:ascii="Calibri" w:hAnsi="Calibri" w:eastAsia="Calibri" w:cs="Calibri"/>
                <w:sz w:val="20"/>
                <w:szCs w:val="20"/>
              </w:rPr>
              <w:t>cm</w:t>
            </w:r>
            <w:r>
              <w:rPr>
                <w:rFonts w:ascii="Calibri" w:hAnsi="Calibri" w:eastAsia="Calibri" w:cs="Calibri"/>
                <w:spacing w:val="7"/>
                <w:sz w:val="20"/>
                <w:szCs w:val="20"/>
              </w:rPr>
              <w:t>/s</w:t>
            </w:r>
            <w:r>
              <w:rPr>
                <w:rFonts w:ascii="Calibri" w:hAnsi="Calibri" w:eastAsia="Calibri" w:cs="Calibri"/>
                <w:spacing w:val="-18"/>
                <w:sz w:val="20"/>
                <w:szCs w:val="20"/>
              </w:rPr>
              <w:t xml:space="preserve"> </w:t>
            </w:r>
            <w:r>
              <w:rPr>
                <w:spacing w:val="7"/>
                <w:sz w:val="20"/>
                <w:szCs w:val="20"/>
              </w:rPr>
              <w:t>，满足《危险废物贮存污染控制标准》</w:t>
            </w:r>
            <w:r>
              <w:rPr>
                <w:spacing w:val="-79"/>
                <w:sz w:val="20"/>
                <w:szCs w:val="20"/>
              </w:rPr>
              <w:t xml:space="preserve"> </w:t>
            </w:r>
            <w:r>
              <w:rPr>
                <w:spacing w:val="7"/>
                <w:sz w:val="20"/>
                <w:szCs w:val="20"/>
              </w:rPr>
              <w:t>（</w:t>
            </w:r>
            <w:r>
              <w:rPr>
                <w:rFonts w:ascii="Calibri" w:hAnsi="Calibri" w:eastAsia="Calibri" w:cs="Calibri"/>
                <w:sz w:val="20"/>
                <w:szCs w:val="20"/>
              </w:rPr>
              <w:t>GB</w:t>
            </w:r>
            <w:r>
              <w:rPr>
                <w:rFonts w:ascii="Calibri" w:hAnsi="Calibri" w:eastAsia="Calibri" w:cs="Calibri"/>
                <w:spacing w:val="22"/>
                <w:w w:val="101"/>
                <w:sz w:val="20"/>
                <w:szCs w:val="20"/>
              </w:rPr>
              <w:t xml:space="preserve"> </w:t>
            </w:r>
            <w:r>
              <w:rPr>
                <w:rFonts w:ascii="Calibri" w:hAnsi="Calibri" w:eastAsia="Calibri" w:cs="Calibri"/>
                <w:spacing w:val="7"/>
                <w:sz w:val="20"/>
                <w:szCs w:val="20"/>
              </w:rPr>
              <w:t>18597-2023</w:t>
            </w:r>
            <w:r>
              <w:rPr>
                <w:spacing w:val="7"/>
                <w:sz w:val="20"/>
                <w:szCs w:val="20"/>
              </w:rPr>
              <w:t>）</w:t>
            </w:r>
            <w:r>
              <w:rPr>
                <w:spacing w:val="-54"/>
                <w:sz w:val="20"/>
                <w:szCs w:val="20"/>
              </w:rPr>
              <w:t xml:space="preserve"> </w:t>
            </w:r>
            <w:r>
              <w:rPr>
                <w:spacing w:val="7"/>
                <w:sz w:val="20"/>
                <w:szCs w:val="20"/>
              </w:rPr>
              <w:t>中防渗要求。</w:t>
            </w:r>
            <w:r>
              <w:rPr>
                <w:sz w:val="20"/>
                <w:szCs w:val="20"/>
              </w:rPr>
              <w:t xml:space="preserve"> </w:t>
            </w:r>
            <w:r>
              <w:rPr>
                <w:spacing w:val="9"/>
                <w:sz w:val="20"/>
                <w:szCs w:val="20"/>
              </w:rPr>
              <w:t>涉及防渗的工程（贮存库地面、围堰）在施工过程中，必须留有影像资料备查。</w:t>
            </w:r>
          </w:p>
          <w:p w14:paraId="3FA29EFD">
            <w:pPr>
              <w:pStyle w:val="6"/>
              <w:spacing w:before="23" w:line="246" w:lineRule="auto"/>
              <w:ind w:left="104" w:right="11" w:firstLine="419"/>
              <w:rPr>
                <w:sz w:val="20"/>
                <w:szCs w:val="20"/>
              </w:rPr>
            </w:pPr>
            <w:r>
              <w:rPr>
                <w:spacing w:val="13"/>
                <w:sz w:val="20"/>
                <w:szCs w:val="20"/>
              </w:rPr>
              <w:t>②盛装废电池及废矿物油的容器上必须粘贴相应危险</w:t>
            </w:r>
            <w:r>
              <w:rPr>
                <w:spacing w:val="12"/>
                <w:sz w:val="20"/>
                <w:szCs w:val="20"/>
              </w:rPr>
              <w:t>废物标志。危险废物贮</w:t>
            </w:r>
            <w:r>
              <w:rPr>
                <w:sz w:val="20"/>
                <w:szCs w:val="20"/>
              </w:rPr>
              <w:t xml:space="preserve">  </w:t>
            </w:r>
            <w:r>
              <w:rPr>
                <w:spacing w:val="4"/>
                <w:sz w:val="20"/>
                <w:szCs w:val="20"/>
              </w:rPr>
              <w:t>存设施都必须按环境保护图形标志《固体废物贮存（处置）场》（</w:t>
            </w:r>
            <w:r>
              <w:rPr>
                <w:rFonts w:ascii="Calibri" w:hAnsi="Calibri" w:eastAsia="Calibri" w:cs="Calibri"/>
                <w:sz w:val="20"/>
                <w:szCs w:val="20"/>
              </w:rPr>
              <w:t>GB</w:t>
            </w:r>
            <w:r>
              <w:rPr>
                <w:rFonts w:ascii="Calibri" w:hAnsi="Calibri" w:eastAsia="Calibri" w:cs="Calibri"/>
                <w:spacing w:val="4"/>
                <w:sz w:val="20"/>
                <w:szCs w:val="20"/>
              </w:rPr>
              <w:t>15562.2-</w:t>
            </w:r>
            <w:r>
              <w:rPr>
                <w:rFonts w:ascii="Calibri" w:hAnsi="Calibri" w:eastAsia="Calibri" w:cs="Calibri"/>
                <w:spacing w:val="3"/>
                <w:sz w:val="20"/>
                <w:szCs w:val="20"/>
              </w:rPr>
              <w:t>1995</w:t>
            </w:r>
            <w:r>
              <w:rPr>
                <w:spacing w:val="3"/>
                <w:sz w:val="20"/>
                <w:szCs w:val="20"/>
              </w:rPr>
              <w:t>）</w:t>
            </w:r>
            <w:r>
              <w:rPr>
                <w:sz w:val="20"/>
                <w:szCs w:val="20"/>
              </w:rPr>
              <w:t xml:space="preserve"> </w:t>
            </w:r>
            <w:r>
              <w:rPr>
                <w:spacing w:val="12"/>
                <w:sz w:val="20"/>
                <w:szCs w:val="20"/>
              </w:rPr>
              <w:t>的规定设置警示标志。库房、场所的消防设施、用电设施、防雷防静电设施等必</w:t>
            </w:r>
            <w:r>
              <w:rPr>
                <w:spacing w:val="8"/>
                <w:sz w:val="20"/>
                <w:szCs w:val="20"/>
              </w:rPr>
              <w:t xml:space="preserve">  须符合国家规定的安全要求。危险废物场所必须有专人 </w:t>
            </w:r>
            <w:r>
              <w:rPr>
                <w:rFonts w:ascii="Calibri" w:hAnsi="Calibri" w:eastAsia="Calibri" w:cs="Calibri"/>
                <w:spacing w:val="8"/>
                <w:sz w:val="20"/>
                <w:szCs w:val="20"/>
              </w:rPr>
              <w:t>24</w:t>
            </w:r>
            <w:r>
              <w:rPr>
                <w:rFonts w:ascii="Calibri" w:hAnsi="Calibri" w:eastAsia="Calibri" w:cs="Calibri"/>
                <w:spacing w:val="21"/>
                <w:sz w:val="20"/>
                <w:szCs w:val="20"/>
              </w:rPr>
              <w:t xml:space="preserve">  </w:t>
            </w:r>
            <w:r>
              <w:rPr>
                <w:spacing w:val="8"/>
                <w:sz w:val="20"/>
                <w:szCs w:val="20"/>
              </w:rPr>
              <w:t>小时看管。</w:t>
            </w:r>
          </w:p>
          <w:p w14:paraId="7914AC64">
            <w:pPr>
              <w:pStyle w:val="6"/>
              <w:spacing w:before="23" w:line="246" w:lineRule="auto"/>
              <w:ind w:left="104" w:right="96" w:firstLine="419"/>
              <w:rPr>
                <w:sz w:val="20"/>
                <w:szCs w:val="20"/>
              </w:rPr>
            </w:pPr>
            <w:r>
              <w:rPr>
                <w:spacing w:val="13"/>
                <w:sz w:val="20"/>
                <w:szCs w:val="20"/>
              </w:rPr>
              <w:t>③如实记载每批废电池及废油液的名称、来源、数量</w:t>
            </w:r>
            <w:r>
              <w:rPr>
                <w:spacing w:val="12"/>
                <w:sz w:val="20"/>
                <w:szCs w:val="20"/>
              </w:rPr>
              <w:t>、特性和包装容器的类</w:t>
            </w:r>
            <w:r>
              <w:rPr>
                <w:sz w:val="20"/>
                <w:szCs w:val="20"/>
              </w:rPr>
              <w:t xml:space="preserve"> </w:t>
            </w:r>
            <w:r>
              <w:rPr>
                <w:spacing w:val="12"/>
                <w:sz w:val="20"/>
                <w:szCs w:val="20"/>
              </w:rPr>
              <w:t>别、入库日期、存放库位、废物出库日期及接收单位名称。该记录在危险废物转</w:t>
            </w:r>
            <w:r>
              <w:rPr>
                <w:spacing w:val="16"/>
                <w:sz w:val="20"/>
                <w:szCs w:val="20"/>
              </w:rPr>
              <w:t xml:space="preserve"> </w:t>
            </w:r>
            <w:r>
              <w:rPr>
                <w:spacing w:val="12"/>
                <w:sz w:val="20"/>
                <w:szCs w:val="20"/>
              </w:rPr>
              <w:t>运后应继续保留三年。出入库必须检查验收登记，贮存期间定期养护，控制好贮</w:t>
            </w:r>
            <w:r>
              <w:rPr>
                <w:spacing w:val="16"/>
                <w:sz w:val="20"/>
                <w:szCs w:val="20"/>
              </w:rPr>
              <w:t xml:space="preserve"> </w:t>
            </w:r>
            <w:r>
              <w:rPr>
                <w:spacing w:val="8"/>
                <w:sz w:val="20"/>
                <w:szCs w:val="20"/>
              </w:rPr>
              <w:t>存场所的温度和湿度；</w:t>
            </w:r>
          </w:p>
          <w:p w14:paraId="7CB4377F">
            <w:pPr>
              <w:pStyle w:val="6"/>
              <w:spacing w:before="24" w:line="239" w:lineRule="auto"/>
              <w:ind w:left="107" w:right="99" w:firstLine="417"/>
              <w:rPr>
                <w:sz w:val="20"/>
                <w:szCs w:val="20"/>
              </w:rPr>
            </w:pPr>
            <w:r>
              <w:rPr>
                <w:spacing w:val="13"/>
                <w:sz w:val="20"/>
                <w:szCs w:val="20"/>
              </w:rPr>
              <w:t>装卸、搬运时应轻装轻卸，注意自我防护。</w:t>
            </w:r>
            <w:r>
              <w:rPr>
                <w:spacing w:val="12"/>
                <w:sz w:val="20"/>
                <w:szCs w:val="20"/>
              </w:rPr>
              <w:t>定期对所暂存的废电池及废油液</w:t>
            </w:r>
            <w:r>
              <w:rPr>
                <w:sz w:val="20"/>
                <w:szCs w:val="20"/>
              </w:rPr>
              <w:t xml:space="preserve"> </w:t>
            </w:r>
            <w:r>
              <w:rPr>
                <w:spacing w:val="9"/>
                <w:sz w:val="20"/>
                <w:szCs w:val="20"/>
              </w:rPr>
              <w:t>容器及暂存设施进行检查，发现破损，及时采取措施清理更换。</w:t>
            </w:r>
          </w:p>
          <w:p w14:paraId="01614645">
            <w:pPr>
              <w:pStyle w:val="6"/>
              <w:spacing w:before="28" w:line="245" w:lineRule="auto"/>
              <w:ind w:left="122" w:right="96" w:firstLine="401"/>
              <w:rPr>
                <w:sz w:val="20"/>
                <w:szCs w:val="20"/>
              </w:rPr>
            </w:pPr>
            <w:r>
              <w:rPr>
                <w:spacing w:val="13"/>
                <w:sz w:val="20"/>
                <w:szCs w:val="20"/>
              </w:rPr>
              <w:t>④贮存危险化学品的仓库管理人员，必须经过专业知</w:t>
            </w:r>
            <w:r>
              <w:rPr>
                <w:spacing w:val="12"/>
                <w:sz w:val="20"/>
                <w:szCs w:val="20"/>
              </w:rPr>
              <w:t>识培训，熟悉贮存物品</w:t>
            </w:r>
            <w:r>
              <w:rPr>
                <w:sz w:val="20"/>
                <w:szCs w:val="20"/>
              </w:rPr>
              <w:t xml:space="preserve"> </w:t>
            </w:r>
            <w:r>
              <w:rPr>
                <w:spacing w:val="12"/>
                <w:sz w:val="20"/>
                <w:szCs w:val="20"/>
              </w:rPr>
              <w:t>的特性、事故处理办法和防护知识，持证上岗，同时必须配备有关的个人防</w:t>
            </w:r>
            <w:r>
              <w:rPr>
                <w:spacing w:val="11"/>
                <w:sz w:val="20"/>
                <w:szCs w:val="20"/>
              </w:rPr>
              <w:t>护用</w:t>
            </w:r>
            <w:r>
              <w:rPr>
                <w:sz w:val="20"/>
                <w:szCs w:val="20"/>
              </w:rPr>
              <w:t xml:space="preserve"> </w:t>
            </w:r>
            <w:r>
              <w:rPr>
                <w:spacing w:val="-9"/>
                <w:sz w:val="20"/>
                <w:szCs w:val="20"/>
              </w:rPr>
              <w:t>品。</w:t>
            </w:r>
          </w:p>
          <w:p w14:paraId="10CEFA41">
            <w:pPr>
              <w:pStyle w:val="6"/>
              <w:spacing w:before="22" w:line="228" w:lineRule="auto"/>
              <w:ind w:left="528"/>
              <w:rPr>
                <w:rFonts w:ascii="Calibri" w:hAnsi="Calibri" w:eastAsia="Calibri" w:cs="Calibri"/>
                <w:sz w:val="20"/>
                <w:szCs w:val="20"/>
              </w:rPr>
            </w:pPr>
            <w:r>
              <w:rPr>
                <w:spacing w:val="6"/>
                <w:sz w:val="20"/>
                <w:szCs w:val="20"/>
              </w:rPr>
              <w:t>泄露措施</w:t>
            </w:r>
            <w:r>
              <w:rPr>
                <w:rFonts w:ascii="Calibri" w:hAnsi="Calibri" w:eastAsia="Calibri" w:cs="Calibri"/>
                <w:spacing w:val="6"/>
                <w:sz w:val="20"/>
                <w:szCs w:val="20"/>
              </w:rPr>
              <w:t>:</w:t>
            </w:r>
          </w:p>
          <w:p w14:paraId="00CCADB7">
            <w:pPr>
              <w:pStyle w:val="6"/>
              <w:spacing w:before="23" w:line="247" w:lineRule="auto"/>
              <w:ind w:left="105" w:right="96" w:firstLine="419"/>
              <w:rPr>
                <w:sz w:val="20"/>
                <w:szCs w:val="20"/>
              </w:rPr>
            </w:pPr>
            <w:r>
              <w:rPr>
                <w:spacing w:val="13"/>
                <w:sz w:val="20"/>
                <w:szCs w:val="20"/>
              </w:rPr>
              <w:t>①一旦发生泄漏，首先要疏散无关人员，隔离泄漏</w:t>
            </w:r>
            <w:r>
              <w:rPr>
                <w:spacing w:val="12"/>
                <w:sz w:val="20"/>
                <w:szCs w:val="20"/>
              </w:rPr>
              <w:t>污染区，如果是小量的泄</w:t>
            </w:r>
            <w:r>
              <w:rPr>
                <w:sz w:val="20"/>
                <w:szCs w:val="20"/>
              </w:rPr>
              <w:t xml:space="preserve"> </w:t>
            </w:r>
            <w:r>
              <w:rPr>
                <w:spacing w:val="12"/>
                <w:sz w:val="20"/>
                <w:szCs w:val="20"/>
              </w:rPr>
              <w:t>漏，且物料不具有危险性，同时能为该工作区的人员所控制时，则由该工作区的</w:t>
            </w:r>
            <w:r>
              <w:rPr>
                <w:spacing w:val="15"/>
                <w:sz w:val="20"/>
                <w:szCs w:val="20"/>
              </w:rPr>
              <w:t xml:space="preserve"> </w:t>
            </w:r>
            <w:r>
              <w:rPr>
                <w:spacing w:val="11"/>
                <w:sz w:val="20"/>
                <w:szCs w:val="20"/>
              </w:rPr>
              <w:t>人员佩戴使用相应的个人防护用品</w:t>
            </w:r>
            <w:r>
              <w:rPr>
                <w:rFonts w:ascii="Calibri" w:hAnsi="Calibri" w:eastAsia="Calibri" w:cs="Calibri"/>
                <w:spacing w:val="11"/>
                <w:sz w:val="20"/>
                <w:szCs w:val="20"/>
              </w:rPr>
              <w:t>,</w:t>
            </w:r>
            <w:r>
              <w:rPr>
                <w:spacing w:val="11"/>
                <w:sz w:val="20"/>
                <w:szCs w:val="20"/>
              </w:rPr>
              <w:t>参照危险化学品安全技术说</w:t>
            </w:r>
            <w:r>
              <w:rPr>
                <w:spacing w:val="10"/>
                <w:sz w:val="20"/>
                <w:szCs w:val="20"/>
              </w:rPr>
              <w:t>明书及标签上的安</w:t>
            </w:r>
            <w:r>
              <w:rPr>
                <w:sz w:val="20"/>
                <w:szCs w:val="20"/>
              </w:rPr>
              <w:t xml:space="preserve"> </w:t>
            </w:r>
            <w:r>
              <w:rPr>
                <w:spacing w:val="12"/>
                <w:sz w:val="20"/>
                <w:szCs w:val="20"/>
              </w:rPr>
              <w:t>全信息采取控制措施，如果泄漏易燃品，则必须立即消除泄漏污染区域内的各种</w:t>
            </w:r>
            <w:r>
              <w:rPr>
                <w:spacing w:val="15"/>
                <w:sz w:val="20"/>
                <w:szCs w:val="20"/>
              </w:rPr>
              <w:t xml:space="preserve"> </w:t>
            </w:r>
            <w:r>
              <w:rPr>
                <w:spacing w:val="3"/>
                <w:sz w:val="20"/>
                <w:szCs w:val="20"/>
              </w:rPr>
              <w:t>火源。</w:t>
            </w:r>
          </w:p>
          <w:p w14:paraId="738F1151">
            <w:pPr>
              <w:pStyle w:val="6"/>
              <w:spacing w:before="24" w:line="248" w:lineRule="auto"/>
              <w:ind w:left="104" w:right="96" w:firstLine="419"/>
              <w:rPr>
                <w:sz w:val="20"/>
                <w:szCs w:val="20"/>
              </w:rPr>
            </w:pPr>
            <w:r>
              <w:rPr>
                <w:spacing w:val="13"/>
                <w:sz w:val="20"/>
                <w:szCs w:val="20"/>
              </w:rPr>
              <w:t>②报废农机进入拆解工厂时，一般有价值的油液大部</w:t>
            </w:r>
            <w:r>
              <w:rPr>
                <w:spacing w:val="12"/>
                <w:sz w:val="20"/>
                <w:szCs w:val="20"/>
              </w:rPr>
              <w:t>分已被抽走，只剩下残</w:t>
            </w:r>
            <w:r>
              <w:rPr>
                <w:sz w:val="20"/>
                <w:szCs w:val="20"/>
              </w:rPr>
              <w:t xml:space="preserve"> </w:t>
            </w:r>
            <w:r>
              <w:rPr>
                <w:spacing w:val="12"/>
                <w:sz w:val="20"/>
                <w:szCs w:val="20"/>
              </w:rPr>
              <w:t>留的极少部分油液，不会出现大量泄漏情况，拆解车间采取重点防渗，拆解车间</w:t>
            </w:r>
            <w:r>
              <w:rPr>
                <w:spacing w:val="16"/>
                <w:sz w:val="20"/>
                <w:szCs w:val="20"/>
              </w:rPr>
              <w:t xml:space="preserve"> </w:t>
            </w:r>
            <w:r>
              <w:rPr>
                <w:spacing w:val="6"/>
                <w:sz w:val="20"/>
                <w:szCs w:val="20"/>
              </w:rPr>
              <w:t xml:space="preserve">作业区地面混凝土强度等级不低于 </w:t>
            </w:r>
            <w:r>
              <w:rPr>
                <w:rFonts w:ascii="Calibri" w:hAnsi="Calibri" w:eastAsia="Calibri" w:cs="Calibri"/>
                <w:spacing w:val="6"/>
                <w:sz w:val="20"/>
                <w:szCs w:val="20"/>
              </w:rPr>
              <w:t>C20</w:t>
            </w:r>
            <w:r>
              <w:rPr>
                <w:spacing w:val="6"/>
                <w:sz w:val="20"/>
                <w:szCs w:val="20"/>
              </w:rPr>
              <w:t xml:space="preserve">，厚度不低于 </w:t>
            </w:r>
            <w:r>
              <w:rPr>
                <w:rFonts w:ascii="Calibri" w:hAnsi="Calibri" w:eastAsia="Calibri" w:cs="Calibri"/>
                <w:spacing w:val="6"/>
                <w:sz w:val="20"/>
                <w:szCs w:val="20"/>
              </w:rPr>
              <w:t>150</w:t>
            </w:r>
            <w:r>
              <w:rPr>
                <w:rFonts w:ascii="Calibri" w:hAnsi="Calibri" w:eastAsia="Calibri" w:cs="Calibri"/>
                <w:spacing w:val="30"/>
                <w:sz w:val="20"/>
                <w:szCs w:val="20"/>
              </w:rPr>
              <w:t xml:space="preserve"> </w:t>
            </w:r>
            <w:r>
              <w:rPr>
                <w:rFonts w:ascii="Calibri" w:hAnsi="Calibri" w:eastAsia="Calibri" w:cs="Calibri"/>
                <w:sz w:val="20"/>
                <w:szCs w:val="20"/>
              </w:rPr>
              <w:t>mm</w:t>
            </w:r>
            <w:r>
              <w:rPr>
                <w:spacing w:val="6"/>
                <w:sz w:val="20"/>
                <w:szCs w:val="20"/>
              </w:rPr>
              <w:t>，其中物流通道路面</w:t>
            </w:r>
            <w:r>
              <w:rPr>
                <w:sz w:val="20"/>
                <w:szCs w:val="20"/>
              </w:rPr>
              <w:t xml:space="preserve"> </w:t>
            </w:r>
            <w:r>
              <w:rPr>
                <w:spacing w:val="6"/>
                <w:sz w:val="20"/>
                <w:szCs w:val="20"/>
              </w:rPr>
              <w:t xml:space="preserve">和拆解作业区域强度不低于 </w:t>
            </w:r>
            <w:r>
              <w:rPr>
                <w:rFonts w:ascii="Calibri" w:hAnsi="Calibri" w:eastAsia="Calibri" w:cs="Calibri"/>
                <w:spacing w:val="6"/>
                <w:sz w:val="20"/>
                <w:szCs w:val="20"/>
              </w:rPr>
              <w:t>C30</w:t>
            </w:r>
            <w:r>
              <w:rPr>
                <w:spacing w:val="6"/>
                <w:sz w:val="20"/>
                <w:szCs w:val="20"/>
              </w:rPr>
              <w:t xml:space="preserve">，厚度不低于 </w:t>
            </w:r>
            <w:r>
              <w:rPr>
                <w:rFonts w:ascii="Calibri" w:hAnsi="Calibri" w:eastAsia="Calibri" w:cs="Calibri"/>
                <w:spacing w:val="6"/>
                <w:sz w:val="20"/>
                <w:szCs w:val="20"/>
              </w:rPr>
              <w:t>200</w:t>
            </w:r>
            <w:r>
              <w:rPr>
                <w:rFonts w:ascii="Calibri" w:hAnsi="Calibri" w:eastAsia="Calibri" w:cs="Calibri"/>
                <w:spacing w:val="30"/>
                <w:sz w:val="20"/>
                <w:szCs w:val="20"/>
              </w:rPr>
              <w:t xml:space="preserve"> </w:t>
            </w:r>
            <w:r>
              <w:rPr>
                <w:rFonts w:ascii="Calibri" w:hAnsi="Calibri" w:eastAsia="Calibri" w:cs="Calibri"/>
                <w:sz w:val="20"/>
                <w:szCs w:val="20"/>
              </w:rPr>
              <w:t>mm</w:t>
            </w:r>
            <w:r>
              <w:rPr>
                <w:spacing w:val="6"/>
                <w:sz w:val="20"/>
                <w:szCs w:val="20"/>
              </w:rPr>
              <w:t>，满足《报废机动车拆解企</w:t>
            </w:r>
            <w:r>
              <w:rPr>
                <w:sz w:val="20"/>
                <w:szCs w:val="20"/>
              </w:rPr>
              <w:t xml:space="preserve"> </w:t>
            </w:r>
            <w:r>
              <w:rPr>
                <w:spacing w:val="9"/>
                <w:sz w:val="20"/>
                <w:szCs w:val="20"/>
              </w:rPr>
              <w:t>业污染控制技术规范》</w:t>
            </w:r>
            <w:r>
              <w:rPr>
                <w:rFonts w:ascii="Calibri" w:hAnsi="Calibri" w:eastAsia="Calibri" w:cs="Calibri"/>
                <w:spacing w:val="9"/>
                <w:sz w:val="20"/>
                <w:szCs w:val="20"/>
              </w:rPr>
              <w:t>(</w:t>
            </w:r>
            <w:r>
              <w:rPr>
                <w:rFonts w:ascii="Calibri" w:hAnsi="Calibri" w:eastAsia="Calibri" w:cs="Calibri"/>
                <w:sz w:val="20"/>
                <w:szCs w:val="20"/>
              </w:rPr>
              <w:t>HJ</w:t>
            </w:r>
            <w:r>
              <w:rPr>
                <w:rFonts w:ascii="Calibri" w:hAnsi="Calibri" w:eastAsia="Calibri" w:cs="Calibri"/>
                <w:spacing w:val="9"/>
                <w:sz w:val="20"/>
                <w:szCs w:val="20"/>
              </w:rPr>
              <w:t>348-2022)</w:t>
            </w:r>
            <w:r>
              <w:rPr>
                <w:spacing w:val="9"/>
                <w:sz w:val="20"/>
                <w:szCs w:val="20"/>
              </w:rPr>
              <w:t>中防渗、混凝土强度要求，如果发生泄漏</w:t>
            </w:r>
            <w:r>
              <w:rPr>
                <w:spacing w:val="8"/>
                <w:sz w:val="20"/>
                <w:szCs w:val="20"/>
              </w:rPr>
              <w:t>用油</w:t>
            </w:r>
            <w:r>
              <w:rPr>
                <w:sz w:val="20"/>
                <w:szCs w:val="20"/>
              </w:rPr>
              <w:t xml:space="preserve"> </w:t>
            </w:r>
            <w:r>
              <w:rPr>
                <w:spacing w:val="8"/>
                <w:sz w:val="20"/>
                <w:szCs w:val="20"/>
              </w:rPr>
              <w:t>桶在漏点下方接住，地面上如有油渍采用抹布</w:t>
            </w:r>
            <w:r>
              <w:rPr>
                <w:rFonts w:ascii="Calibri" w:hAnsi="Calibri" w:eastAsia="Calibri" w:cs="Calibri"/>
                <w:spacing w:val="8"/>
                <w:sz w:val="20"/>
                <w:szCs w:val="20"/>
              </w:rPr>
              <w:t>/</w:t>
            </w:r>
            <w:r>
              <w:rPr>
                <w:spacing w:val="8"/>
                <w:sz w:val="20"/>
                <w:szCs w:val="20"/>
              </w:rPr>
              <w:t>拖布</w:t>
            </w:r>
            <w:r>
              <w:rPr>
                <w:spacing w:val="7"/>
                <w:sz w:val="20"/>
                <w:szCs w:val="20"/>
              </w:rPr>
              <w:t>擦干，废抹布</w:t>
            </w:r>
            <w:r>
              <w:rPr>
                <w:rFonts w:ascii="Calibri" w:hAnsi="Calibri" w:eastAsia="Calibri" w:cs="Calibri"/>
                <w:spacing w:val="7"/>
                <w:sz w:val="20"/>
                <w:szCs w:val="20"/>
              </w:rPr>
              <w:t>/</w:t>
            </w:r>
            <w:r>
              <w:rPr>
                <w:spacing w:val="7"/>
                <w:sz w:val="20"/>
                <w:szCs w:val="20"/>
              </w:rPr>
              <w:t>拖布作为危险废</w:t>
            </w:r>
            <w:r>
              <w:rPr>
                <w:sz w:val="20"/>
                <w:szCs w:val="20"/>
              </w:rPr>
              <w:t xml:space="preserve"> </w:t>
            </w:r>
            <w:r>
              <w:rPr>
                <w:spacing w:val="7"/>
                <w:sz w:val="20"/>
                <w:szCs w:val="20"/>
              </w:rPr>
              <w:t>物暂存在危险废物贮存库，</w:t>
            </w:r>
            <w:r>
              <w:rPr>
                <w:spacing w:val="-58"/>
                <w:sz w:val="20"/>
                <w:szCs w:val="20"/>
              </w:rPr>
              <w:t xml:space="preserve"> </w:t>
            </w:r>
            <w:r>
              <w:rPr>
                <w:spacing w:val="7"/>
                <w:sz w:val="20"/>
                <w:szCs w:val="20"/>
              </w:rPr>
              <w:t>由有资质单位处理。</w:t>
            </w:r>
          </w:p>
          <w:p w14:paraId="4085CDB3">
            <w:pPr>
              <w:pStyle w:val="6"/>
              <w:spacing w:before="30" w:line="251" w:lineRule="auto"/>
              <w:ind w:left="105" w:right="96" w:firstLine="418"/>
              <w:rPr>
                <w:sz w:val="20"/>
                <w:szCs w:val="20"/>
              </w:rPr>
            </w:pPr>
            <w:r>
              <w:rPr>
                <w:spacing w:val="8"/>
                <w:sz w:val="20"/>
                <w:szCs w:val="20"/>
              </w:rPr>
              <w:t>③本项目</w:t>
            </w:r>
            <w:r>
              <w:rPr>
                <w:spacing w:val="-34"/>
                <w:sz w:val="20"/>
                <w:szCs w:val="20"/>
              </w:rPr>
              <w:t xml:space="preserve"> </w:t>
            </w:r>
            <w:r>
              <w:rPr>
                <w:rFonts w:ascii="Calibri" w:hAnsi="Calibri" w:eastAsia="Calibri" w:cs="Calibri"/>
                <w:spacing w:val="8"/>
                <w:sz w:val="20"/>
                <w:szCs w:val="20"/>
              </w:rPr>
              <w:t>2#</w:t>
            </w:r>
            <w:r>
              <w:rPr>
                <w:spacing w:val="8"/>
                <w:sz w:val="20"/>
                <w:szCs w:val="20"/>
              </w:rPr>
              <w:t xml:space="preserve">废蓄电池暂存区占地面积 </w:t>
            </w:r>
            <w:r>
              <w:rPr>
                <w:rFonts w:ascii="Calibri" w:hAnsi="Calibri" w:eastAsia="Calibri" w:cs="Calibri"/>
                <w:spacing w:val="8"/>
                <w:sz w:val="20"/>
                <w:szCs w:val="20"/>
              </w:rPr>
              <w:t>20m</w:t>
            </w:r>
            <w:r>
              <w:rPr>
                <w:rFonts w:ascii="Calibri" w:hAnsi="Calibri" w:eastAsia="Calibri" w:cs="Calibri"/>
                <w:spacing w:val="8"/>
                <w:position w:val="7"/>
                <w:sz w:val="13"/>
                <w:szCs w:val="13"/>
              </w:rPr>
              <w:t xml:space="preserve">2 </w:t>
            </w:r>
            <w:r>
              <w:rPr>
                <w:spacing w:val="7"/>
                <w:sz w:val="20"/>
                <w:szCs w:val="20"/>
              </w:rPr>
              <w:t xml:space="preserve">，最大暂存电池 </w:t>
            </w:r>
            <w:r>
              <w:rPr>
                <w:rFonts w:ascii="Calibri" w:hAnsi="Calibri" w:eastAsia="Calibri" w:cs="Calibri"/>
                <w:spacing w:val="7"/>
                <w:sz w:val="20"/>
                <w:szCs w:val="20"/>
              </w:rPr>
              <w:t>1t</w:t>
            </w:r>
            <w:r>
              <w:rPr>
                <w:rFonts w:ascii="Calibri" w:hAnsi="Calibri" w:eastAsia="Calibri" w:cs="Calibri"/>
                <w:spacing w:val="-15"/>
                <w:sz w:val="20"/>
                <w:szCs w:val="20"/>
              </w:rPr>
              <w:t xml:space="preserve"> </w:t>
            </w:r>
            <w:r>
              <w:rPr>
                <w:spacing w:val="7"/>
                <w:sz w:val="20"/>
                <w:szCs w:val="20"/>
              </w:rPr>
              <w:t>，废电池完好</w:t>
            </w:r>
            <w:r>
              <w:rPr>
                <w:sz w:val="20"/>
                <w:szCs w:val="20"/>
              </w:rPr>
              <w:t xml:space="preserve"> </w:t>
            </w:r>
            <w:r>
              <w:rPr>
                <w:spacing w:val="12"/>
                <w:sz w:val="20"/>
                <w:szCs w:val="20"/>
              </w:rPr>
              <w:t>的放在托盘中并采用塑料膜包装以防碰撞破损，如有破损的废电池放置在耐酸耐</w:t>
            </w:r>
            <w:r>
              <w:rPr>
                <w:spacing w:val="15"/>
                <w:sz w:val="20"/>
                <w:szCs w:val="20"/>
              </w:rPr>
              <w:t xml:space="preserve"> </w:t>
            </w:r>
            <w:r>
              <w:rPr>
                <w:spacing w:val="9"/>
                <w:sz w:val="20"/>
                <w:szCs w:val="20"/>
              </w:rPr>
              <w:t>腐蚀的塑料箱内储存，四周设置</w:t>
            </w:r>
            <w:r>
              <w:rPr>
                <w:spacing w:val="-25"/>
                <w:sz w:val="20"/>
                <w:szCs w:val="20"/>
              </w:rPr>
              <w:t xml:space="preserve"> </w:t>
            </w:r>
            <w:r>
              <w:rPr>
                <w:rFonts w:ascii="Calibri" w:hAnsi="Calibri" w:eastAsia="Calibri" w:cs="Calibri"/>
                <w:spacing w:val="9"/>
                <w:sz w:val="20"/>
                <w:szCs w:val="20"/>
              </w:rPr>
              <w:t>0.4m</w:t>
            </w:r>
            <w:r>
              <w:rPr>
                <w:rFonts w:ascii="Times New Roman" w:hAnsi="Times New Roman" w:eastAsia="Times New Roman" w:cs="Times New Roman"/>
                <w:spacing w:val="9"/>
                <w:sz w:val="20"/>
                <w:szCs w:val="20"/>
              </w:rPr>
              <w:t>×</w:t>
            </w:r>
            <w:r>
              <w:rPr>
                <w:rFonts w:ascii="Calibri" w:hAnsi="Calibri" w:eastAsia="Calibri" w:cs="Calibri"/>
                <w:spacing w:val="9"/>
                <w:sz w:val="20"/>
                <w:szCs w:val="20"/>
              </w:rPr>
              <w:t>0.5m</w:t>
            </w:r>
            <w:r>
              <w:rPr>
                <w:rFonts w:ascii="Calibri" w:hAnsi="Calibri" w:eastAsia="Calibri" w:cs="Calibri"/>
                <w:spacing w:val="25"/>
                <w:w w:val="101"/>
                <w:sz w:val="20"/>
                <w:szCs w:val="20"/>
              </w:rPr>
              <w:t xml:space="preserve"> </w:t>
            </w:r>
            <w:r>
              <w:rPr>
                <w:spacing w:val="9"/>
                <w:sz w:val="20"/>
                <w:szCs w:val="20"/>
              </w:rPr>
              <w:t>导流槽，于拆解车间外侧西南角建设</w:t>
            </w:r>
            <w:r>
              <w:rPr>
                <w:sz w:val="20"/>
                <w:szCs w:val="20"/>
              </w:rPr>
              <w:t xml:space="preserve"> </w:t>
            </w:r>
            <w:r>
              <w:rPr>
                <w:rFonts w:ascii="Calibri" w:hAnsi="Calibri" w:eastAsia="Calibri" w:cs="Calibri"/>
                <w:spacing w:val="10"/>
                <w:sz w:val="20"/>
                <w:szCs w:val="20"/>
              </w:rPr>
              <w:t>10m</w:t>
            </w:r>
            <w:r>
              <w:rPr>
                <w:rFonts w:ascii="Calibri" w:hAnsi="Calibri" w:eastAsia="Calibri" w:cs="Calibri"/>
                <w:spacing w:val="10"/>
                <w:position w:val="6"/>
                <w:sz w:val="13"/>
                <w:szCs w:val="13"/>
              </w:rPr>
              <w:t>3</w:t>
            </w:r>
            <w:r>
              <w:rPr>
                <w:rFonts w:ascii="Calibri" w:hAnsi="Calibri" w:eastAsia="Calibri" w:cs="Calibri"/>
                <w:spacing w:val="15"/>
                <w:w w:val="102"/>
                <w:position w:val="6"/>
                <w:sz w:val="13"/>
                <w:szCs w:val="13"/>
              </w:rPr>
              <w:t xml:space="preserve"> </w:t>
            </w:r>
            <w:r>
              <w:rPr>
                <w:spacing w:val="10"/>
                <w:sz w:val="20"/>
                <w:szCs w:val="20"/>
              </w:rPr>
              <w:t>事故收集池，导流槽将泄漏物质导流入收集池，导流槽和</w:t>
            </w:r>
            <w:r>
              <w:rPr>
                <w:spacing w:val="9"/>
                <w:sz w:val="20"/>
                <w:szCs w:val="20"/>
              </w:rPr>
              <w:t>收集池相应按重点</w:t>
            </w:r>
            <w:r>
              <w:rPr>
                <w:sz w:val="20"/>
                <w:szCs w:val="20"/>
              </w:rPr>
              <w:t xml:space="preserve"> </w:t>
            </w:r>
            <w:r>
              <w:rPr>
                <w:spacing w:val="7"/>
                <w:sz w:val="20"/>
                <w:szCs w:val="20"/>
              </w:rPr>
              <w:t xml:space="preserve">防渗区要求做好防渗处理。危险废物贮存库地面采用 </w:t>
            </w:r>
            <w:r>
              <w:rPr>
                <w:rFonts w:ascii="Calibri" w:hAnsi="Calibri" w:eastAsia="Calibri" w:cs="Calibri"/>
                <w:spacing w:val="7"/>
                <w:sz w:val="20"/>
                <w:szCs w:val="20"/>
              </w:rPr>
              <w:t>2.0</w:t>
            </w:r>
            <w:r>
              <w:rPr>
                <w:rFonts w:ascii="Calibri" w:hAnsi="Calibri" w:eastAsia="Calibri" w:cs="Calibri"/>
                <w:sz w:val="20"/>
                <w:szCs w:val="20"/>
              </w:rPr>
              <w:t>mm</w:t>
            </w:r>
            <w:r>
              <w:rPr>
                <w:rFonts w:ascii="Calibri" w:hAnsi="Calibri" w:eastAsia="Calibri" w:cs="Calibri"/>
                <w:spacing w:val="14"/>
                <w:w w:val="101"/>
                <w:sz w:val="20"/>
                <w:szCs w:val="20"/>
              </w:rPr>
              <w:t xml:space="preserve">  </w:t>
            </w:r>
            <w:r>
              <w:rPr>
                <w:spacing w:val="6"/>
                <w:sz w:val="20"/>
                <w:szCs w:val="20"/>
              </w:rPr>
              <w:t>厚高密度聚乙烯膜或</w:t>
            </w:r>
            <w:r>
              <w:rPr>
                <w:sz w:val="20"/>
                <w:szCs w:val="20"/>
              </w:rPr>
              <w:t xml:space="preserve"> </w:t>
            </w:r>
            <w:r>
              <w:rPr>
                <w:spacing w:val="10"/>
                <w:sz w:val="20"/>
                <w:szCs w:val="20"/>
              </w:rPr>
              <w:t xml:space="preserve">至少 </w:t>
            </w:r>
            <w:r>
              <w:rPr>
                <w:rFonts w:ascii="Calibri" w:hAnsi="Calibri" w:eastAsia="Calibri" w:cs="Calibri"/>
                <w:spacing w:val="10"/>
                <w:sz w:val="20"/>
                <w:szCs w:val="20"/>
              </w:rPr>
              <w:t>2</w:t>
            </w:r>
            <w:r>
              <w:rPr>
                <w:rFonts w:ascii="Calibri" w:hAnsi="Calibri" w:eastAsia="Calibri" w:cs="Calibri"/>
                <w:sz w:val="20"/>
                <w:szCs w:val="20"/>
              </w:rPr>
              <w:t>mm</w:t>
            </w:r>
            <w:r>
              <w:rPr>
                <w:rFonts w:ascii="Calibri" w:hAnsi="Calibri" w:eastAsia="Calibri" w:cs="Calibri"/>
                <w:spacing w:val="10"/>
                <w:sz w:val="20"/>
                <w:szCs w:val="20"/>
              </w:rPr>
              <w:t xml:space="preserve">   </w:t>
            </w:r>
            <w:r>
              <w:rPr>
                <w:spacing w:val="10"/>
                <w:sz w:val="20"/>
                <w:szCs w:val="20"/>
              </w:rPr>
              <w:t>厚的其它人工材料，渗透系数≤</w:t>
            </w:r>
            <w:r>
              <w:rPr>
                <w:rFonts w:ascii="Calibri" w:hAnsi="Calibri" w:eastAsia="Calibri" w:cs="Calibri"/>
                <w:spacing w:val="10"/>
                <w:sz w:val="20"/>
                <w:szCs w:val="20"/>
              </w:rPr>
              <w:t>10</w:t>
            </w:r>
            <w:r>
              <w:rPr>
                <w:rFonts w:ascii="Calibri" w:hAnsi="Calibri" w:eastAsia="Calibri" w:cs="Calibri"/>
                <w:spacing w:val="10"/>
                <w:position w:val="6"/>
                <w:sz w:val="13"/>
                <w:szCs w:val="13"/>
              </w:rPr>
              <w:t>-10</w:t>
            </w:r>
            <w:r>
              <w:rPr>
                <w:rFonts w:ascii="Calibri" w:hAnsi="Calibri" w:eastAsia="Calibri" w:cs="Calibri"/>
                <w:sz w:val="20"/>
                <w:szCs w:val="20"/>
              </w:rPr>
              <w:t>cm</w:t>
            </w:r>
            <w:r>
              <w:rPr>
                <w:rFonts w:ascii="Calibri" w:hAnsi="Calibri" w:eastAsia="Calibri" w:cs="Calibri"/>
                <w:spacing w:val="9"/>
                <w:sz w:val="20"/>
                <w:szCs w:val="20"/>
              </w:rPr>
              <w:t>/s</w:t>
            </w:r>
            <w:r>
              <w:rPr>
                <w:rFonts w:ascii="Calibri" w:hAnsi="Calibri" w:eastAsia="Calibri" w:cs="Calibri"/>
                <w:spacing w:val="-18"/>
                <w:sz w:val="20"/>
                <w:szCs w:val="20"/>
              </w:rPr>
              <w:t xml:space="preserve"> </w:t>
            </w:r>
            <w:r>
              <w:rPr>
                <w:spacing w:val="9"/>
                <w:sz w:val="20"/>
                <w:szCs w:val="20"/>
              </w:rPr>
              <w:t>，符合等效黏土防渗层</w:t>
            </w:r>
            <w:r>
              <w:rPr>
                <w:spacing w:val="33"/>
                <w:sz w:val="20"/>
                <w:szCs w:val="20"/>
              </w:rPr>
              <w:t xml:space="preserve"> </w:t>
            </w:r>
            <w:r>
              <w:rPr>
                <w:rFonts w:ascii="Calibri" w:hAnsi="Calibri" w:eastAsia="Calibri" w:cs="Calibri"/>
                <w:sz w:val="20"/>
                <w:szCs w:val="20"/>
              </w:rPr>
              <w:t xml:space="preserve">Mb </w:t>
            </w:r>
            <w:r>
              <w:rPr>
                <w:spacing w:val="5"/>
                <w:sz w:val="20"/>
                <w:szCs w:val="20"/>
              </w:rPr>
              <w:t>≥</w:t>
            </w:r>
            <w:r>
              <w:rPr>
                <w:rFonts w:ascii="Calibri" w:hAnsi="Calibri" w:eastAsia="Calibri" w:cs="Calibri"/>
                <w:spacing w:val="5"/>
                <w:sz w:val="20"/>
                <w:szCs w:val="20"/>
              </w:rPr>
              <w:t>6.0m</w:t>
            </w:r>
            <w:r>
              <w:rPr>
                <w:rFonts w:ascii="Calibri" w:hAnsi="Calibri" w:eastAsia="Calibri" w:cs="Calibri"/>
                <w:spacing w:val="-4"/>
                <w:sz w:val="20"/>
                <w:szCs w:val="20"/>
              </w:rPr>
              <w:t xml:space="preserve"> </w:t>
            </w:r>
            <w:r>
              <w:rPr>
                <w:spacing w:val="5"/>
                <w:sz w:val="20"/>
                <w:szCs w:val="20"/>
              </w:rPr>
              <w:t>，</w:t>
            </w:r>
            <w:r>
              <w:rPr>
                <w:rFonts w:ascii="Calibri" w:hAnsi="Calibri" w:eastAsia="Calibri" w:cs="Calibri"/>
                <w:spacing w:val="5"/>
                <w:sz w:val="20"/>
                <w:szCs w:val="20"/>
              </w:rPr>
              <w:t>K</w:t>
            </w:r>
            <w:r>
              <w:rPr>
                <w:spacing w:val="5"/>
                <w:sz w:val="20"/>
                <w:szCs w:val="20"/>
              </w:rPr>
              <w:t>≤</w:t>
            </w:r>
            <w:r>
              <w:rPr>
                <w:rFonts w:ascii="Calibri" w:hAnsi="Calibri" w:eastAsia="Calibri" w:cs="Calibri"/>
                <w:spacing w:val="5"/>
                <w:sz w:val="20"/>
                <w:szCs w:val="20"/>
              </w:rPr>
              <w:t>1</w:t>
            </w:r>
            <w:r>
              <w:rPr>
                <w:spacing w:val="5"/>
                <w:sz w:val="20"/>
                <w:szCs w:val="20"/>
              </w:rPr>
              <w:t>×</w:t>
            </w:r>
            <w:r>
              <w:rPr>
                <w:rFonts w:ascii="Calibri" w:hAnsi="Calibri" w:eastAsia="Calibri" w:cs="Calibri"/>
                <w:spacing w:val="5"/>
                <w:sz w:val="20"/>
                <w:szCs w:val="20"/>
              </w:rPr>
              <w:t>10</w:t>
            </w:r>
            <w:r>
              <w:rPr>
                <w:rFonts w:ascii="Calibri" w:hAnsi="Calibri" w:eastAsia="Calibri" w:cs="Calibri"/>
                <w:spacing w:val="5"/>
                <w:position w:val="6"/>
                <w:sz w:val="13"/>
                <w:szCs w:val="13"/>
              </w:rPr>
              <w:t>-7</w:t>
            </w:r>
            <w:r>
              <w:rPr>
                <w:rFonts w:ascii="Calibri" w:hAnsi="Calibri" w:eastAsia="Calibri" w:cs="Calibri"/>
                <w:sz w:val="20"/>
                <w:szCs w:val="20"/>
              </w:rPr>
              <w:t>cm</w:t>
            </w:r>
            <w:r>
              <w:rPr>
                <w:rFonts w:ascii="Calibri" w:hAnsi="Calibri" w:eastAsia="Calibri" w:cs="Calibri"/>
                <w:spacing w:val="5"/>
                <w:sz w:val="20"/>
                <w:szCs w:val="20"/>
              </w:rPr>
              <w:t>/s</w:t>
            </w:r>
            <w:r>
              <w:rPr>
                <w:rFonts w:ascii="Calibri" w:hAnsi="Calibri" w:eastAsia="Calibri" w:cs="Calibri"/>
                <w:spacing w:val="30"/>
                <w:w w:val="101"/>
                <w:sz w:val="20"/>
                <w:szCs w:val="20"/>
              </w:rPr>
              <w:t xml:space="preserve"> </w:t>
            </w:r>
            <w:r>
              <w:rPr>
                <w:spacing w:val="5"/>
                <w:sz w:val="20"/>
                <w:szCs w:val="20"/>
              </w:rPr>
              <w:t>的要求，并张贴醒目的标识。</w:t>
            </w:r>
          </w:p>
          <w:p w14:paraId="04426064">
            <w:pPr>
              <w:pStyle w:val="6"/>
              <w:spacing w:before="1" w:line="243" w:lineRule="auto"/>
              <w:ind w:left="114" w:right="98" w:firstLine="411"/>
              <w:rPr>
                <w:sz w:val="20"/>
                <w:szCs w:val="20"/>
              </w:rPr>
            </w:pPr>
            <w:r>
              <w:rPr>
                <w:spacing w:val="15"/>
                <w:sz w:val="20"/>
                <w:szCs w:val="20"/>
              </w:rPr>
              <w:t>本项目危险废贮存库四周</w:t>
            </w:r>
            <w:r>
              <w:rPr>
                <w:spacing w:val="-30"/>
                <w:sz w:val="20"/>
                <w:szCs w:val="20"/>
              </w:rPr>
              <w:t xml:space="preserve"> </w:t>
            </w:r>
            <w:r>
              <w:rPr>
                <w:rFonts w:ascii="Calibri" w:hAnsi="Calibri" w:eastAsia="Calibri" w:cs="Calibri"/>
                <w:spacing w:val="15"/>
                <w:sz w:val="20"/>
                <w:szCs w:val="20"/>
              </w:rPr>
              <w:t>0.4m</w:t>
            </w:r>
            <w:r>
              <w:rPr>
                <w:rFonts w:ascii="Times New Roman" w:hAnsi="Times New Roman" w:eastAsia="Times New Roman" w:cs="Times New Roman"/>
                <w:spacing w:val="15"/>
                <w:sz w:val="20"/>
                <w:szCs w:val="20"/>
              </w:rPr>
              <w:t>×</w:t>
            </w:r>
            <w:r>
              <w:rPr>
                <w:rFonts w:ascii="Calibri" w:hAnsi="Calibri" w:eastAsia="Calibri" w:cs="Calibri"/>
                <w:spacing w:val="15"/>
                <w:sz w:val="20"/>
                <w:szCs w:val="20"/>
              </w:rPr>
              <w:t>0.5m</w:t>
            </w:r>
            <w:r>
              <w:rPr>
                <w:rFonts w:ascii="Calibri" w:hAnsi="Calibri" w:eastAsia="Calibri" w:cs="Calibri"/>
                <w:spacing w:val="35"/>
                <w:sz w:val="20"/>
                <w:szCs w:val="20"/>
              </w:rPr>
              <w:t xml:space="preserve"> </w:t>
            </w:r>
            <w:r>
              <w:rPr>
                <w:spacing w:val="15"/>
                <w:sz w:val="20"/>
                <w:szCs w:val="20"/>
              </w:rPr>
              <w:t>导流</w:t>
            </w:r>
            <w:r>
              <w:rPr>
                <w:spacing w:val="14"/>
                <w:sz w:val="20"/>
                <w:szCs w:val="20"/>
              </w:rPr>
              <w:t>槽，于拆解车间外侧西南角建设</w:t>
            </w:r>
            <w:r>
              <w:rPr>
                <w:sz w:val="20"/>
                <w:szCs w:val="20"/>
              </w:rPr>
              <w:t xml:space="preserve"> </w:t>
            </w:r>
            <w:r>
              <w:rPr>
                <w:rFonts w:ascii="Calibri" w:hAnsi="Calibri" w:eastAsia="Calibri" w:cs="Calibri"/>
                <w:spacing w:val="10"/>
                <w:sz w:val="20"/>
                <w:szCs w:val="20"/>
              </w:rPr>
              <w:t>10m</w:t>
            </w:r>
            <w:r>
              <w:rPr>
                <w:rFonts w:ascii="Calibri" w:hAnsi="Calibri" w:eastAsia="Calibri" w:cs="Calibri"/>
                <w:spacing w:val="10"/>
                <w:position w:val="7"/>
                <w:sz w:val="13"/>
                <w:szCs w:val="13"/>
              </w:rPr>
              <w:t>3</w:t>
            </w:r>
            <w:r>
              <w:rPr>
                <w:rFonts w:ascii="Calibri" w:hAnsi="Calibri" w:eastAsia="Calibri" w:cs="Calibri"/>
                <w:spacing w:val="15"/>
                <w:position w:val="7"/>
                <w:sz w:val="13"/>
                <w:szCs w:val="13"/>
              </w:rPr>
              <w:t xml:space="preserve"> </w:t>
            </w:r>
            <w:r>
              <w:rPr>
                <w:spacing w:val="10"/>
                <w:sz w:val="20"/>
                <w:szCs w:val="20"/>
              </w:rPr>
              <w:t>事故收集池，导流槽将泄漏物质导流</w:t>
            </w:r>
            <w:r>
              <w:rPr>
                <w:spacing w:val="9"/>
                <w:sz w:val="20"/>
                <w:szCs w:val="20"/>
              </w:rPr>
              <w:t>入收集池，导流槽和收集池相应按重点</w:t>
            </w:r>
            <w:r>
              <w:rPr>
                <w:sz w:val="20"/>
                <w:szCs w:val="20"/>
              </w:rPr>
              <w:t xml:space="preserve"> </w:t>
            </w:r>
            <w:r>
              <w:rPr>
                <w:spacing w:val="8"/>
                <w:sz w:val="20"/>
                <w:szCs w:val="20"/>
              </w:rPr>
              <w:t>防渗区要求做好防渗处理，可满足事故状态要求。</w:t>
            </w:r>
          </w:p>
          <w:p w14:paraId="2401A5DB">
            <w:pPr>
              <w:pStyle w:val="6"/>
              <w:spacing w:before="27" w:line="228" w:lineRule="auto"/>
              <w:ind w:left="525"/>
              <w:rPr>
                <w:rFonts w:ascii="Calibri" w:hAnsi="Calibri" w:eastAsia="Calibri" w:cs="Calibri"/>
                <w:sz w:val="20"/>
                <w:szCs w:val="20"/>
              </w:rPr>
            </w:pPr>
            <w:r>
              <w:rPr>
                <w:spacing w:val="8"/>
                <w:sz w:val="20"/>
                <w:szCs w:val="20"/>
              </w:rPr>
              <w:t>运输风险防范措施</w:t>
            </w:r>
            <w:r>
              <w:rPr>
                <w:rFonts w:ascii="Calibri" w:hAnsi="Calibri" w:eastAsia="Calibri" w:cs="Calibri"/>
                <w:spacing w:val="8"/>
                <w:sz w:val="20"/>
                <w:szCs w:val="20"/>
              </w:rPr>
              <w:t>:</w:t>
            </w:r>
          </w:p>
          <w:p w14:paraId="208D8526">
            <w:pPr>
              <w:pStyle w:val="6"/>
              <w:spacing w:before="25" w:line="239" w:lineRule="auto"/>
              <w:ind w:left="104" w:right="99" w:firstLine="420"/>
              <w:rPr>
                <w:sz w:val="20"/>
                <w:szCs w:val="20"/>
              </w:rPr>
            </w:pPr>
            <w:r>
              <w:rPr>
                <w:spacing w:val="13"/>
                <w:sz w:val="20"/>
                <w:szCs w:val="20"/>
              </w:rPr>
              <w:t>对危险物品的装卸、转移应由专业人见或经过</w:t>
            </w:r>
            <w:r>
              <w:rPr>
                <w:spacing w:val="12"/>
                <w:sz w:val="20"/>
                <w:szCs w:val="20"/>
              </w:rPr>
              <w:t>严格培训的员工来操作，建立</w:t>
            </w:r>
            <w:r>
              <w:rPr>
                <w:sz w:val="20"/>
                <w:szCs w:val="20"/>
              </w:rPr>
              <w:t xml:space="preserve"> </w:t>
            </w:r>
            <w:r>
              <w:rPr>
                <w:spacing w:val="12"/>
                <w:sz w:val="20"/>
                <w:szCs w:val="20"/>
              </w:rPr>
              <w:t>一套完整的作业操作技术规范，严格遵守操作规定。其中，应专门制定专用的运</w:t>
            </w:r>
            <w:r>
              <w:rPr>
                <w:spacing w:val="16"/>
                <w:sz w:val="20"/>
                <w:szCs w:val="20"/>
              </w:rPr>
              <w:t xml:space="preserve"> </w:t>
            </w:r>
            <w:r>
              <w:rPr>
                <w:spacing w:val="12"/>
                <w:sz w:val="20"/>
                <w:szCs w:val="20"/>
              </w:rPr>
              <w:t>输箱，所有涉及危险物品运输的车辆必须经过专门的防渗漏、密封处理，严控涉</w:t>
            </w:r>
          </w:p>
        </w:tc>
      </w:tr>
    </w:tbl>
    <w:p w14:paraId="2AC56958">
      <w:pPr>
        <w:pStyle w:val="2"/>
      </w:pPr>
    </w:p>
    <w:p w14:paraId="4CFE75CD">
      <w:pPr>
        <w:sectPr>
          <w:footerReference r:id="rId99" w:type="default"/>
          <w:pgSz w:w="11906" w:h="16839"/>
          <w:pgMar w:top="1270" w:right="1259" w:bottom="1263" w:left="1258" w:header="0" w:footer="1097" w:gutter="0"/>
          <w:cols w:space="720" w:num="1"/>
        </w:sectPr>
      </w:pPr>
    </w:p>
    <w:tbl>
      <w:tblPr>
        <w:tblStyle w:val="5"/>
        <w:tblW w:w="9362"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5"/>
        <w:gridCol w:w="7657"/>
      </w:tblGrid>
      <w:tr w14:paraId="5906AD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971" w:hRule="atLeast"/>
        </w:trPr>
        <w:tc>
          <w:tcPr>
            <w:tcW w:w="1705" w:type="dxa"/>
            <w:tcBorders>
              <w:top w:val="single" w:color="000000" w:sz="10" w:space="0"/>
              <w:left w:val="single" w:color="000000" w:sz="10" w:space="0"/>
            </w:tcBorders>
            <w:vAlign w:val="top"/>
          </w:tcPr>
          <w:p w14:paraId="42E398BA">
            <w:pPr>
              <w:rPr>
                <w:rFonts w:ascii="Arial"/>
                <w:sz w:val="21"/>
              </w:rPr>
            </w:pPr>
          </w:p>
        </w:tc>
        <w:tc>
          <w:tcPr>
            <w:tcW w:w="7657" w:type="dxa"/>
            <w:tcBorders>
              <w:top w:val="single" w:color="000000" w:sz="10" w:space="0"/>
              <w:right w:val="single" w:color="000000" w:sz="10" w:space="0"/>
            </w:tcBorders>
            <w:vAlign w:val="top"/>
          </w:tcPr>
          <w:p w14:paraId="3B5DF19B">
            <w:pPr>
              <w:pStyle w:val="6"/>
              <w:spacing w:before="16" w:line="239" w:lineRule="auto"/>
              <w:ind w:left="115" w:right="99" w:hanging="10"/>
              <w:rPr>
                <w:sz w:val="20"/>
                <w:szCs w:val="20"/>
              </w:rPr>
            </w:pPr>
            <w:r>
              <w:rPr>
                <w:spacing w:val="12"/>
                <w:sz w:val="20"/>
                <w:szCs w:val="20"/>
              </w:rPr>
              <w:t>及危险物质的各个回收、贮存、运输过程的安全。在装运易燃、可燃液体或气体</w:t>
            </w:r>
            <w:r>
              <w:rPr>
                <w:spacing w:val="16"/>
                <w:sz w:val="20"/>
                <w:szCs w:val="20"/>
              </w:rPr>
              <w:t xml:space="preserve"> </w:t>
            </w:r>
            <w:r>
              <w:rPr>
                <w:spacing w:val="7"/>
                <w:sz w:val="20"/>
                <w:szCs w:val="20"/>
              </w:rPr>
              <w:t>时，宜装阻火器以防雷电危害。</w:t>
            </w:r>
          </w:p>
          <w:p w14:paraId="379C8A9E">
            <w:pPr>
              <w:pStyle w:val="6"/>
              <w:spacing w:before="24" w:line="228" w:lineRule="auto"/>
              <w:ind w:left="530"/>
              <w:rPr>
                <w:rFonts w:ascii="Calibri" w:hAnsi="Calibri" w:eastAsia="Calibri" w:cs="Calibri"/>
                <w:sz w:val="20"/>
                <w:szCs w:val="20"/>
              </w:rPr>
            </w:pPr>
            <w:r>
              <w:rPr>
                <w:spacing w:val="8"/>
                <w:sz w:val="20"/>
                <w:szCs w:val="20"/>
              </w:rPr>
              <w:t>消防及火灾报警系统</w:t>
            </w:r>
            <w:r>
              <w:rPr>
                <w:rFonts w:ascii="Calibri" w:hAnsi="Calibri" w:eastAsia="Calibri" w:cs="Calibri"/>
                <w:spacing w:val="8"/>
                <w:sz w:val="20"/>
                <w:szCs w:val="20"/>
              </w:rPr>
              <w:t>:</w:t>
            </w:r>
          </w:p>
          <w:p w14:paraId="1FD1E62A">
            <w:pPr>
              <w:pStyle w:val="6"/>
              <w:spacing w:before="27"/>
              <w:ind w:left="104" w:right="96" w:firstLine="420"/>
              <w:rPr>
                <w:sz w:val="20"/>
                <w:szCs w:val="20"/>
              </w:rPr>
            </w:pPr>
            <w:r>
              <w:rPr>
                <w:spacing w:val="12"/>
                <w:sz w:val="20"/>
                <w:szCs w:val="20"/>
              </w:rPr>
              <w:t>①拆解车间、</w:t>
            </w:r>
            <w:r>
              <w:rPr>
                <w:rFonts w:ascii="Calibri" w:hAnsi="Calibri" w:eastAsia="Calibri" w:cs="Calibri"/>
                <w:spacing w:val="12"/>
                <w:sz w:val="20"/>
                <w:szCs w:val="20"/>
              </w:rPr>
              <w:t>3#</w:t>
            </w:r>
            <w:r>
              <w:rPr>
                <w:spacing w:val="12"/>
                <w:sz w:val="20"/>
                <w:szCs w:val="20"/>
              </w:rPr>
              <w:t>废矿物油暂存区内严禁明火，严禁在未排空废油液的情况下</w:t>
            </w:r>
            <w:r>
              <w:rPr>
                <w:spacing w:val="9"/>
                <w:sz w:val="20"/>
                <w:szCs w:val="20"/>
              </w:rPr>
              <w:t xml:space="preserve"> </w:t>
            </w:r>
            <w:r>
              <w:rPr>
                <w:spacing w:val="7"/>
                <w:sz w:val="20"/>
                <w:szCs w:val="20"/>
              </w:rPr>
              <w:t>进行油箱拆解。</w:t>
            </w:r>
          </w:p>
          <w:p w14:paraId="2711FD68">
            <w:pPr>
              <w:pStyle w:val="6"/>
              <w:spacing w:before="23" w:line="245" w:lineRule="auto"/>
              <w:ind w:left="106" w:right="44" w:firstLine="418"/>
              <w:rPr>
                <w:sz w:val="20"/>
                <w:szCs w:val="20"/>
              </w:rPr>
            </w:pPr>
            <w:r>
              <w:rPr>
                <w:sz w:val="20"/>
                <w:szCs w:val="20"/>
              </w:rPr>
              <w:t xml:space="preserve">②厂内配备满足 </w:t>
            </w:r>
            <w:r>
              <w:rPr>
                <w:rFonts w:ascii="Calibri" w:hAnsi="Calibri" w:eastAsia="Calibri" w:cs="Calibri"/>
                <w:sz w:val="20"/>
                <w:szCs w:val="20"/>
              </w:rPr>
              <w:t>GB</w:t>
            </w:r>
            <w:r>
              <w:rPr>
                <w:rFonts w:ascii="Calibri" w:hAnsi="Calibri" w:eastAsia="Calibri" w:cs="Calibri"/>
                <w:spacing w:val="18"/>
                <w:w w:val="101"/>
                <w:sz w:val="20"/>
                <w:szCs w:val="20"/>
              </w:rPr>
              <w:t xml:space="preserve"> </w:t>
            </w:r>
            <w:r>
              <w:rPr>
                <w:rFonts w:ascii="Calibri" w:hAnsi="Calibri" w:eastAsia="Calibri" w:cs="Calibri"/>
                <w:sz w:val="20"/>
                <w:szCs w:val="20"/>
              </w:rPr>
              <w:t>50016</w:t>
            </w:r>
            <w:r>
              <w:rPr>
                <w:rFonts w:ascii="Calibri" w:hAnsi="Calibri" w:eastAsia="Calibri" w:cs="Calibri"/>
                <w:spacing w:val="12"/>
                <w:sz w:val="20"/>
                <w:szCs w:val="20"/>
              </w:rPr>
              <w:t xml:space="preserve">  </w:t>
            </w:r>
            <w:r>
              <w:rPr>
                <w:sz w:val="20"/>
                <w:szCs w:val="20"/>
              </w:rPr>
              <w:t>规定的消防设施设备（灭火</w:t>
            </w:r>
            <w:r>
              <w:rPr>
                <w:spacing w:val="-1"/>
                <w:sz w:val="20"/>
                <w:szCs w:val="20"/>
              </w:rPr>
              <w:t>器、消火栓、消防沙等</w:t>
            </w:r>
            <w:r>
              <w:rPr>
                <w:spacing w:val="-47"/>
                <w:w w:val="89"/>
                <w:sz w:val="20"/>
                <w:szCs w:val="20"/>
              </w:rPr>
              <w:t>），</w:t>
            </w:r>
            <w:r>
              <w:rPr>
                <w:sz w:val="20"/>
                <w:szCs w:val="20"/>
              </w:rPr>
              <w:t xml:space="preserve"> </w:t>
            </w:r>
            <w:r>
              <w:rPr>
                <w:spacing w:val="12"/>
                <w:sz w:val="20"/>
                <w:szCs w:val="20"/>
              </w:rPr>
              <w:t>每年对灭火器材、设施进行检查，如有损坏或压力不足应及时维修更新。检测内</w:t>
            </w:r>
            <w:r>
              <w:rPr>
                <w:spacing w:val="15"/>
                <w:sz w:val="20"/>
                <w:szCs w:val="20"/>
              </w:rPr>
              <w:t xml:space="preserve"> </w:t>
            </w:r>
            <w:r>
              <w:rPr>
                <w:spacing w:val="12"/>
                <w:sz w:val="20"/>
                <w:szCs w:val="20"/>
              </w:rPr>
              <w:t>容、时间、人员应有记录保存。安全检测应根据设备的安全性、危险性设定检测</w:t>
            </w:r>
            <w:r>
              <w:rPr>
                <w:spacing w:val="15"/>
                <w:sz w:val="20"/>
                <w:szCs w:val="20"/>
              </w:rPr>
              <w:t xml:space="preserve"> </w:t>
            </w:r>
            <w:r>
              <w:rPr>
                <w:spacing w:val="9"/>
                <w:sz w:val="20"/>
                <w:szCs w:val="20"/>
              </w:rPr>
              <w:t>频次。在消防器材、设施放置处，安排相应的管理者负责。</w:t>
            </w:r>
          </w:p>
          <w:p w14:paraId="1A5E6138">
            <w:pPr>
              <w:pStyle w:val="6"/>
              <w:spacing w:before="28" w:line="239" w:lineRule="auto"/>
              <w:ind w:left="109" w:right="96" w:firstLine="414"/>
              <w:rPr>
                <w:sz w:val="20"/>
                <w:szCs w:val="20"/>
              </w:rPr>
            </w:pPr>
            <w:r>
              <w:rPr>
                <w:spacing w:val="13"/>
                <w:sz w:val="20"/>
                <w:szCs w:val="20"/>
              </w:rPr>
              <w:t>③保持消防器材的完整齐备，严禁将消防器材挪做它</w:t>
            </w:r>
            <w:r>
              <w:rPr>
                <w:spacing w:val="12"/>
                <w:sz w:val="20"/>
                <w:szCs w:val="20"/>
              </w:rPr>
              <w:t>用，特殊情况必须经相</w:t>
            </w:r>
            <w:r>
              <w:rPr>
                <w:sz w:val="20"/>
                <w:szCs w:val="20"/>
              </w:rPr>
              <w:t xml:space="preserve"> </w:t>
            </w:r>
            <w:r>
              <w:rPr>
                <w:spacing w:val="7"/>
                <w:sz w:val="20"/>
                <w:szCs w:val="20"/>
              </w:rPr>
              <w:t>关管理部门的同意。</w:t>
            </w:r>
          </w:p>
          <w:p w14:paraId="662B01A8">
            <w:pPr>
              <w:pStyle w:val="6"/>
              <w:spacing w:before="27" w:line="228" w:lineRule="auto"/>
              <w:ind w:left="526"/>
              <w:rPr>
                <w:rFonts w:ascii="Calibri" w:hAnsi="Calibri" w:eastAsia="Calibri" w:cs="Calibri"/>
                <w:sz w:val="20"/>
                <w:szCs w:val="20"/>
              </w:rPr>
            </w:pPr>
            <w:r>
              <w:rPr>
                <w:spacing w:val="8"/>
                <w:sz w:val="20"/>
                <w:szCs w:val="20"/>
              </w:rPr>
              <w:t>环境风险防范管理措施</w:t>
            </w:r>
            <w:r>
              <w:rPr>
                <w:rFonts w:ascii="Calibri" w:hAnsi="Calibri" w:eastAsia="Calibri" w:cs="Calibri"/>
                <w:spacing w:val="8"/>
                <w:sz w:val="20"/>
                <w:szCs w:val="20"/>
              </w:rPr>
              <w:t>:</w:t>
            </w:r>
          </w:p>
          <w:p w14:paraId="663BBAC2">
            <w:pPr>
              <w:pStyle w:val="6"/>
              <w:spacing w:before="24" w:line="244" w:lineRule="auto"/>
              <w:ind w:left="105" w:right="96" w:firstLine="420"/>
              <w:rPr>
                <w:sz w:val="20"/>
                <w:szCs w:val="20"/>
              </w:rPr>
            </w:pPr>
            <w:r>
              <w:rPr>
                <w:spacing w:val="13"/>
                <w:sz w:val="20"/>
                <w:szCs w:val="20"/>
              </w:rPr>
              <w:t>①强化安全生产管理，必须制定岗位责任制，将责</w:t>
            </w:r>
            <w:r>
              <w:rPr>
                <w:spacing w:val="12"/>
                <w:sz w:val="20"/>
                <w:szCs w:val="20"/>
              </w:rPr>
              <w:t>任落实到部门和个人严格</w:t>
            </w:r>
            <w:r>
              <w:rPr>
                <w:sz w:val="20"/>
                <w:szCs w:val="20"/>
              </w:rPr>
              <w:t xml:space="preserve"> </w:t>
            </w:r>
            <w:r>
              <w:rPr>
                <w:spacing w:val="12"/>
                <w:sz w:val="20"/>
                <w:szCs w:val="20"/>
              </w:rPr>
              <w:t>遵守操作规程，严格遵守国家、地方关于易燃、易爆、有毒有害物料的储运使用</w:t>
            </w:r>
            <w:r>
              <w:rPr>
                <w:spacing w:val="16"/>
                <w:sz w:val="20"/>
                <w:szCs w:val="20"/>
              </w:rPr>
              <w:t xml:space="preserve"> </w:t>
            </w:r>
            <w:r>
              <w:rPr>
                <w:spacing w:val="6"/>
                <w:sz w:val="20"/>
                <w:szCs w:val="20"/>
              </w:rPr>
              <w:t>安全规定。</w:t>
            </w:r>
          </w:p>
          <w:p w14:paraId="499B7D12">
            <w:pPr>
              <w:pStyle w:val="6"/>
              <w:spacing w:before="25" w:line="247" w:lineRule="auto"/>
              <w:ind w:left="107" w:right="99" w:firstLine="417"/>
              <w:rPr>
                <w:sz w:val="20"/>
                <w:szCs w:val="20"/>
              </w:rPr>
            </w:pPr>
            <w:r>
              <w:rPr>
                <w:spacing w:val="13"/>
                <w:sz w:val="20"/>
                <w:szCs w:val="20"/>
              </w:rPr>
              <w:t>②强化安全生产及环境保护意识的教育，提高职</w:t>
            </w:r>
            <w:r>
              <w:rPr>
                <w:spacing w:val="12"/>
                <w:sz w:val="20"/>
                <w:szCs w:val="20"/>
              </w:rPr>
              <w:t>工的素质。公司管理人员、</w:t>
            </w:r>
            <w:r>
              <w:rPr>
                <w:sz w:val="20"/>
                <w:szCs w:val="20"/>
              </w:rPr>
              <w:t xml:space="preserve"> </w:t>
            </w:r>
            <w:r>
              <w:rPr>
                <w:spacing w:val="12"/>
                <w:sz w:val="20"/>
                <w:szCs w:val="20"/>
              </w:rPr>
              <w:t>技术人员、运输人员必须接受有关危险废物的法律法规、规章和安全知识、专业</w:t>
            </w:r>
            <w:r>
              <w:rPr>
                <w:spacing w:val="14"/>
                <w:sz w:val="20"/>
                <w:szCs w:val="20"/>
              </w:rPr>
              <w:t xml:space="preserve"> </w:t>
            </w:r>
            <w:r>
              <w:rPr>
                <w:spacing w:val="12"/>
                <w:sz w:val="20"/>
                <w:szCs w:val="20"/>
              </w:rPr>
              <w:t>技术、职业卫生防护和应急知识的培训，并经考核合格，方可上岗作业；加强设</w:t>
            </w:r>
            <w:r>
              <w:rPr>
                <w:spacing w:val="14"/>
                <w:sz w:val="20"/>
                <w:szCs w:val="20"/>
              </w:rPr>
              <w:t xml:space="preserve"> </w:t>
            </w:r>
            <w:r>
              <w:rPr>
                <w:spacing w:val="12"/>
                <w:sz w:val="20"/>
                <w:szCs w:val="20"/>
              </w:rPr>
              <w:t>备的维修、保养，加强容器、管道的安全监控，按规定进行定期检验；加强危险</w:t>
            </w:r>
            <w:r>
              <w:rPr>
                <w:spacing w:val="14"/>
                <w:sz w:val="20"/>
                <w:szCs w:val="20"/>
              </w:rPr>
              <w:t xml:space="preserve"> </w:t>
            </w:r>
            <w:r>
              <w:rPr>
                <w:spacing w:val="8"/>
                <w:sz w:val="20"/>
                <w:szCs w:val="20"/>
              </w:rPr>
              <w:t>目标的保卫工作，防止破坏事故发生。</w:t>
            </w:r>
          </w:p>
          <w:p w14:paraId="2A8D8020">
            <w:pPr>
              <w:pStyle w:val="6"/>
              <w:spacing w:before="24" w:line="230" w:lineRule="auto"/>
              <w:ind w:left="110" w:right="96" w:firstLine="414"/>
              <w:rPr>
                <w:sz w:val="20"/>
                <w:szCs w:val="20"/>
              </w:rPr>
            </w:pPr>
            <w:r>
              <w:rPr>
                <w:spacing w:val="13"/>
                <w:sz w:val="20"/>
                <w:szCs w:val="20"/>
              </w:rPr>
              <w:t>③建立健全环保及安全管理部门，该部门应加强监督</w:t>
            </w:r>
            <w:r>
              <w:rPr>
                <w:spacing w:val="12"/>
                <w:sz w:val="20"/>
                <w:szCs w:val="20"/>
              </w:rPr>
              <w:t>检查，按规定监测厂内</w:t>
            </w:r>
            <w:r>
              <w:rPr>
                <w:sz w:val="20"/>
                <w:szCs w:val="20"/>
              </w:rPr>
              <w:t xml:space="preserve"> </w:t>
            </w:r>
            <w:r>
              <w:rPr>
                <w:spacing w:val="9"/>
                <w:sz w:val="20"/>
                <w:szCs w:val="20"/>
              </w:rPr>
              <w:t>外空气及水体中的有毒有害物质，及时发现，立即处理，避免污染。</w:t>
            </w:r>
          </w:p>
        </w:tc>
      </w:tr>
      <w:tr w14:paraId="2BE8FB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4" w:hRule="atLeast"/>
        </w:trPr>
        <w:tc>
          <w:tcPr>
            <w:tcW w:w="1705" w:type="dxa"/>
            <w:tcBorders>
              <w:left w:val="single" w:color="000000" w:sz="10" w:space="0"/>
            </w:tcBorders>
            <w:vAlign w:val="top"/>
          </w:tcPr>
          <w:p w14:paraId="0E19666E">
            <w:pPr>
              <w:spacing w:line="247" w:lineRule="auto"/>
              <w:rPr>
                <w:rFonts w:ascii="Arial"/>
                <w:sz w:val="21"/>
              </w:rPr>
            </w:pPr>
          </w:p>
          <w:p w14:paraId="3D8EBC03">
            <w:pPr>
              <w:spacing w:line="248" w:lineRule="auto"/>
              <w:rPr>
                <w:rFonts w:ascii="Arial"/>
                <w:sz w:val="21"/>
              </w:rPr>
            </w:pPr>
          </w:p>
          <w:p w14:paraId="1B3CFFCF">
            <w:pPr>
              <w:spacing w:line="248" w:lineRule="auto"/>
              <w:rPr>
                <w:rFonts w:ascii="Arial"/>
                <w:sz w:val="21"/>
              </w:rPr>
            </w:pPr>
          </w:p>
          <w:p w14:paraId="1E7B893E">
            <w:pPr>
              <w:spacing w:line="248" w:lineRule="auto"/>
              <w:rPr>
                <w:rFonts w:ascii="Arial"/>
                <w:sz w:val="21"/>
              </w:rPr>
            </w:pPr>
          </w:p>
          <w:p w14:paraId="672C1A85">
            <w:pPr>
              <w:spacing w:line="248" w:lineRule="auto"/>
              <w:rPr>
                <w:rFonts w:ascii="Arial"/>
                <w:sz w:val="21"/>
              </w:rPr>
            </w:pPr>
          </w:p>
          <w:p w14:paraId="1E533F13">
            <w:pPr>
              <w:spacing w:line="248" w:lineRule="auto"/>
              <w:rPr>
                <w:rFonts w:ascii="Arial"/>
                <w:sz w:val="21"/>
              </w:rPr>
            </w:pPr>
          </w:p>
          <w:p w14:paraId="5BACCD39">
            <w:pPr>
              <w:spacing w:line="248" w:lineRule="auto"/>
              <w:rPr>
                <w:rFonts w:ascii="Arial"/>
                <w:sz w:val="21"/>
              </w:rPr>
            </w:pPr>
          </w:p>
          <w:p w14:paraId="6A381F1E">
            <w:pPr>
              <w:spacing w:line="248" w:lineRule="auto"/>
              <w:rPr>
                <w:rFonts w:ascii="Arial"/>
                <w:sz w:val="21"/>
              </w:rPr>
            </w:pPr>
          </w:p>
          <w:p w14:paraId="0E760FC5">
            <w:pPr>
              <w:spacing w:line="248" w:lineRule="auto"/>
              <w:rPr>
                <w:rFonts w:ascii="Arial"/>
                <w:sz w:val="21"/>
              </w:rPr>
            </w:pPr>
          </w:p>
          <w:p w14:paraId="0E0A9F17">
            <w:pPr>
              <w:spacing w:line="248" w:lineRule="auto"/>
              <w:rPr>
                <w:rFonts w:ascii="Arial"/>
                <w:sz w:val="21"/>
              </w:rPr>
            </w:pPr>
          </w:p>
          <w:p w14:paraId="1F148F81">
            <w:pPr>
              <w:spacing w:line="248" w:lineRule="auto"/>
              <w:rPr>
                <w:rFonts w:ascii="Arial"/>
                <w:sz w:val="21"/>
              </w:rPr>
            </w:pPr>
          </w:p>
          <w:p w14:paraId="6AAC26D8">
            <w:pPr>
              <w:pStyle w:val="6"/>
              <w:spacing w:before="65" w:line="239" w:lineRule="auto"/>
              <w:ind w:left="323" w:right="119" w:hanging="213"/>
              <w:rPr>
                <w:sz w:val="20"/>
                <w:szCs w:val="20"/>
              </w:rPr>
            </w:pPr>
            <w:r>
              <w:rPr>
                <w:spacing w:val="8"/>
                <w:sz w:val="20"/>
                <w:szCs w:val="20"/>
              </w:rPr>
              <w:t>土壤及地下水污</w:t>
            </w:r>
            <w:r>
              <w:rPr>
                <w:spacing w:val="2"/>
                <w:sz w:val="20"/>
                <w:szCs w:val="20"/>
              </w:rPr>
              <w:t xml:space="preserve"> </w:t>
            </w:r>
            <w:r>
              <w:rPr>
                <w:spacing w:val="7"/>
                <w:sz w:val="20"/>
                <w:szCs w:val="20"/>
              </w:rPr>
              <w:t>染防治措施</w:t>
            </w:r>
          </w:p>
        </w:tc>
        <w:tc>
          <w:tcPr>
            <w:tcW w:w="7657" w:type="dxa"/>
            <w:tcBorders>
              <w:right w:val="single" w:color="000000" w:sz="10" w:space="0"/>
            </w:tcBorders>
            <w:vAlign w:val="top"/>
          </w:tcPr>
          <w:p w14:paraId="041AE6E6">
            <w:pPr>
              <w:pStyle w:val="6"/>
              <w:spacing w:before="86" w:line="225" w:lineRule="auto"/>
              <w:ind w:left="105"/>
              <w:rPr>
                <w:sz w:val="20"/>
                <w:szCs w:val="20"/>
              </w:rPr>
            </w:pPr>
            <w:r>
              <w:rPr>
                <w:b/>
                <w:bCs/>
                <w:spacing w:val="7"/>
                <w:sz w:val="20"/>
                <w:szCs w:val="20"/>
              </w:rPr>
              <w:t>①重点防渗区</w:t>
            </w:r>
          </w:p>
          <w:p w14:paraId="2C7AAE47">
            <w:pPr>
              <w:pStyle w:val="6"/>
              <w:spacing w:before="76" w:line="291" w:lineRule="auto"/>
              <w:ind w:left="106" w:right="28"/>
              <w:rPr>
                <w:sz w:val="20"/>
                <w:szCs w:val="20"/>
              </w:rPr>
            </w:pPr>
            <w:r>
              <w:rPr>
                <w:spacing w:val="9"/>
                <w:sz w:val="20"/>
                <w:szCs w:val="20"/>
              </w:rPr>
              <w:t>本项目重点防渗区主要包括危险废物贮存库（</w:t>
            </w:r>
            <w:r>
              <w:rPr>
                <w:rFonts w:ascii="Calibri" w:hAnsi="Calibri" w:eastAsia="Calibri" w:cs="Calibri"/>
                <w:spacing w:val="9"/>
                <w:sz w:val="20"/>
                <w:szCs w:val="20"/>
              </w:rPr>
              <w:t>1#</w:t>
            </w:r>
            <w:r>
              <w:rPr>
                <w:spacing w:val="9"/>
                <w:sz w:val="20"/>
                <w:szCs w:val="20"/>
              </w:rPr>
              <w:t>其他危险废物暂存区、</w:t>
            </w:r>
            <w:r>
              <w:rPr>
                <w:rFonts w:ascii="Calibri" w:hAnsi="Calibri" w:eastAsia="Calibri" w:cs="Calibri"/>
                <w:spacing w:val="9"/>
                <w:sz w:val="20"/>
                <w:szCs w:val="20"/>
              </w:rPr>
              <w:t>2#</w:t>
            </w:r>
            <w:r>
              <w:rPr>
                <w:spacing w:val="9"/>
                <w:sz w:val="20"/>
                <w:szCs w:val="20"/>
              </w:rPr>
              <w:t>废蓄电</w:t>
            </w:r>
            <w:r>
              <w:rPr>
                <w:spacing w:val="3"/>
                <w:sz w:val="20"/>
                <w:szCs w:val="20"/>
              </w:rPr>
              <w:t xml:space="preserve">  </w:t>
            </w:r>
            <w:r>
              <w:rPr>
                <w:spacing w:val="8"/>
                <w:sz w:val="20"/>
                <w:szCs w:val="20"/>
              </w:rPr>
              <w:t>池暂存区、</w:t>
            </w:r>
            <w:r>
              <w:rPr>
                <w:rFonts w:ascii="Calibri" w:hAnsi="Calibri" w:eastAsia="Calibri" w:cs="Calibri"/>
                <w:spacing w:val="8"/>
                <w:sz w:val="20"/>
                <w:szCs w:val="20"/>
              </w:rPr>
              <w:t>3#</w:t>
            </w:r>
            <w:r>
              <w:rPr>
                <w:spacing w:val="8"/>
                <w:sz w:val="20"/>
                <w:szCs w:val="20"/>
              </w:rPr>
              <w:t>废矿物油暂存区）、拆解车间、导流槽和收集池。危险废物贮存库、</w:t>
            </w:r>
            <w:r>
              <w:rPr>
                <w:spacing w:val="9"/>
                <w:sz w:val="20"/>
                <w:szCs w:val="20"/>
              </w:rPr>
              <w:t xml:space="preserve"> </w:t>
            </w:r>
            <w:r>
              <w:rPr>
                <w:spacing w:val="8"/>
                <w:sz w:val="20"/>
                <w:szCs w:val="20"/>
              </w:rPr>
              <w:t>拆解车间四周设置</w:t>
            </w:r>
            <w:r>
              <w:rPr>
                <w:rFonts w:ascii="Calibri" w:hAnsi="Calibri" w:eastAsia="Calibri" w:cs="Calibri"/>
                <w:spacing w:val="8"/>
                <w:sz w:val="20"/>
                <w:szCs w:val="20"/>
              </w:rPr>
              <w:t>0.4m</w:t>
            </w:r>
            <w:r>
              <w:rPr>
                <w:rFonts w:ascii="Times New Roman" w:hAnsi="Times New Roman" w:eastAsia="Times New Roman" w:cs="Times New Roman"/>
                <w:spacing w:val="8"/>
                <w:sz w:val="20"/>
                <w:szCs w:val="20"/>
              </w:rPr>
              <w:t>×</w:t>
            </w:r>
            <w:r>
              <w:rPr>
                <w:rFonts w:ascii="Calibri" w:hAnsi="Calibri" w:eastAsia="Calibri" w:cs="Calibri"/>
                <w:spacing w:val="8"/>
                <w:sz w:val="20"/>
                <w:szCs w:val="20"/>
              </w:rPr>
              <w:t>0.5m</w:t>
            </w:r>
            <w:r>
              <w:rPr>
                <w:spacing w:val="8"/>
                <w:sz w:val="20"/>
                <w:szCs w:val="20"/>
              </w:rPr>
              <w:t>导流槽，于拆解车间外侧西南角建设</w:t>
            </w:r>
            <w:r>
              <w:rPr>
                <w:rFonts w:ascii="Calibri" w:hAnsi="Calibri" w:eastAsia="Calibri" w:cs="Calibri"/>
                <w:spacing w:val="8"/>
                <w:sz w:val="20"/>
                <w:szCs w:val="20"/>
              </w:rPr>
              <w:t>10m</w:t>
            </w:r>
            <w:r>
              <w:rPr>
                <w:rFonts w:ascii="Calibri" w:hAnsi="Calibri" w:eastAsia="Calibri" w:cs="Calibri"/>
                <w:spacing w:val="8"/>
                <w:position w:val="6"/>
                <w:sz w:val="13"/>
                <w:szCs w:val="13"/>
              </w:rPr>
              <w:t>3</w:t>
            </w:r>
            <w:r>
              <w:rPr>
                <w:spacing w:val="8"/>
                <w:sz w:val="20"/>
                <w:szCs w:val="20"/>
              </w:rPr>
              <w:t>事故收集</w:t>
            </w:r>
            <w:r>
              <w:rPr>
                <w:spacing w:val="2"/>
                <w:sz w:val="20"/>
                <w:szCs w:val="20"/>
              </w:rPr>
              <w:t xml:space="preserve">   </w:t>
            </w:r>
            <w:r>
              <w:rPr>
                <w:spacing w:val="10"/>
                <w:sz w:val="20"/>
                <w:szCs w:val="20"/>
              </w:rPr>
              <w:t>池，导流槽将泄漏物质导流入收集池，导流槽和收集池</w:t>
            </w:r>
            <w:r>
              <w:rPr>
                <w:spacing w:val="9"/>
                <w:sz w:val="20"/>
                <w:szCs w:val="20"/>
              </w:rPr>
              <w:t>相应按重点防渗区要求做</w:t>
            </w:r>
            <w:r>
              <w:rPr>
                <w:sz w:val="20"/>
                <w:szCs w:val="20"/>
              </w:rPr>
              <w:t xml:space="preserve">  </w:t>
            </w:r>
            <w:r>
              <w:rPr>
                <w:spacing w:val="10"/>
                <w:sz w:val="20"/>
                <w:szCs w:val="20"/>
              </w:rPr>
              <w:t>好防渗处理。废油液采用桶装，桶下设置托盘。废铅酸</w:t>
            </w:r>
            <w:r>
              <w:rPr>
                <w:spacing w:val="9"/>
                <w:sz w:val="20"/>
                <w:szCs w:val="20"/>
              </w:rPr>
              <w:t>蓄电池完好的放在塑料箱</w:t>
            </w:r>
            <w:r>
              <w:rPr>
                <w:sz w:val="20"/>
                <w:szCs w:val="20"/>
              </w:rPr>
              <w:t xml:space="preserve">  </w:t>
            </w:r>
            <w:r>
              <w:rPr>
                <w:spacing w:val="10"/>
                <w:sz w:val="20"/>
                <w:szCs w:val="20"/>
              </w:rPr>
              <w:t>中并采用塑料膜包装以防碰撞破损；如有破损的废电池</w:t>
            </w:r>
            <w:r>
              <w:rPr>
                <w:spacing w:val="9"/>
                <w:sz w:val="20"/>
                <w:szCs w:val="20"/>
              </w:rPr>
              <w:t>放置在耐酸耐腐蚀的塑料</w:t>
            </w:r>
            <w:r>
              <w:rPr>
                <w:sz w:val="20"/>
                <w:szCs w:val="20"/>
              </w:rPr>
              <w:t xml:space="preserve">  </w:t>
            </w:r>
            <w:r>
              <w:rPr>
                <w:spacing w:val="9"/>
                <w:sz w:val="20"/>
                <w:szCs w:val="20"/>
              </w:rPr>
              <w:t>箱内储存，严防电解液外泄。拆解车间作业区地面混凝土强度等级不</w:t>
            </w:r>
            <w:r>
              <w:rPr>
                <w:spacing w:val="8"/>
                <w:sz w:val="20"/>
                <w:szCs w:val="20"/>
              </w:rPr>
              <w:t xml:space="preserve">低于 </w:t>
            </w:r>
            <w:r>
              <w:rPr>
                <w:rFonts w:ascii="Calibri" w:hAnsi="Calibri" w:eastAsia="Calibri" w:cs="Calibri"/>
                <w:spacing w:val="8"/>
                <w:sz w:val="20"/>
                <w:szCs w:val="20"/>
              </w:rPr>
              <w:t>C20</w:t>
            </w:r>
            <w:r>
              <w:rPr>
                <w:spacing w:val="8"/>
                <w:sz w:val="20"/>
                <w:szCs w:val="20"/>
              </w:rPr>
              <w:t>，</w:t>
            </w:r>
          </w:p>
          <w:p w14:paraId="184A4A8D">
            <w:pPr>
              <w:pStyle w:val="6"/>
              <w:spacing w:before="31" w:line="285" w:lineRule="auto"/>
              <w:ind w:left="108" w:right="98" w:firstLine="3"/>
              <w:rPr>
                <w:sz w:val="20"/>
                <w:szCs w:val="20"/>
              </w:rPr>
            </w:pPr>
            <w:r>
              <w:rPr>
                <w:spacing w:val="6"/>
                <w:sz w:val="20"/>
                <w:szCs w:val="20"/>
              </w:rPr>
              <w:t xml:space="preserve">厚度不低于 </w:t>
            </w:r>
            <w:r>
              <w:rPr>
                <w:rFonts w:ascii="Calibri" w:hAnsi="Calibri" w:eastAsia="Calibri" w:cs="Calibri"/>
                <w:spacing w:val="6"/>
                <w:sz w:val="20"/>
                <w:szCs w:val="20"/>
              </w:rPr>
              <w:t xml:space="preserve">150   </w:t>
            </w:r>
            <w:r>
              <w:rPr>
                <w:rFonts w:ascii="Calibri" w:hAnsi="Calibri" w:eastAsia="Calibri" w:cs="Calibri"/>
                <w:sz w:val="20"/>
                <w:szCs w:val="20"/>
              </w:rPr>
              <w:t>mm</w:t>
            </w:r>
            <w:r>
              <w:rPr>
                <w:rFonts w:ascii="Calibri" w:hAnsi="Calibri" w:eastAsia="Calibri" w:cs="Calibri"/>
                <w:spacing w:val="-21"/>
                <w:sz w:val="20"/>
                <w:szCs w:val="20"/>
              </w:rPr>
              <w:t xml:space="preserve"> </w:t>
            </w:r>
            <w:r>
              <w:rPr>
                <w:spacing w:val="6"/>
                <w:sz w:val="20"/>
                <w:szCs w:val="20"/>
              </w:rPr>
              <w:t xml:space="preserve">，其中物流通道路面和拆解作业区域强度不低于 </w:t>
            </w:r>
            <w:r>
              <w:rPr>
                <w:rFonts w:ascii="Calibri" w:hAnsi="Calibri" w:eastAsia="Calibri" w:cs="Calibri"/>
                <w:spacing w:val="6"/>
                <w:sz w:val="20"/>
                <w:szCs w:val="20"/>
              </w:rPr>
              <w:t>C30</w:t>
            </w:r>
            <w:r>
              <w:rPr>
                <w:rFonts w:ascii="Calibri" w:hAnsi="Calibri" w:eastAsia="Calibri" w:cs="Calibri"/>
                <w:spacing w:val="-18"/>
                <w:sz w:val="20"/>
                <w:szCs w:val="20"/>
              </w:rPr>
              <w:t xml:space="preserve"> </w:t>
            </w:r>
            <w:r>
              <w:rPr>
                <w:spacing w:val="6"/>
                <w:sz w:val="20"/>
                <w:szCs w:val="20"/>
              </w:rPr>
              <w:t>，</w:t>
            </w:r>
            <w:r>
              <w:rPr>
                <w:spacing w:val="5"/>
                <w:sz w:val="20"/>
                <w:szCs w:val="20"/>
              </w:rPr>
              <w:t>厚度</w:t>
            </w:r>
            <w:r>
              <w:rPr>
                <w:sz w:val="20"/>
                <w:szCs w:val="20"/>
              </w:rPr>
              <w:t xml:space="preserve"> </w:t>
            </w:r>
            <w:r>
              <w:rPr>
                <w:spacing w:val="6"/>
                <w:sz w:val="20"/>
                <w:szCs w:val="20"/>
              </w:rPr>
              <w:t xml:space="preserve">不低于 </w:t>
            </w:r>
            <w:r>
              <w:rPr>
                <w:rFonts w:ascii="Calibri" w:hAnsi="Calibri" w:eastAsia="Calibri" w:cs="Calibri"/>
                <w:spacing w:val="6"/>
                <w:sz w:val="20"/>
                <w:szCs w:val="20"/>
              </w:rPr>
              <w:t>200</w:t>
            </w:r>
            <w:r>
              <w:rPr>
                <w:rFonts w:ascii="Calibri" w:hAnsi="Calibri" w:eastAsia="Calibri" w:cs="Calibri"/>
                <w:sz w:val="20"/>
                <w:szCs w:val="20"/>
              </w:rPr>
              <w:t>mm</w:t>
            </w:r>
            <w:r>
              <w:rPr>
                <w:rFonts w:ascii="Calibri" w:hAnsi="Calibri" w:eastAsia="Calibri" w:cs="Calibri"/>
                <w:spacing w:val="-22"/>
                <w:sz w:val="20"/>
                <w:szCs w:val="20"/>
              </w:rPr>
              <w:t xml:space="preserve"> </w:t>
            </w:r>
            <w:r>
              <w:rPr>
                <w:spacing w:val="6"/>
                <w:sz w:val="20"/>
                <w:szCs w:val="20"/>
              </w:rPr>
              <w:t xml:space="preserve">，满足《报废机动车拆解企业污染控制技术规范》  </w:t>
            </w:r>
            <w:r>
              <w:rPr>
                <w:rFonts w:ascii="Calibri" w:hAnsi="Calibri" w:eastAsia="Calibri" w:cs="Calibri"/>
                <w:spacing w:val="6"/>
                <w:sz w:val="20"/>
                <w:szCs w:val="20"/>
              </w:rPr>
              <w:t>(</w:t>
            </w:r>
            <w:r>
              <w:rPr>
                <w:rFonts w:ascii="Calibri" w:hAnsi="Calibri" w:eastAsia="Calibri" w:cs="Calibri"/>
                <w:sz w:val="20"/>
                <w:szCs w:val="20"/>
              </w:rPr>
              <w:t>HJ</w:t>
            </w:r>
            <w:r>
              <w:rPr>
                <w:rFonts w:ascii="Calibri" w:hAnsi="Calibri" w:eastAsia="Calibri" w:cs="Calibri"/>
                <w:spacing w:val="6"/>
                <w:sz w:val="20"/>
                <w:szCs w:val="20"/>
              </w:rPr>
              <w:t>348-2022)</w:t>
            </w:r>
            <w:r>
              <w:rPr>
                <w:rFonts w:ascii="Calibri" w:hAnsi="Calibri" w:eastAsia="Calibri" w:cs="Calibri"/>
                <w:sz w:val="20"/>
                <w:szCs w:val="20"/>
              </w:rPr>
              <w:t xml:space="preserve">    </w:t>
            </w:r>
            <w:r>
              <w:rPr>
                <w:spacing w:val="7"/>
                <w:sz w:val="20"/>
                <w:szCs w:val="20"/>
              </w:rPr>
              <w:t xml:space="preserve">中防渗、混凝土强度要求；危险废物贮存库地面采用 </w:t>
            </w:r>
            <w:r>
              <w:rPr>
                <w:rFonts w:ascii="Calibri" w:hAnsi="Calibri" w:eastAsia="Calibri" w:cs="Calibri"/>
                <w:spacing w:val="7"/>
                <w:sz w:val="20"/>
                <w:szCs w:val="20"/>
              </w:rPr>
              <w:t>2</w:t>
            </w:r>
            <w:r>
              <w:rPr>
                <w:rFonts w:ascii="Calibri" w:hAnsi="Calibri" w:eastAsia="Calibri" w:cs="Calibri"/>
                <w:spacing w:val="6"/>
                <w:sz w:val="20"/>
                <w:szCs w:val="20"/>
              </w:rPr>
              <w:t>.0</w:t>
            </w:r>
            <w:r>
              <w:rPr>
                <w:rFonts w:ascii="Calibri" w:hAnsi="Calibri" w:eastAsia="Calibri" w:cs="Calibri"/>
                <w:sz w:val="20"/>
                <w:szCs w:val="20"/>
              </w:rPr>
              <w:t>mm</w:t>
            </w:r>
            <w:r>
              <w:rPr>
                <w:rFonts w:ascii="Calibri" w:hAnsi="Calibri" w:eastAsia="Calibri" w:cs="Calibri"/>
                <w:spacing w:val="14"/>
                <w:w w:val="102"/>
                <w:sz w:val="20"/>
                <w:szCs w:val="20"/>
              </w:rPr>
              <w:t xml:space="preserve">  </w:t>
            </w:r>
            <w:r>
              <w:rPr>
                <w:spacing w:val="6"/>
                <w:sz w:val="20"/>
                <w:szCs w:val="20"/>
              </w:rPr>
              <w:t>厚高密度聚乙烯膜或</w:t>
            </w:r>
            <w:r>
              <w:rPr>
                <w:sz w:val="20"/>
                <w:szCs w:val="20"/>
              </w:rPr>
              <w:t xml:space="preserve"> </w:t>
            </w:r>
            <w:r>
              <w:rPr>
                <w:spacing w:val="8"/>
                <w:sz w:val="20"/>
                <w:szCs w:val="20"/>
              </w:rPr>
              <w:t xml:space="preserve">至少 </w:t>
            </w:r>
            <w:r>
              <w:rPr>
                <w:rFonts w:ascii="Calibri" w:hAnsi="Calibri" w:eastAsia="Calibri" w:cs="Calibri"/>
                <w:spacing w:val="8"/>
                <w:sz w:val="20"/>
                <w:szCs w:val="20"/>
              </w:rPr>
              <w:t>2</w:t>
            </w:r>
            <w:r>
              <w:rPr>
                <w:rFonts w:ascii="Calibri" w:hAnsi="Calibri" w:eastAsia="Calibri" w:cs="Calibri"/>
                <w:sz w:val="20"/>
                <w:szCs w:val="20"/>
              </w:rPr>
              <w:t>mm</w:t>
            </w:r>
            <w:r>
              <w:rPr>
                <w:rFonts w:ascii="Calibri" w:hAnsi="Calibri" w:eastAsia="Calibri" w:cs="Calibri"/>
                <w:spacing w:val="8"/>
                <w:sz w:val="20"/>
                <w:szCs w:val="20"/>
              </w:rPr>
              <w:t xml:space="preserve">  </w:t>
            </w:r>
            <w:r>
              <w:rPr>
                <w:spacing w:val="8"/>
                <w:sz w:val="20"/>
                <w:szCs w:val="20"/>
              </w:rPr>
              <w:t>厚的其它人工材料，渗透系数≤</w:t>
            </w:r>
            <w:r>
              <w:rPr>
                <w:rFonts w:ascii="Calibri" w:hAnsi="Calibri" w:eastAsia="Calibri" w:cs="Calibri"/>
                <w:spacing w:val="8"/>
                <w:sz w:val="20"/>
                <w:szCs w:val="20"/>
              </w:rPr>
              <w:t>10</w:t>
            </w:r>
            <w:r>
              <w:rPr>
                <w:rFonts w:ascii="Calibri" w:hAnsi="Calibri" w:eastAsia="Calibri" w:cs="Calibri"/>
                <w:spacing w:val="8"/>
                <w:position w:val="7"/>
                <w:sz w:val="13"/>
                <w:szCs w:val="13"/>
              </w:rPr>
              <w:t>-10</w:t>
            </w:r>
            <w:r>
              <w:rPr>
                <w:rFonts w:ascii="Calibri" w:hAnsi="Calibri" w:eastAsia="Calibri" w:cs="Calibri"/>
                <w:sz w:val="20"/>
                <w:szCs w:val="20"/>
              </w:rPr>
              <w:t>cm</w:t>
            </w:r>
            <w:r>
              <w:rPr>
                <w:rFonts w:ascii="Calibri" w:hAnsi="Calibri" w:eastAsia="Calibri" w:cs="Calibri"/>
                <w:spacing w:val="8"/>
                <w:sz w:val="20"/>
                <w:szCs w:val="20"/>
              </w:rPr>
              <w:t>/s</w:t>
            </w:r>
            <w:r>
              <w:rPr>
                <w:rFonts w:ascii="Calibri" w:hAnsi="Calibri" w:eastAsia="Calibri" w:cs="Calibri"/>
                <w:spacing w:val="-10"/>
                <w:sz w:val="20"/>
                <w:szCs w:val="20"/>
              </w:rPr>
              <w:t xml:space="preserve"> </w:t>
            </w:r>
            <w:r>
              <w:rPr>
                <w:spacing w:val="8"/>
                <w:sz w:val="20"/>
                <w:szCs w:val="20"/>
              </w:rPr>
              <w:t xml:space="preserve">，符合等效黏土防渗层 </w:t>
            </w:r>
            <w:r>
              <w:rPr>
                <w:rFonts w:ascii="Calibri" w:hAnsi="Calibri" w:eastAsia="Calibri" w:cs="Calibri"/>
                <w:sz w:val="20"/>
                <w:szCs w:val="20"/>
              </w:rPr>
              <w:t xml:space="preserve">Mb    </w:t>
            </w:r>
            <w:r>
              <w:rPr>
                <w:spacing w:val="7"/>
                <w:sz w:val="20"/>
                <w:szCs w:val="20"/>
              </w:rPr>
              <w:t>≥</w:t>
            </w:r>
            <w:r>
              <w:rPr>
                <w:rFonts w:ascii="Calibri" w:hAnsi="Calibri" w:eastAsia="Calibri" w:cs="Calibri"/>
                <w:spacing w:val="7"/>
                <w:sz w:val="20"/>
                <w:szCs w:val="20"/>
              </w:rPr>
              <w:t>6.0m</w:t>
            </w:r>
            <w:r>
              <w:rPr>
                <w:spacing w:val="7"/>
                <w:sz w:val="20"/>
                <w:szCs w:val="20"/>
              </w:rPr>
              <w:t>的要求，并张贴醒目的标识。</w:t>
            </w:r>
          </w:p>
          <w:p w14:paraId="672E1947">
            <w:pPr>
              <w:pStyle w:val="6"/>
              <w:spacing w:before="56" w:line="225" w:lineRule="auto"/>
              <w:ind w:left="104"/>
              <w:rPr>
                <w:sz w:val="20"/>
                <w:szCs w:val="20"/>
              </w:rPr>
            </w:pPr>
            <w:r>
              <w:rPr>
                <w:b/>
                <w:bCs/>
                <w:spacing w:val="7"/>
                <w:sz w:val="20"/>
                <w:szCs w:val="20"/>
              </w:rPr>
              <w:t>②一般防渗区</w:t>
            </w:r>
          </w:p>
          <w:p w14:paraId="5A06D79B">
            <w:pPr>
              <w:pStyle w:val="6"/>
              <w:spacing w:before="76" w:line="290" w:lineRule="auto"/>
              <w:ind w:left="111" w:right="99" w:hanging="2"/>
              <w:jc w:val="both"/>
              <w:rPr>
                <w:sz w:val="20"/>
                <w:szCs w:val="20"/>
              </w:rPr>
            </w:pPr>
            <w:r>
              <w:rPr>
                <w:spacing w:val="10"/>
                <w:sz w:val="20"/>
                <w:szCs w:val="20"/>
              </w:rPr>
              <w:t>一般防渗区为报废后农机暂存区、拆解后物料储</w:t>
            </w:r>
            <w:r>
              <w:rPr>
                <w:spacing w:val="9"/>
                <w:sz w:val="20"/>
                <w:szCs w:val="20"/>
              </w:rPr>
              <w:t>存区和防渗旱厕。地面为厚度不</w:t>
            </w:r>
            <w:r>
              <w:rPr>
                <w:sz w:val="20"/>
                <w:szCs w:val="20"/>
              </w:rPr>
              <w:t xml:space="preserve">  </w:t>
            </w:r>
            <w:r>
              <w:rPr>
                <w:spacing w:val="9"/>
                <w:sz w:val="20"/>
                <w:szCs w:val="20"/>
              </w:rPr>
              <w:t>小于</w:t>
            </w:r>
            <w:r>
              <w:rPr>
                <w:rFonts w:ascii="Calibri" w:hAnsi="Calibri" w:eastAsia="Calibri" w:cs="Calibri"/>
                <w:spacing w:val="9"/>
                <w:sz w:val="20"/>
                <w:szCs w:val="20"/>
              </w:rPr>
              <w:t>200</w:t>
            </w:r>
            <w:r>
              <w:rPr>
                <w:rFonts w:ascii="Calibri" w:hAnsi="Calibri" w:eastAsia="Calibri" w:cs="Calibri"/>
                <w:sz w:val="20"/>
                <w:szCs w:val="20"/>
              </w:rPr>
              <w:t>mm</w:t>
            </w:r>
            <w:r>
              <w:rPr>
                <w:spacing w:val="9"/>
                <w:sz w:val="20"/>
                <w:szCs w:val="20"/>
              </w:rPr>
              <w:t>的</w:t>
            </w:r>
            <w:r>
              <w:rPr>
                <w:rFonts w:ascii="Calibri" w:hAnsi="Calibri" w:eastAsia="Calibri" w:cs="Calibri"/>
                <w:spacing w:val="9"/>
                <w:sz w:val="20"/>
                <w:szCs w:val="20"/>
              </w:rPr>
              <w:t>P6</w:t>
            </w:r>
            <w:r>
              <w:rPr>
                <w:spacing w:val="9"/>
                <w:sz w:val="20"/>
                <w:szCs w:val="20"/>
              </w:rPr>
              <w:t>抗渗混凝土硬化地面，其防渗技术要求可满足等效黏土防渗层</w:t>
            </w:r>
            <w:r>
              <w:rPr>
                <w:rFonts w:ascii="Calibri" w:hAnsi="Calibri" w:eastAsia="Calibri" w:cs="Calibri"/>
                <w:sz w:val="20"/>
                <w:szCs w:val="20"/>
              </w:rPr>
              <w:t>Mb</w:t>
            </w:r>
            <w:r>
              <w:rPr>
                <w:rFonts w:ascii="Calibri" w:hAnsi="Calibri" w:eastAsia="Calibri" w:cs="Calibri"/>
                <w:spacing w:val="9"/>
                <w:sz w:val="20"/>
                <w:szCs w:val="20"/>
              </w:rPr>
              <w:t xml:space="preserve"> </w:t>
            </w:r>
            <w:r>
              <w:rPr>
                <w:spacing w:val="3"/>
                <w:sz w:val="20"/>
                <w:szCs w:val="20"/>
              </w:rPr>
              <w:t>≥</w:t>
            </w:r>
            <w:r>
              <w:rPr>
                <w:rFonts w:ascii="Calibri" w:hAnsi="Calibri" w:eastAsia="Calibri" w:cs="Calibri"/>
                <w:spacing w:val="3"/>
                <w:sz w:val="20"/>
                <w:szCs w:val="20"/>
              </w:rPr>
              <w:t>1.5m</w:t>
            </w:r>
            <w:r>
              <w:rPr>
                <w:rFonts w:ascii="Calibri" w:hAnsi="Calibri" w:eastAsia="Calibri" w:cs="Calibri"/>
                <w:spacing w:val="-14"/>
                <w:sz w:val="20"/>
                <w:szCs w:val="20"/>
              </w:rPr>
              <w:t xml:space="preserve"> </w:t>
            </w:r>
            <w:r>
              <w:rPr>
                <w:spacing w:val="3"/>
                <w:sz w:val="20"/>
                <w:szCs w:val="20"/>
              </w:rPr>
              <w:t>，</w:t>
            </w:r>
            <w:r>
              <w:rPr>
                <w:rFonts w:ascii="Calibri" w:hAnsi="Calibri" w:eastAsia="Calibri" w:cs="Calibri"/>
                <w:spacing w:val="3"/>
                <w:sz w:val="20"/>
                <w:szCs w:val="20"/>
              </w:rPr>
              <w:t>K</w:t>
            </w:r>
            <w:r>
              <w:rPr>
                <w:spacing w:val="3"/>
                <w:sz w:val="20"/>
                <w:szCs w:val="20"/>
              </w:rPr>
              <w:t>≤</w:t>
            </w:r>
            <w:r>
              <w:rPr>
                <w:rFonts w:ascii="Calibri" w:hAnsi="Calibri" w:eastAsia="Calibri" w:cs="Calibri"/>
                <w:spacing w:val="3"/>
                <w:sz w:val="20"/>
                <w:szCs w:val="20"/>
              </w:rPr>
              <w:t>1</w:t>
            </w:r>
            <w:r>
              <w:rPr>
                <w:spacing w:val="3"/>
                <w:sz w:val="20"/>
                <w:szCs w:val="20"/>
              </w:rPr>
              <w:t>×</w:t>
            </w:r>
            <w:r>
              <w:rPr>
                <w:rFonts w:ascii="Calibri" w:hAnsi="Calibri" w:eastAsia="Calibri" w:cs="Calibri"/>
                <w:spacing w:val="3"/>
                <w:sz w:val="20"/>
                <w:szCs w:val="20"/>
              </w:rPr>
              <w:t>10</w:t>
            </w:r>
            <w:r>
              <w:rPr>
                <w:rFonts w:ascii="Calibri" w:hAnsi="Calibri" w:eastAsia="Calibri" w:cs="Calibri"/>
                <w:spacing w:val="3"/>
                <w:position w:val="6"/>
                <w:sz w:val="13"/>
                <w:szCs w:val="13"/>
              </w:rPr>
              <w:t>-7</w:t>
            </w:r>
            <w:r>
              <w:rPr>
                <w:rFonts w:ascii="Calibri" w:hAnsi="Calibri" w:eastAsia="Calibri" w:cs="Calibri"/>
                <w:sz w:val="20"/>
                <w:szCs w:val="20"/>
              </w:rPr>
              <w:t>cm</w:t>
            </w:r>
            <w:r>
              <w:rPr>
                <w:rFonts w:ascii="Calibri" w:hAnsi="Calibri" w:eastAsia="Calibri" w:cs="Calibri"/>
                <w:spacing w:val="3"/>
                <w:sz w:val="20"/>
                <w:szCs w:val="20"/>
              </w:rPr>
              <w:t>/s</w:t>
            </w:r>
            <w:r>
              <w:rPr>
                <w:rFonts w:ascii="Calibri" w:hAnsi="Calibri" w:eastAsia="Calibri" w:cs="Calibri"/>
                <w:spacing w:val="19"/>
                <w:sz w:val="20"/>
                <w:szCs w:val="20"/>
              </w:rPr>
              <w:t xml:space="preserve">  </w:t>
            </w:r>
            <w:r>
              <w:rPr>
                <w:spacing w:val="3"/>
                <w:sz w:val="20"/>
                <w:szCs w:val="20"/>
              </w:rPr>
              <w:t>的要求。</w:t>
            </w:r>
          </w:p>
          <w:p w14:paraId="112776F6">
            <w:pPr>
              <w:pStyle w:val="6"/>
              <w:spacing w:before="20" w:line="225" w:lineRule="auto"/>
              <w:ind w:left="104"/>
              <w:rPr>
                <w:sz w:val="20"/>
                <w:szCs w:val="20"/>
              </w:rPr>
            </w:pPr>
            <w:r>
              <w:rPr>
                <w:b/>
                <w:bCs/>
                <w:spacing w:val="7"/>
                <w:sz w:val="20"/>
                <w:szCs w:val="20"/>
              </w:rPr>
              <w:t>③简单防渗区</w:t>
            </w:r>
          </w:p>
          <w:p w14:paraId="4E0E0BDF">
            <w:pPr>
              <w:pStyle w:val="6"/>
              <w:spacing w:before="75" w:line="201" w:lineRule="auto"/>
              <w:ind w:left="108"/>
              <w:rPr>
                <w:sz w:val="20"/>
                <w:szCs w:val="20"/>
              </w:rPr>
            </w:pPr>
            <w:r>
              <w:rPr>
                <w:spacing w:val="9"/>
                <w:sz w:val="20"/>
                <w:szCs w:val="20"/>
              </w:rPr>
              <w:t>厂区地面、办公室、接待室属于简单防渗区，地面进行水泥硬化。</w:t>
            </w:r>
          </w:p>
        </w:tc>
      </w:tr>
      <w:tr w14:paraId="50BF9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50" w:hRule="atLeast"/>
        </w:trPr>
        <w:tc>
          <w:tcPr>
            <w:tcW w:w="1705" w:type="dxa"/>
            <w:tcBorders>
              <w:left w:val="single" w:color="000000" w:sz="10" w:space="0"/>
              <w:bottom w:val="single" w:color="000000" w:sz="10" w:space="0"/>
            </w:tcBorders>
            <w:vAlign w:val="top"/>
          </w:tcPr>
          <w:p w14:paraId="691397CA">
            <w:pPr>
              <w:rPr>
                <w:rFonts w:ascii="Arial"/>
                <w:sz w:val="21"/>
              </w:rPr>
            </w:pPr>
          </w:p>
          <w:p w14:paraId="110A6AA1">
            <w:pPr>
              <w:spacing w:line="241" w:lineRule="auto"/>
              <w:rPr>
                <w:rFonts w:ascii="Arial"/>
                <w:sz w:val="21"/>
              </w:rPr>
            </w:pPr>
          </w:p>
          <w:p w14:paraId="73CB1FDC">
            <w:pPr>
              <w:spacing w:line="241" w:lineRule="auto"/>
              <w:rPr>
                <w:rFonts w:ascii="Arial"/>
                <w:sz w:val="21"/>
              </w:rPr>
            </w:pPr>
          </w:p>
          <w:p w14:paraId="37A155DF">
            <w:pPr>
              <w:pStyle w:val="6"/>
              <w:spacing w:before="65"/>
              <w:ind w:left="742" w:right="119" w:hanging="632"/>
              <w:rPr>
                <w:sz w:val="20"/>
                <w:szCs w:val="20"/>
              </w:rPr>
            </w:pPr>
            <w:r>
              <w:rPr>
                <w:spacing w:val="8"/>
                <w:sz w:val="20"/>
                <w:szCs w:val="20"/>
              </w:rPr>
              <w:t>其他环境管理要</w:t>
            </w:r>
            <w:r>
              <w:rPr>
                <w:spacing w:val="2"/>
                <w:sz w:val="20"/>
                <w:szCs w:val="20"/>
              </w:rPr>
              <w:t xml:space="preserve"> </w:t>
            </w:r>
            <w:r>
              <w:rPr>
                <w:sz w:val="20"/>
                <w:szCs w:val="20"/>
              </w:rPr>
              <w:t>求</w:t>
            </w:r>
          </w:p>
        </w:tc>
        <w:tc>
          <w:tcPr>
            <w:tcW w:w="7657" w:type="dxa"/>
            <w:tcBorders>
              <w:bottom w:val="single" w:color="000000" w:sz="10" w:space="0"/>
              <w:right w:val="single" w:color="000000" w:sz="10" w:space="0"/>
            </w:tcBorders>
            <w:vAlign w:val="top"/>
          </w:tcPr>
          <w:p w14:paraId="0BEC2315">
            <w:pPr>
              <w:pStyle w:val="6"/>
              <w:spacing w:before="52" w:line="239" w:lineRule="auto"/>
              <w:ind w:left="109" w:right="190" w:hanging="4"/>
              <w:rPr>
                <w:sz w:val="20"/>
                <w:szCs w:val="20"/>
              </w:rPr>
            </w:pPr>
            <w:r>
              <w:rPr>
                <w:spacing w:val="9"/>
                <w:sz w:val="20"/>
                <w:szCs w:val="20"/>
              </w:rPr>
              <w:t>①根据《固定污染源排污许可分类管理名录（</w:t>
            </w:r>
            <w:r>
              <w:rPr>
                <w:rFonts w:ascii="Calibri" w:hAnsi="Calibri" w:eastAsia="Calibri" w:cs="Calibri"/>
                <w:spacing w:val="9"/>
                <w:sz w:val="20"/>
                <w:szCs w:val="20"/>
              </w:rPr>
              <w:t>2019</w:t>
            </w:r>
            <w:r>
              <w:rPr>
                <w:spacing w:val="9"/>
                <w:sz w:val="20"/>
                <w:szCs w:val="20"/>
              </w:rPr>
              <w:t>版）》相关规定，本项目需进</w:t>
            </w:r>
            <w:r>
              <w:rPr>
                <w:spacing w:val="6"/>
                <w:sz w:val="20"/>
                <w:szCs w:val="20"/>
              </w:rPr>
              <w:t xml:space="preserve"> </w:t>
            </w:r>
            <w:r>
              <w:rPr>
                <w:spacing w:val="8"/>
                <w:sz w:val="20"/>
                <w:szCs w:val="20"/>
              </w:rPr>
              <w:t>行排污许可证简化管理的填报。</w:t>
            </w:r>
          </w:p>
          <w:p w14:paraId="6B7FA8FF">
            <w:pPr>
              <w:pStyle w:val="6"/>
              <w:spacing w:before="24" w:line="238" w:lineRule="auto"/>
              <w:ind w:left="107" w:right="98" w:hanging="3"/>
              <w:rPr>
                <w:sz w:val="20"/>
                <w:szCs w:val="20"/>
              </w:rPr>
            </w:pPr>
            <w:r>
              <w:rPr>
                <w:spacing w:val="5"/>
                <w:sz w:val="20"/>
                <w:szCs w:val="20"/>
              </w:rPr>
              <w:t>②本项目监测计划根据《排污单位自行监测技术指南</w:t>
            </w:r>
            <w:r>
              <w:rPr>
                <w:rFonts w:ascii="Calibri" w:hAnsi="Calibri" w:eastAsia="Calibri" w:cs="Calibri"/>
                <w:spacing w:val="5"/>
                <w:sz w:val="20"/>
                <w:szCs w:val="20"/>
              </w:rPr>
              <w:t>-</w:t>
            </w:r>
            <w:r>
              <w:rPr>
                <w:spacing w:val="5"/>
                <w:sz w:val="20"/>
                <w:szCs w:val="20"/>
              </w:rPr>
              <w:t>总则》（</w:t>
            </w:r>
            <w:r>
              <w:rPr>
                <w:rFonts w:ascii="Calibri" w:hAnsi="Calibri" w:eastAsia="Calibri" w:cs="Calibri"/>
                <w:sz w:val="20"/>
                <w:szCs w:val="20"/>
              </w:rPr>
              <w:t>HJ</w:t>
            </w:r>
            <w:r>
              <w:rPr>
                <w:rFonts w:ascii="Calibri" w:hAnsi="Calibri" w:eastAsia="Calibri" w:cs="Calibri"/>
                <w:spacing w:val="5"/>
                <w:sz w:val="20"/>
                <w:szCs w:val="20"/>
              </w:rPr>
              <w:t>819-2017</w:t>
            </w:r>
            <w:r>
              <w:rPr>
                <w:spacing w:val="5"/>
                <w:sz w:val="20"/>
                <w:szCs w:val="20"/>
              </w:rPr>
              <w:t>）和《排</w:t>
            </w:r>
            <w:r>
              <w:rPr>
                <w:spacing w:val="17"/>
                <w:sz w:val="20"/>
                <w:szCs w:val="20"/>
              </w:rPr>
              <w:t xml:space="preserve"> </w:t>
            </w:r>
            <w:r>
              <w:rPr>
                <w:spacing w:val="8"/>
                <w:sz w:val="20"/>
                <w:szCs w:val="20"/>
              </w:rPr>
              <w:t>污许可证申请与核发技术规范 废弃资源加工工业</w:t>
            </w:r>
            <w:r>
              <w:rPr>
                <w:spacing w:val="7"/>
                <w:sz w:val="20"/>
                <w:szCs w:val="20"/>
              </w:rPr>
              <w:t>》</w:t>
            </w:r>
            <w:r>
              <w:rPr>
                <w:rFonts w:ascii="Calibri" w:hAnsi="Calibri" w:eastAsia="Calibri" w:cs="Calibri"/>
                <w:spacing w:val="7"/>
                <w:sz w:val="20"/>
                <w:szCs w:val="20"/>
              </w:rPr>
              <w:t>(H1034-2019)</w:t>
            </w:r>
            <w:r>
              <w:rPr>
                <w:spacing w:val="7"/>
                <w:sz w:val="20"/>
                <w:szCs w:val="20"/>
              </w:rPr>
              <w:t>制定。</w:t>
            </w:r>
          </w:p>
        </w:tc>
      </w:tr>
    </w:tbl>
    <w:p w14:paraId="6B41AD26">
      <w:pPr>
        <w:pStyle w:val="2"/>
        <w:spacing w:line="139" w:lineRule="exact"/>
        <w:rPr>
          <w:sz w:val="12"/>
        </w:rPr>
      </w:pPr>
    </w:p>
    <w:p w14:paraId="180FFE4F">
      <w:pPr>
        <w:spacing w:line="139" w:lineRule="exact"/>
        <w:rPr>
          <w:sz w:val="12"/>
          <w:szCs w:val="12"/>
        </w:rPr>
        <w:sectPr>
          <w:footerReference r:id="rId100" w:type="default"/>
          <w:pgSz w:w="11906" w:h="16839"/>
          <w:pgMar w:top="1270" w:right="1259" w:bottom="1263" w:left="1258" w:header="0" w:footer="1097" w:gutter="0"/>
          <w:cols w:space="720" w:num="1"/>
        </w:sectPr>
      </w:pPr>
    </w:p>
    <w:p w14:paraId="5B912C56">
      <w:pPr>
        <w:spacing w:before="56" w:line="221" w:lineRule="auto"/>
        <w:ind w:left="4142"/>
        <w:outlineLvl w:val="0"/>
        <w:rPr>
          <w:rFonts w:ascii="宋体" w:hAnsi="宋体" w:eastAsia="宋体" w:cs="宋体"/>
          <w:sz w:val="28"/>
          <w:szCs w:val="28"/>
        </w:rPr>
      </w:pPr>
      <w:r>
        <w:rPr>
          <w:rFonts w:ascii="宋体" w:hAnsi="宋体" w:eastAsia="宋体" w:cs="宋体"/>
          <w:b/>
          <w:bCs/>
          <w:spacing w:val="-6"/>
          <w:sz w:val="28"/>
          <w:szCs w:val="28"/>
        </w:rPr>
        <w:t>六、结论</w:t>
      </w:r>
    </w:p>
    <w:p w14:paraId="185A9232">
      <w:pPr>
        <w:spacing w:line="116" w:lineRule="exact"/>
      </w:pPr>
    </w:p>
    <w:tbl>
      <w:tblPr>
        <w:tblStyle w:val="5"/>
        <w:tblW w:w="9357" w:type="dxa"/>
        <w:tblInd w:w="12" w:type="dxa"/>
        <w:tblBorders>
          <w:top w:val="single" w:color="000000" w:sz="10" w:space="0"/>
          <w:left w:val="single" w:color="000000" w:sz="10" w:space="0"/>
          <w:bottom w:val="single" w:color="000000" w:sz="10" w:space="0"/>
          <w:right w:val="single" w:color="000000" w:sz="10" w:space="0"/>
          <w:insideH w:val="none" w:color="auto" w:sz="0" w:space="0"/>
          <w:insideV w:val="none" w:color="auto" w:sz="0" w:space="0"/>
        </w:tblBorders>
        <w:tblLayout w:type="fixed"/>
        <w:tblCellMar>
          <w:top w:w="0" w:type="dxa"/>
          <w:left w:w="0" w:type="dxa"/>
          <w:bottom w:w="0" w:type="dxa"/>
          <w:right w:w="0" w:type="dxa"/>
        </w:tblCellMar>
      </w:tblPr>
      <w:tblGrid>
        <w:gridCol w:w="9357"/>
      </w:tblGrid>
      <w:tr w14:paraId="6A39440F">
        <w:tblPrEx>
          <w:tblBorders>
            <w:top w:val="single" w:color="000000" w:sz="10" w:space="0"/>
            <w:left w:val="single" w:color="000000" w:sz="10" w:space="0"/>
            <w:bottom w:val="single" w:color="000000" w:sz="10" w:space="0"/>
            <w:right w:val="single" w:color="000000" w:sz="10" w:space="0"/>
            <w:insideH w:val="none" w:color="auto" w:sz="0" w:space="0"/>
            <w:insideV w:val="none" w:color="auto" w:sz="0" w:space="0"/>
          </w:tblBorders>
          <w:tblCellMar>
            <w:top w:w="0" w:type="dxa"/>
            <w:left w:w="0" w:type="dxa"/>
            <w:bottom w:w="0" w:type="dxa"/>
            <w:right w:w="0" w:type="dxa"/>
          </w:tblCellMar>
        </w:tblPrEx>
        <w:trPr>
          <w:trHeight w:val="13112" w:hRule="atLeast"/>
        </w:trPr>
        <w:tc>
          <w:tcPr>
            <w:tcW w:w="9357" w:type="dxa"/>
            <w:vAlign w:val="top"/>
          </w:tcPr>
          <w:p w14:paraId="213482C5">
            <w:pPr>
              <w:spacing w:line="253" w:lineRule="auto"/>
              <w:rPr>
                <w:rFonts w:ascii="Arial"/>
                <w:sz w:val="21"/>
              </w:rPr>
            </w:pPr>
          </w:p>
          <w:p w14:paraId="75947C71">
            <w:pPr>
              <w:spacing w:line="253" w:lineRule="auto"/>
              <w:rPr>
                <w:rFonts w:ascii="Arial"/>
                <w:sz w:val="21"/>
              </w:rPr>
            </w:pPr>
          </w:p>
          <w:p w14:paraId="205C6813">
            <w:pPr>
              <w:pStyle w:val="6"/>
              <w:spacing w:before="78" w:line="351" w:lineRule="auto"/>
              <w:ind w:left="107" w:right="97" w:firstLine="480"/>
              <w:jc w:val="both"/>
            </w:pPr>
            <w:r>
              <w:t>本项目符合国家相关产业政策，项目运营排放的污染物较少，在严格落实污染防治</w:t>
            </w:r>
            <w:r>
              <w:rPr>
                <w:spacing w:val="5"/>
              </w:rPr>
              <w:t xml:space="preserve"> </w:t>
            </w:r>
            <w:r>
              <w:t>措施，确保污染物达标排放的前提下，项目对周围环境影响较小，从环境保护角度而言</w:t>
            </w:r>
            <w:r>
              <w:rPr>
                <w:spacing w:val="6"/>
              </w:rPr>
              <w:t xml:space="preserve"> </w:t>
            </w:r>
            <w:r>
              <w:rPr>
                <w:spacing w:val="-1"/>
              </w:rPr>
              <w:t>该项目在拟建地址建设是可行的。</w:t>
            </w:r>
          </w:p>
        </w:tc>
      </w:tr>
    </w:tbl>
    <w:p w14:paraId="1205F176">
      <w:pPr>
        <w:pStyle w:val="2"/>
      </w:pPr>
    </w:p>
    <w:p w14:paraId="00396C6A">
      <w:pPr>
        <w:sectPr>
          <w:footerReference r:id="rId101" w:type="default"/>
          <w:pgSz w:w="11906" w:h="16839"/>
          <w:pgMar w:top="1385" w:right="1261" w:bottom="1263" w:left="1261" w:header="0" w:footer="1097" w:gutter="0"/>
          <w:cols w:space="720" w:num="1"/>
        </w:sectPr>
      </w:pPr>
    </w:p>
    <w:p w14:paraId="14B91C20">
      <w:pPr>
        <w:pStyle w:val="2"/>
        <w:spacing w:line="479" w:lineRule="auto"/>
      </w:pPr>
    </w:p>
    <w:p w14:paraId="4118418E">
      <w:pPr>
        <w:spacing w:before="100" w:line="228" w:lineRule="auto"/>
        <w:ind w:left="84"/>
        <w:outlineLvl w:val="0"/>
        <w:rPr>
          <w:rFonts w:ascii="黑体" w:hAnsi="黑体" w:eastAsia="黑体" w:cs="黑体"/>
          <w:sz w:val="31"/>
          <w:szCs w:val="31"/>
        </w:rPr>
      </w:pPr>
      <w:r>
        <w:rPr>
          <w:rFonts w:ascii="黑体" w:hAnsi="黑体" w:eastAsia="黑体" w:cs="黑体"/>
          <w:spacing w:val="-6"/>
          <w:sz w:val="31"/>
          <w:szCs w:val="31"/>
        </w:rPr>
        <w:t>附表</w:t>
      </w:r>
    </w:p>
    <w:p w14:paraId="781F77EE">
      <w:pPr>
        <w:spacing w:before="178" w:line="187" w:lineRule="auto"/>
        <w:ind w:left="4929"/>
        <w:outlineLvl w:val="0"/>
        <w:rPr>
          <w:rFonts w:ascii="微软雅黑" w:hAnsi="微软雅黑" w:eastAsia="微软雅黑" w:cs="微软雅黑"/>
          <w:sz w:val="37"/>
          <w:szCs w:val="37"/>
        </w:rPr>
      </w:pPr>
      <w:r>
        <w:rPr>
          <w:rFonts w:ascii="微软雅黑" w:hAnsi="微软雅黑" w:eastAsia="微软雅黑" w:cs="微软雅黑"/>
          <w:spacing w:val="9"/>
          <w:sz w:val="37"/>
          <w:szCs w:val="37"/>
        </w:rPr>
        <w:t>建设项目污染物排放量汇总表</w:t>
      </w:r>
    </w:p>
    <w:p w14:paraId="435F302B">
      <w:pPr>
        <w:spacing w:line="36" w:lineRule="exact"/>
      </w:pPr>
    </w:p>
    <w:tbl>
      <w:tblPr>
        <w:tblStyle w:val="5"/>
        <w:tblW w:w="14760" w:type="dxa"/>
        <w:tblInd w:w="1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19"/>
        <w:gridCol w:w="1716"/>
        <w:gridCol w:w="1701"/>
        <w:gridCol w:w="1526"/>
        <w:gridCol w:w="1636"/>
        <w:gridCol w:w="1744"/>
        <w:gridCol w:w="1356"/>
        <w:gridCol w:w="1810"/>
        <w:gridCol w:w="1652"/>
      </w:tblGrid>
      <w:tr w14:paraId="47F6A80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3" w:hRule="atLeast"/>
        </w:trPr>
        <w:tc>
          <w:tcPr>
            <w:tcW w:w="1619" w:type="dxa"/>
            <w:tcBorders>
              <w:top w:val="single" w:color="000000" w:sz="10" w:space="0"/>
              <w:left w:val="single" w:color="000000" w:sz="10" w:space="0"/>
            </w:tcBorders>
            <w:vAlign w:val="top"/>
          </w:tcPr>
          <w:p w14:paraId="4AE18907">
            <w:pPr>
              <w:pStyle w:val="6"/>
              <w:spacing w:before="56" w:line="228" w:lineRule="auto"/>
              <w:ind w:left="592"/>
              <w:rPr>
                <w:sz w:val="20"/>
                <w:szCs w:val="20"/>
              </w:rPr>
            </w:pPr>
            <w:r>
              <w:drawing>
                <wp:anchor distT="0" distB="0" distL="0" distR="0" simplePos="0" relativeHeight="251675648" behindDoc="1" locked="0" layoutInCell="1" allowOverlap="1">
                  <wp:simplePos x="0" y="0"/>
                  <wp:positionH relativeFrom="column">
                    <wp:posOffset>-635</wp:posOffset>
                  </wp:positionH>
                  <wp:positionV relativeFrom="paragraph">
                    <wp:posOffset>-5715</wp:posOffset>
                  </wp:positionV>
                  <wp:extent cx="1023620" cy="791845"/>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125"/>
                          <a:stretch>
                            <a:fillRect/>
                          </a:stretch>
                        </pic:blipFill>
                        <pic:spPr>
                          <a:xfrm>
                            <a:off x="0" y="0"/>
                            <a:ext cx="1023823" cy="791540"/>
                          </a:xfrm>
                          <a:prstGeom prst="rect">
                            <a:avLst/>
                          </a:prstGeom>
                        </pic:spPr>
                      </pic:pic>
                    </a:graphicData>
                  </a:graphic>
                </wp:anchor>
              </w:drawing>
            </w:r>
            <w:r>
              <w:rPr>
                <w:spacing w:val="3"/>
                <w:sz w:val="20"/>
                <w:szCs w:val="20"/>
              </w:rPr>
              <w:t>项目</w:t>
            </w:r>
          </w:p>
          <w:p w14:paraId="7025662C">
            <w:pPr>
              <w:spacing w:line="309" w:lineRule="auto"/>
              <w:rPr>
                <w:rFonts w:ascii="Arial"/>
                <w:sz w:val="21"/>
              </w:rPr>
            </w:pPr>
          </w:p>
          <w:p w14:paraId="61D71D34">
            <w:pPr>
              <w:pStyle w:val="6"/>
              <w:spacing w:before="65" w:line="228" w:lineRule="auto"/>
              <w:ind w:left="107"/>
              <w:rPr>
                <w:sz w:val="20"/>
                <w:szCs w:val="20"/>
              </w:rPr>
            </w:pPr>
            <w:r>
              <w:rPr>
                <w:spacing w:val="3"/>
                <w:sz w:val="20"/>
                <w:szCs w:val="20"/>
              </w:rPr>
              <w:t>分类</w:t>
            </w:r>
          </w:p>
        </w:tc>
        <w:tc>
          <w:tcPr>
            <w:tcW w:w="1716" w:type="dxa"/>
            <w:tcBorders>
              <w:top w:val="single" w:color="000000" w:sz="10" w:space="0"/>
            </w:tcBorders>
            <w:vAlign w:val="top"/>
          </w:tcPr>
          <w:p w14:paraId="7552967B">
            <w:pPr>
              <w:spacing w:line="456" w:lineRule="auto"/>
              <w:rPr>
                <w:rFonts w:ascii="Arial"/>
                <w:sz w:val="21"/>
              </w:rPr>
            </w:pPr>
          </w:p>
          <w:p w14:paraId="0E0F43CA">
            <w:pPr>
              <w:pStyle w:val="6"/>
              <w:spacing w:before="65" w:line="228" w:lineRule="auto"/>
              <w:ind w:left="331"/>
              <w:rPr>
                <w:sz w:val="20"/>
                <w:szCs w:val="20"/>
              </w:rPr>
            </w:pPr>
            <w:r>
              <w:rPr>
                <w:spacing w:val="7"/>
                <w:sz w:val="20"/>
                <w:szCs w:val="20"/>
              </w:rPr>
              <w:t>污染物名称</w:t>
            </w:r>
          </w:p>
        </w:tc>
        <w:tc>
          <w:tcPr>
            <w:tcW w:w="1701" w:type="dxa"/>
            <w:tcBorders>
              <w:top w:val="single" w:color="000000" w:sz="10" w:space="0"/>
            </w:tcBorders>
            <w:vAlign w:val="top"/>
          </w:tcPr>
          <w:p w14:paraId="6DE24D02">
            <w:pPr>
              <w:pStyle w:val="6"/>
              <w:spacing w:before="212" w:line="228" w:lineRule="auto"/>
              <w:ind w:left="117"/>
              <w:rPr>
                <w:sz w:val="20"/>
                <w:szCs w:val="20"/>
              </w:rPr>
            </w:pPr>
            <w:r>
              <w:rPr>
                <w:spacing w:val="8"/>
                <w:sz w:val="20"/>
                <w:szCs w:val="20"/>
              </w:rPr>
              <w:t>现有工程排放量</w:t>
            </w:r>
          </w:p>
          <w:p w14:paraId="582A9C17">
            <w:pPr>
              <w:pStyle w:val="6"/>
              <w:spacing w:before="64" w:line="228" w:lineRule="auto"/>
              <w:ind w:left="125"/>
              <w:rPr>
                <w:sz w:val="20"/>
                <w:szCs w:val="20"/>
              </w:rPr>
            </w:pPr>
            <w:r>
              <w:rPr>
                <w:spacing w:val="7"/>
                <w:sz w:val="20"/>
                <w:szCs w:val="20"/>
              </w:rPr>
              <w:t>（固体废物产生</w:t>
            </w:r>
          </w:p>
          <w:p w14:paraId="18875434">
            <w:pPr>
              <w:pStyle w:val="6"/>
              <w:spacing w:before="65" w:line="225" w:lineRule="auto"/>
              <w:ind w:left="535"/>
              <w:rPr>
                <w:sz w:val="20"/>
                <w:szCs w:val="20"/>
              </w:rPr>
            </w:pPr>
            <w:r>
              <w:rPr>
                <w:spacing w:val="6"/>
                <w:sz w:val="20"/>
                <w:szCs w:val="20"/>
              </w:rPr>
              <w:t>量）①</w:t>
            </w:r>
          </w:p>
        </w:tc>
        <w:tc>
          <w:tcPr>
            <w:tcW w:w="1526" w:type="dxa"/>
            <w:tcBorders>
              <w:top w:val="single" w:color="000000" w:sz="10" w:space="0"/>
            </w:tcBorders>
            <w:vAlign w:val="top"/>
          </w:tcPr>
          <w:p w14:paraId="173AC1AF">
            <w:pPr>
              <w:spacing w:line="301" w:lineRule="auto"/>
              <w:rPr>
                <w:rFonts w:ascii="Arial"/>
                <w:sz w:val="21"/>
              </w:rPr>
            </w:pPr>
          </w:p>
          <w:p w14:paraId="1CFE73E2">
            <w:pPr>
              <w:pStyle w:val="6"/>
              <w:spacing w:before="65" w:line="272" w:lineRule="auto"/>
              <w:ind w:left="344" w:right="135" w:hanging="207"/>
              <w:rPr>
                <w:sz w:val="20"/>
                <w:szCs w:val="20"/>
              </w:rPr>
            </w:pPr>
            <w:r>
              <w:rPr>
                <w:spacing w:val="7"/>
                <w:sz w:val="20"/>
                <w:szCs w:val="20"/>
              </w:rPr>
              <w:t>现有工程许可</w:t>
            </w:r>
            <w:r>
              <w:rPr>
                <w:spacing w:val="4"/>
                <w:sz w:val="20"/>
                <w:szCs w:val="20"/>
              </w:rPr>
              <w:t xml:space="preserve"> </w:t>
            </w:r>
            <w:r>
              <w:rPr>
                <w:spacing w:val="8"/>
                <w:sz w:val="20"/>
                <w:szCs w:val="20"/>
              </w:rPr>
              <w:t>排放量②</w:t>
            </w:r>
          </w:p>
        </w:tc>
        <w:tc>
          <w:tcPr>
            <w:tcW w:w="1636" w:type="dxa"/>
            <w:tcBorders>
              <w:top w:val="single" w:color="000000" w:sz="10" w:space="0"/>
            </w:tcBorders>
            <w:vAlign w:val="top"/>
          </w:tcPr>
          <w:p w14:paraId="2708A2BC">
            <w:pPr>
              <w:pStyle w:val="6"/>
              <w:spacing w:before="212" w:line="228" w:lineRule="auto"/>
              <w:ind w:left="192"/>
              <w:rPr>
                <w:sz w:val="20"/>
                <w:szCs w:val="20"/>
              </w:rPr>
            </w:pPr>
            <w:r>
              <w:rPr>
                <w:spacing w:val="8"/>
                <w:sz w:val="20"/>
                <w:szCs w:val="20"/>
              </w:rPr>
              <w:t>在建工程排放</w:t>
            </w:r>
          </w:p>
          <w:p w14:paraId="2FEA0CBB">
            <w:pPr>
              <w:pStyle w:val="6"/>
              <w:spacing w:before="64" w:line="228" w:lineRule="auto"/>
              <w:ind w:left="111"/>
              <w:rPr>
                <w:sz w:val="20"/>
                <w:szCs w:val="20"/>
              </w:rPr>
            </w:pPr>
            <w:r>
              <w:rPr>
                <w:spacing w:val="2"/>
                <w:sz w:val="20"/>
                <w:szCs w:val="20"/>
              </w:rPr>
              <w:t>量（固体废物产</w:t>
            </w:r>
          </w:p>
          <w:p w14:paraId="4144B5F1">
            <w:pPr>
              <w:pStyle w:val="6"/>
              <w:spacing w:before="65" w:line="225" w:lineRule="auto"/>
              <w:ind w:left="404"/>
              <w:rPr>
                <w:sz w:val="20"/>
                <w:szCs w:val="20"/>
              </w:rPr>
            </w:pPr>
            <w:r>
              <w:rPr>
                <w:spacing w:val="7"/>
                <w:sz w:val="20"/>
                <w:szCs w:val="20"/>
              </w:rPr>
              <w:t>生量）③</w:t>
            </w:r>
          </w:p>
        </w:tc>
        <w:tc>
          <w:tcPr>
            <w:tcW w:w="1744" w:type="dxa"/>
            <w:tcBorders>
              <w:top w:val="single" w:color="000000" w:sz="10" w:space="0"/>
            </w:tcBorders>
            <w:vAlign w:val="top"/>
          </w:tcPr>
          <w:p w14:paraId="662D7422">
            <w:pPr>
              <w:pStyle w:val="6"/>
              <w:spacing w:before="211" w:line="227" w:lineRule="auto"/>
              <w:ind w:left="250"/>
              <w:rPr>
                <w:sz w:val="20"/>
                <w:szCs w:val="20"/>
              </w:rPr>
            </w:pPr>
            <w:r>
              <w:rPr>
                <w:spacing w:val="8"/>
                <w:sz w:val="20"/>
                <w:szCs w:val="20"/>
              </w:rPr>
              <w:t>本项目排放量</w:t>
            </w:r>
          </w:p>
          <w:p w14:paraId="6A63AB18">
            <w:pPr>
              <w:pStyle w:val="6"/>
              <w:spacing w:before="66" w:line="272" w:lineRule="auto"/>
              <w:ind w:left="565" w:right="131" w:hanging="409"/>
              <w:rPr>
                <w:sz w:val="20"/>
                <w:szCs w:val="20"/>
              </w:rPr>
            </w:pPr>
            <w:r>
              <w:rPr>
                <w:spacing w:val="7"/>
                <w:sz w:val="20"/>
                <w:szCs w:val="20"/>
              </w:rPr>
              <w:t>（固体废物产生</w:t>
            </w:r>
            <w:r>
              <w:rPr>
                <w:sz w:val="20"/>
                <w:szCs w:val="20"/>
              </w:rPr>
              <w:t xml:space="preserve"> </w:t>
            </w:r>
            <w:r>
              <w:rPr>
                <w:spacing w:val="6"/>
                <w:sz w:val="20"/>
                <w:szCs w:val="20"/>
              </w:rPr>
              <w:t>量）④</w:t>
            </w:r>
          </w:p>
        </w:tc>
        <w:tc>
          <w:tcPr>
            <w:tcW w:w="1356" w:type="dxa"/>
            <w:tcBorders>
              <w:top w:val="single" w:color="000000" w:sz="10" w:space="0"/>
            </w:tcBorders>
            <w:vAlign w:val="top"/>
          </w:tcPr>
          <w:p w14:paraId="53082E79">
            <w:pPr>
              <w:pStyle w:val="6"/>
              <w:spacing w:before="57" w:line="278" w:lineRule="auto"/>
              <w:ind w:left="163" w:right="146" w:firstLine="23"/>
              <w:jc w:val="both"/>
              <w:rPr>
                <w:sz w:val="20"/>
                <w:szCs w:val="20"/>
              </w:rPr>
            </w:pPr>
            <w:r>
              <w:rPr>
                <w:spacing w:val="3"/>
                <w:sz w:val="20"/>
                <w:szCs w:val="20"/>
              </w:rPr>
              <w:t>以新带老消</w:t>
            </w:r>
            <w:r>
              <w:rPr>
                <w:spacing w:val="1"/>
                <w:sz w:val="20"/>
                <w:szCs w:val="20"/>
              </w:rPr>
              <w:t xml:space="preserve"> </w:t>
            </w:r>
            <w:r>
              <w:rPr>
                <w:spacing w:val="8"/>
                <w:sz w:val="20"/>
                <w:szCs w:val="20"/>
              </w:rPr>
              <w:t>减量（新建</w:t>
            </w:r>
            <w:r>
              <w:rPr>
                <w:sz w:val="20"/>
                <w:szCs w:val="20"/>
              </w:rPr>
              <w:t xml:space="preserve"> </w:t>
            </w:r>
            <w:r>
              <w:rPr>
                <w:spacing w:val="5"/>
                <w:sz w:val="20"/>
                <w:szCs w:val="20"/>
              </w:rPr>
              <w:t>项目不填）</w:t>
            </w:r>
          </w:p>
          <w:p w14:paraId="637C0D47">
            <w:pPr>
              <w:pStyle w:val="6"/>
              <w:spacing w:before="31" w:line="225" w:lineRule="auto"/>
              <w:ind w:left="582"/>
              <w:rPr>
                <w:sz w:val="20"/>
                <w:szCs w:val="20"/>
              </w:rPr>
            </w:pPr>
            <w:r>
              <w:rPr>
                <w:spacing w:val="2"/>
                <w:sz w:val="20"/>
                <w:szCs w:val="20"/>
              </w:rPr>
              <w:t>⑤</w:t>
            </w:r>
          </w:p>
        </w:tc>
        <w:tc>
          <w:tcPr>
            <w:tcW w:w="1810" w:type="dxa"/>
            <w:tcBorders>
              <w:top w:val="single" w:color="000000" w:sz="10" w:space="0"/>
            </w:tcBorders>
            <w:vAlign w:val="top"/>
          </w:tcPr>
          <w:p w14:paraId="1E3DCD26">
            <w:pPr>
              <w:pStyle w:val="6"/>
              <w:spacing w:before="211" w:line="227" w:lineRule="auto"/>
              <w:ind w:left="183"/>
              <w:rPr>
                <w:sz w:val="20"/>
                <w:szCs w:val="20"/>
              </w:rPr>
            </w:pPr>
            <w:r>
              <w:rPr>
                <w:spacing w:val="8"/>
                <w:sz w:val="20"/>
                <w:szCs w:val="20"/>
              </w:rPr>
              <w:t>本项目建成后全</w:t>
            </w:r>
          </w:p>
          <w:p w14:paraId="72EA5C33">
            <w:pPr>
              <w:pStyle w:val="6"/>
              <w:spacing w:before="66" w:line="228" w:lineRule="auto"/>
              <w:ind w:left="123"/>
              <w:rPr>
                <w:sz w:val="20"/>
                <w:szCs w:val="20"/>
              </w:rPr>
            </w:pPr>
            <w:r>
              <w:rPr>
                <w:spacing w:val="-2"/>
                <w:sz w:val="20"/>
                <w:szCs w:val="20"/>
              </w:rPr>
              <w:t>厂排放量（固体废</w:t>
            </w:r>
          </w:p>
          <w:p w14:paraId="095A8A16">
            <w:pPr>
              <w:pStyle w:val="6"/>
              <w:spacing w:before="65" w:line="225" w:lineRule="auto"/>
              <w:ind w:left="288"/>
              <w:rPr>
                <w:sz w:val="20"/>
                <w:szCs w:val="20"/>
              </w:rPr>
            </w:pPr>
            <w:r>
              <w:rPr>
                <w:spacing w:val="8"/>
                <w:sz w:val="20"/>
                <w:szCs w:val="20"/>
              </w:rPr>
              <w:t>物产生量）⑥</w:t>
            </w:r>
          </w:p>
        </w:tc>
        <w:tc>
          <w:tcPr>
            <w:tcW w:w="1652" w:type="dxa"/>
            <w:tcBorders>
              <w:top w:val="single" w:color="000000" w:sz="10" w:space="0"/>
              <w:right w:val="single" w:color="000000" w:sz="10" w:space="0"/>
            </w:tcBorders>
            <w:vAlign w:val="top"/>
          </w:tcPr>
          <w:p w14:paraId="3D6BBD45">
            <w:pPr>
              <w:spacing w:line="456" w:lineRule="auto"/>
              <w:rPr>
                <w:rFonts w:ascii="Arial"/>
                <w:sz w:val="21"/>
              </w:rPr>
            </w:pPr>
          </w:p>
          <w:p w14:paraId="6135875D">
            <w:pPr>
              <w:pStyle w:val="6"/>
              <w:spacing w:before="65" w:line="225" w:lineRule="auto"/>
              <w:ind w:left="415"/>
              <w:rPr>
                <w:sz w:val="20"/>
                <w:szCs w:val="20"/>
              </w:rPr>
            </w:pPr>
            <w:r>
              <w:rPr>
                <w:spacing w:val="7"/>
                <w:sz w:val="20"/>
                <w:szCs w:val="20"/>
              </w:rPr>
              <w:t>变化量⑦</w:t>
            </w:r>
          </w:p>
        </w:tc>
      </w:tr>
      <w:tr w14:paraId="0DE0C0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vMerge w:val="restart"/>
            <w:tcBorders>
              <w:left w:val="single" w:color="000000" w:sz="10" w:space="0"/>
              <w:bottom w:val="nil"/>
            </w:tcBorders>
            <w:vAlign w:val="top"/>
          </w:tcPr>
          <w:p w14:paraId="5CBF3CB8">
            <w:pPr>
              <w:pStyle w:val="6"/>
              <w:spacing w:before="218" w:line="228" w:lineRule="auto"/>
              <w:ind w:left="588"/>
              <w:rPr>
                <w:sz w:val="20"/>
                <w:szCs w:val="20"/>
              </w:rPr>
            </w:pPr>
            <w:r>
              <w:rPr>
                <w:spacing w:val="5"/>
                <w:sz w:val="20"/>
                <w:szCs w:val="20"/>
              </w:rPr>
              <w:t>废气</w:t>
            </w:r>
          </w:p>
        </w:tc>
        <w:tc>
          <w:tcPr>
            <w:tcW w:w="1716" w:type="dxa"/>
            <w:vAlign w:val="top"/>
          </w:tcPr>
          <w:p w14:paraId="5F203CDB">
            <w:pPr>
              <w:pStyle w:val="6"/>
              <w:spacing w:before="55" w:line="228" w:lineRule="auto"/>
              <w:ind w:left="539"/>
              <w:rPr>
                <w:sz w:val="20"/>
                <w:szCs w:val="20"/>
              </w:rPr>
            </w:pPr>
            <w:r>
              <w:rPr>
                <w:spacing w:val="7"/>
                <w:sz w:val="20"/>
                <w:szCs w:val="20"/>
              </w:rPr>
              <w:t>颗粒物</w:t>
            </w:r>
          </w:p>
        </w:tc>
        <w:tc>
          <w:tcPr>
            <w:tcW w:w="1701" w:type="dxa"/>
            <w:vAlign w:val="top"/>
          </w:tcPr>
          <w:p w14:paraId="231F9402">
            <w:pPr>
              <w:rPr>
                <w:rFonts w:ascii="Arial"/>
                <w:sz w:val="21"/>
              </w:rPr>
            </w:pPr>
          </w:p>
        </w:tc>
        <w:tc>
          <w:tcPr>
            <w:tcW w:w="1526" w:type="dxa"/>
            <w:vAlign w:val="top"/>
          </w:tcPr>
          <w:p w14:paraId="58990DEB">
            <w:pPr>
              <w:rPr>
                <w:rFonts w:ascii="Arial"/>
                <w:sz w:val="21"/>
              </w:rPr>
            </w:pPr>
          </w:p>
        </w:tc>
        <w:tc>
          <w:tcPr>
            <w:tcW w:w="1636" w:type="dxa"/>
            <w:vAlign w:val="top"/>
          </w:tcPr>
          <w:p w14:paraId="29428EC0">
            <w:pPr>
              <w:rPr>
                <w:rFonts w:ascii="Arial"/>
                <w:sz w:val="21"/>
              </w:rPr>
            </w:pPr>
          </w:p>
        </w:tc>
        <w:tc>
          <w:tcPr>
            <w:tcW w:w="1744" w:type="dxa"/>
            <w:vAlign w:val="top"/>
          </w:tcPr>
          <w:p w14:paraId="31239D4D">
            <w:pPr>
              <w:spacing w:before="87" w:line="199" w:lineRule="auto"/>
              <w:ind w:left="38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0.000133t/a</w:t>
            </w:r>
          </w:p>
        </w:tc>
        <w:tc>
          <w:tcPr>
            <w:tcW w:w="1356" w:type="dxa"/>
            <w:vAlign w:val="top"/>
          </w:tcPr>
          <w:p w14:paraId="6BE5AA8A">
            <w:pPr>
              <w:rPr>
                <w:rFonts w:ascii="Arial"/>
                <w:sz w:val="21"/>
              </w:rPr>
            </w:pPr>
          </w:p>
        </w:tc>
        <w:tc>
          <w:tcPr>
            <w:tcW w:w="1810" w:type="dxa"/>
            <w:vAlign w:val="top"/>
          </w:tcPr>
          <w:p w14:paraId="623C21B4">
            <w:pPr>
              <w:spacing w:before="87" w:line="199" w:lineRule="auto"/>
              <w:ind w:left="42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0.000133t/a</w:t>
            </w:r>
          </w:p>
        </w:tc>
        <w:tc>
          <w:tcPr>
            <w:tcW w:w="1652" w:type="dxa"/>
            <w:tcBorders>
              <w:right w:val="single" w:color="000000" w:sz="10" w:space="0"/>
            </w:tcBorders>
            <w:vAlign w:val="top"/>
          </w:tcPr>
          <w:p w14:paraId="086A0846">
            <w:pPr>
              <w:spacing w:before="87" w:line="199" w:lineRule="auto"/>
              <w:ind w:left="271"/>
              <w:rPr>
                <w:rFonts w:ascii="Times New Roman" w:hAnsi="Times New Roman" w:eastAsia="Times New Roman" w:cs="Times New Roman"/>
                <w:sz w:val="20"/>
                <w:szCs w:val="20"/>
              </w:rPr>
            </w:pPr>
            <w:r>
              <w:rPr>
                <w:rFonts w:ascii="Times New Roman" w:hAnsi="Times New Roman" w:eastAsia="Times New Roman" w:cs="Times New Roman"/>
                <w:spacing w:val="4"/>
                <w:sz w:val="20"/>
                <w:szCs w:val="20"/>
              </w:rPr>
              <w:t>+0.000133t/a</w:t>
            </w:r>
          </w:p>
        </w:tc>
      </w:tr>
      <w:tr w14:paraId="77DA8B0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619" w:type="dxa"/>
            <w:vMerge w:val="continue"/>
            <w:tcBorders>
              <w:top w:val="nil"/>
              <w:left w:val="single" w:color="000000" w:sz="10" w:space="0"/>
            </w:tcBorders>
            <w:vAlign w:val="top"/>
          </w:tcPr>
          <w:p w14:paraId="047A2368">
            <w:pPr>
              <w:rPr>
                <w:rFonts w:ascii="Arial"/>
                <w:sz w:val="21"/>
              </w:rPr>
            </w:pPr>
          </w:p>
        </w:tc>
        <w:tc>
          <w:tcPr>
            <w:tcW w:w="1716" w:type="dxa"/>
            <w:vAlign w:val="top"/>
          </w:tcPr>
          <w:p w14:paraId="7657FB5B">
            <w:pPr>
              <w:pStyle w:val="6"/>
              <w:spacing w:before="58" w:line="228" w:lineRule="auto"/>
              <w:ind w:left="332"/>
              <w:rPr>
                <w:sz w:val="20"/>
                <w:szCs w:val="20"/>
              </w:rPr>
            </w:pPr>
            <w:r>
              <w:rPr>
                <w:spacing w:val="7"/>
                <w:sz w:val="20"/>
                <w:szCs w:val="20"/>
              </w:rPr>
              <w:t>非甲烷总烃</w:t>
            </w:r>
          </w:p>
        </w:tc>
        <w:tc>
          <w:tcPr>
            <w:tcW w:w="1701" w:type="dxa"/>
            <w:vAlign w:val="top"/>
          </w:tcPr>
          <w:p w14:paraId="0B12EE5F">
            <w:pPr>
              <w:rPr>
                <w:rFonts w:ascii="Arial"/>
                <w:sz w:val="21"/>
              </w:rPr>
            </w:pPr>
          </w:p>
        </w:tc>
        <w:tc>
          <w:tcPr>
            <w:tcW w:w="1526" w:type="dxa"/>
            <w:vAlign w:val="top"/>
          </w:tcPr>
          <w:p w14:paraId="52E54294">
            <w:pPr>
              <w:rPr>
                <w:rFonts w:ascii="Arial"/>
                <w:sz w:val="21"/>
              </w:rPr>
            </w:pPr>
          </w:p>
        </w:tc>
        <w:tc>
          <w:tcPr>
            <w:tcW w:w="1636" w:type="dxa"/>
            <w:vAlign w:val="top"/>
          </w:tcPr>
          <w:p w14:paraId="5F014E38">
            <w:pPr>
              <w:rPr>
                <w:rFonts w:ascii="Arial"/>
                <w:sz w:val="21"/>
              </w:rPr>
            </w:pPr>
          </w:p>
        </w:tc>
        <w:tc>
          <w:tcPr>
            <w:tcW w:w="1744" w:type="dxa"/>
            <w:vAlign w:val="top"/>
          </w:tcPr>
          <w:p w14:paraId="23B13022">
            <w:pPr>
              <w:spacing w:before="90" w:line="199" w:lineRule="auto"/>
              <w:ind w:left="48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0.0001t/a</w:t>
            </w:r>
          </w:p>
        </w:tc>
        <w:tc>
          <w:tcPr>
            <w:tcW w:w="1356" w:type="dxa"/>
            <w:vAlign w:val="top"/>
          </w:tcPr>
          <w:p w14:paraId="46B671D1">
            <w:pPr>
              <w:rPr>
                <w:rFonts w:ascii="Arial"/>
                <w:sz w:val="21"/>
              </w:rPr>
            </w:pPr>
          </w:p>
        </w:tc>
        <w:tc>
          <w:tcPr>
            <w:tcW w:w="1810" w:type="dxa"/>
            <w:vAlign w:val="top"/>
          </w:tcPr>
          <w:p w14:paraId="0A0017EA">
            <w:pPr>
              <w:spacing w:before="90" w:line="199" w:lineRule="auto"/>
              <w:ind w:left="525"/>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0.0001t/a</w:t>
            </w:r>
          </w:p>
        </w:tc>
        <w:tc>
          <w:tcPr>
            <w:tcW w:w="1652" w:type="dxa"/>
            <w:tcBorders>
              <w:right w:val="single" w:color="000000" w:sz="10" w:space="0"/>
            </w:tcBorders>
            <w:vAlign w:val="top"/>
          </w:tcPr>
          <w:p w14:paraId="71A70175">
            <w:pPr>
              <w:spacing w:before="90" w:line="199" w:lineRule="auto"/>
              <w:ind w:left="37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+0.0001t/a</w:t>
            </w:r>
          </w:p>
        </w:tc>
      </w:tr>
      <w:tr w14:paraId="6960E9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tcBorders>
              <w:left w:val="single" w:color="000000" w:sz="10" w:space="0"/>
            </w:tcBorders>
            <w:vAlign w:val="top"/>
          </w:tcPr>
          <w:p w14:paraId="6F70EFA3">
            <w:pPr>
              <w:pStyle w:val="6"/>
              <w:spacing w:before="60" w:line="227" w:lineRule="auto"/>
              <w:ind w:left="588"/>
              <w:rPr>
                <w:sz w:val="20"/>
                <w:szCs w:val="20"/>
              </w:rPr>
            </w:pPr>
            <w:r>
              <w:rPr>
                <w:spacing w:val="5"/>
                <w:sz w:val="20"/>
                <w:szCs w:val="20"/>
              </w:rPr>
              <w:t>废水</w:t>
            </w:r>
          </w:p>
        </w:tc>
        <w:tc>
          <w:tcPr>
            <w:tcW w:w="1716" w:type="dxa"/>
            <w:vAlign w:val="top"/>
          </w:tcPr>
          <w:p w14:paraId="574499C9">
            <w:pPr>
              <w:rPr>
                <w:rFonts w:ascii="Arial"/>
                <w:sz w:val="21"/>
              </w:rPr>
            </w:pPr>
          </w:p>
        </w:tc>
        <w:tc>
          <w:tcPr>
            <w:tcW w:w="1701" w:type="dxa"/>
            <w:vAlign w:val="top"/>
          </w:tcPr>
          <w:p w14:paraId="1099E8C3">
            <w:pPr>
              <w:rPr>
                <w:rFonts w:ascii="Arial"/>
                <w:sz w:val="21"/>
              </w:rPr>
            </w:pPr>
          </w:p>
        </w:tc>
        <w:tc>
          <w:tcPr>
            <w:tcW w:w="1526" w:type="dxa"/>
            <w:vAlign w:val="top"/>
          </w:tcPr>
          <w:p w14:paraId="4E793E97">
            <w:pPr>
              <w:rPr>
                <w:rFonts w:ascii="Arial"/>
                <w:sz w:val="21"/>
              </w:rPr>
            </w:pPr>
          </w:p>
        </w:tc>
        <w:tc>
          <w:tcPr>
            <w:tcW w:w="1636" w:type="dxa"/>
            <w:vAlign w:val="top"/>
          </w:tcPr>
          <w:p w14:paraId="59A8A882">
            <w:pPr>
              <w:rPr>
                <w:rFonts w:ascii="Arial"/>
                <w:sz w:val="21"/>
              </w:rPr>
            </w:pPr>
          </w:p>
        </w:tc>
        <w:tc>
          <w:tcPr>
            <w:tcW w:w="1744" w:type="dxa"/>
            <w:vAlign w:val="top"/>
          </w:tcPr>
          <w:p w14:paraId="1A34D6C0">
            <w:pPr>
              <w:rPr>
                <w:rFonts w:ascii="Arial"/>
                <w:sz w:val="21"/>
              </w:rPr>
            </w:pPr>
          </w:p>
        </w:tc>
        <w:tc>
          <w:tcPr>
            <w:tcW w:w="1356" w:type="dxa"/>
            <w:vAlign w:val="top"/>
          </w:tcPr>
          <w:p w14:paraId="091A9852">
            <w:pPr>
              <w:rPr>
                <w:rFonts w:ascii="Arial"/>
                <w:sz w:val="21"/>
              </w:rPr>
            </w:pPr>
          </w:p>
        </w:tc>
        <w:tc>
          <w:tcPr>
            <w:tcW w:w="1810" w:type="dxa"/>
            <w:vAlign w:val="top"/>
          </w:tcPr>
          <w:p w14:paraId="7BF0BC42">
            <w:pPr>
              <w:rPr>
                <w:rFonts w:ascii="Arial"/>
                <w:sz w:val="21"/>
              </w:rPr>
            </w:pPr>
          </w:p>
        </w:tc>
        <w:tc>
          <w:tcPr>
            <w:tcW w:w="1652" w:type="dxa"/>
            <w:tcBorders>
              <w:right w:val="single" w:color="000000" w:sz="10" w:space="0"/>
            </w:tcBorders>
            <w:vAlign w:val="top"/>
          </w:tcPr>
          <w:p w14:paraId="7D2CA84C">
            <w:pPr>
              <w:rPr>
                <w:rFonts w:ascii="Arial"/>
                <w:sz w:val="21"/>
              </w:rPr>
            </w:pPr>
          </w:p>
        </w:tc>
      </w:tr>
      <w:tr w14:paraId="7A6252A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vMerge w:val="restart"/>
            <w:tcBorders>
              <w:left w:val="single" w:color="000000" w:sz="10" w:space="0"/>
              <w:bottom w:val="nil"/>
            </w:tcBorders>
            <w:vAlign w:val="top"/>
          </w:tcPr>
          <w:p w14:paraId="0B73E223">
            <w:pPr>
              <w:spacing w:line="246" w:lineRule="auto"/>
              <w:rPr>
                <w:rFonts w:ascii="Arial"/>
                <w:sz w:val="21"/>
              </w:rPr>
            </w:pPr>
          </w:p>
          <w:p w14:paraId="2CF11A1D">
            <w:pPr>
              <w:spacing w:line="246" w:lineRule="auto"/>
              <w:rPr>
                <w:rFonts w:ascii="Arial"/>
                <w:sz w:val="21"/>
              </w:rPr>
            </w:pPr>
          </w:p>
          <w:p w14:paraId="53679E06">
            <w:pPr>
              <w:spacing w:line="246" w:lineRule="auto"/>
              <w:rPr>
                <w:rFonts w:ascii="Arial"/>
                <w:sz w:val="21"/>
              </w:rPr>
            </w:pPr>
          </w:p>
          <w:p w14:paraId="2C28D57F">
            <w:pPr>
              <w:spacing w:line="246" w:lineRule="auto"/>
              <w:rPr>
                <w:rFonts w:ascii="Arial"/>
                <w:sz w:val="21"/>
              </w:rPr>
            </w:pPr>
          </w:p>
          <w:p w14:paraId="045D5489">
            <w:pPr>
              <w:spacing w:line="247" w:lineRule="auto"/>
              <w:rPr>
                <w:rFonts w:ascii="Arial"/>
                <w:sz w:val="21"/>
              </w:rPr>
            </w:pPr>
          </w:p>
          <w:p w14:paraId="69769839">
            <w:pPr>
              <w:pStyle w:val="6"/>
              <w:spacing w:before="65" w:line="228" w:lineRule="auto"/>
              <w:ind w:left="383"/>
              <w:rPr>
                <w:sz w:val="20"/>
                <w:szCs w:val="20"/>
              </w:rPr>
            </w:pPr>
            <w:r>
              <w:rPr>
                <w:spacing w:val="6"/>
                <w:sz w:val="20"/>
                <w:szCs w:val="20"/>
              </w:rPr>
              <w:t>危险废物</w:t>
            </w:r>
          </w:p>
        </w:tc>
        <w:tc>
          <w:tcPr>
            <w:tcW w:w="1716" w:type="dxa"/>
            <w:vAlign w:val="top"/>
          </w:tcPr>
          <w:p w14:paraId="067F571A">
            <w:pPr>
              <w:pStyle w:val="6"/>
              <w:spacing w:before="60" w:line="227" w:lineRule="auto"/>
              <w:ind w:left="541"/>
              <w:rPr>
                <w:sz w:val="20"/>
                <w:szCs w:val="20"/>
              </w:rPr>
            </w:pPr>
            <w:r>
              <w:rPr>
                <w:spacing w:val="6"/>
                <w:sz w:val="20"/>
                <w:szCs w:val="20"/>
              </w:rPr>
              <w:t>燃料箱</w:t>
            </w:r>
          </w:p>
        </w:tc>
        <w:tc>
          <w:tcPr>
            <w:tcW w:w="1701" w:type="dxa"/>
            <w:vAlign w:val="top"/>
          </w:tcPr>
          <w:p w14:paraId="30803638">
            <w:pPr>
              <w:rPr>
                <w:rFonts w:ascii="Arial"/>
                <w:sz w:val="21"/>
              </w:rPr>
            </w:pPr>
          </w:p>
        </w:tc>
        <w:tc>
          <w:tcPr>
            <w:tcW w:w="1526" w:type="dxa"/>
            <w:vAlign w:val="top"/>
          </w:tcPr>
          <w:p w14:paraId="1D6D1B1F">
            <w:pPr>
              <w:rPr>
                <w:rFonts w:ascii="Arial"/>
                <w:sz w:val="21"/>
              </w:rPr>
            </w:pPr>
          </w:p>
        </w:tc>
        <w:tc>
          <w:tcPr>
            <w:tcW w:w="1636" w:type="dxa"/>
            <w:vAlign w:val="top"/>
          </w:tcPr>
          <w:p w14:paraId="3DD755CF">
            <w:pPr>
              <w:rPr>
                <w:rFonts w:ascii="Arial"/>
                <w:sz w:val="21"/>
              </w:rPr>
            </w:pPr>
          </w:p>
        </w:tc>
        <w:tc>
          <w:tcPr>
            <w:tcW w:w="1744" w:type="dxa"/>
            <w:vAlign w:val="top"/>
          </w:tcPr>
          <w:p w14:paraId="4C45D525">
            <w:pPr>
              <w:spacing w:before="92" w:line="199" w:lineRule="auto"/>
              <w:ind w:left="68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16t/a</w:t>
            </w:r>
          </w:p>
        </w:tc>
        <w:tc>
          <w:tcPr>
            <w:tcW w:w="1356" w:type="dxa"/>
            <w:vAlign w:val="top"/>
          </w:tcPr>
          <w:p w14:paraId="7133A775">
            <w:pPr>
              <w:rPr>
                <w:rFonts w:ascii="Arial"/>
                <w:sz w:val="21"/>
              </w:rPr>
            </w:pPr>
          </w:p>
        </w:tc>
        <w:tc>
          <w:tcPr>
            <w:tcW w:w="1810" w:type="dxa"/>
            <w:vAlign w:val="top"/>
          </w:tcPr>
          <w:p w14:paraId="45CF9D27">
            <w:pPr>
              <w:spacing w:before="92" w:line="199" w:lineRule="auto"/>
              <w:ind w:left="72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16t/a</w:t>
            </w:r>
          </w:p>
        </w:tc>
        <w:tc>
          <w:tcPr>
            <w:tcW w:w="1652" w:type="dxa"/>
            <w:tcBorders>
              <w:right w:val="single" w:color="000000" w:sz="10" w:space="0"/>
            </w:tcBorders>
            <w:vAlign w:val="top"/>
          </w:tcPr>
          <w:p w14:paraId="61DEFD03">
            <w:pPr>
              <w:spacing w:before="92" w:line="199" w:lineRule="auto"/>
              <w:ind w:left="56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+16t/a</w:t>
            </w:r>
          </w:p>
        </w:tc>
      </w:tr>
      <w:tr w14:paraId="0ED705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vMerge w:val="continue"/>
            <w:tcBorders>
              <w:top w:val="nil"/>
              <w:left w:val="single" w:color="000000" w:sz="10" w:space="0"/>
              <w:bottom w:val="nil"/>
            </w:tcBorders>
            <w:vAlign w:val="top"/>
          </w:tcPr>
          <w:p w14:paraId="75388219">
            <w:pPr>
              <w:rPr>
                <w:rFonts w:ascii="Arial"/>
                <w:sz w:val="21"/>
              </w:rPr>
            </w:pPr>
          </w:p>
        </w:tc>
        <w:tc>
          <w:tcPr>
            <w:tcW w:w="1716" w:type="dxa"/>
            <w:vAlign w:val="top"/>
          </w:tcPr>
          <w:p w14:paraId="7F8E4F53">
            <w:pPr>
              <w:pStyle w:val="6"/>
              <w:spacing w:before="61" w:line="226" w:lineRule="auto"/>
              <w:ind w:left="539"/>
              <w:rPr>
                <w:sz w:val="20"/>
                <w:szCs w:val="20"/>
              </w:rPr>
            </w:pPr>
            <w:r>
              <w:rPr>
                <w:spacing w:val="7"/>
                <w:sz w:val="20"/>
                <w:szCs w:val="20"/>
              </w:rPr>
              <w:t>废油液</w:t>
            </w:r>
          </w:p>
        </w:tc>
        <w:tc>
          <w:tcPr>
            <w:tcW w:w="1701" w:type="dxa"/>
            <w:vAlign w:val="top"/>
          </w:tcPr>
          <w:p w14:paraId="360DF9EB">
            <w:pPr>
              <w:rPr>
                <w:rFonts w:ascii="Arial"/>
                <w:sz w:val="21"/>
              </w:rPr>
            </w:pPr>
          </w:p>
        </w:tc>
        <w:tc>
          <w:tcPr>
            <w:tcW w:w="1526" w:type="dxa"/>
            <w:vAlign w:val="top"/>
          </w:tcPr>
          <w:p w14:paraId="078F42B1">
            <w:pPr>
              <w:rPr>
                <w:rFonts w:ascii="Arial"/>
                <w:sz w:val="21"/>
              </w:rPr>
            </w:pPr>
          </w:p>
        </w:tc>
        <w:tc>
          <w:tcPr>
            <w:tcW w:w="1636" w:type="dxa"/>
            <w:vAlign w:val="top"/>
          </w:tcPr>
          <w:p w14:paraId="4A1BE770">
            <w:pPr>
              <w:rPr>
                <w:rFonts w:ascii="Arial"/>
                <w:sz w:val="21"/>
              </w:rPr>
            </w:pPr>
          </w:p>
        </w:tc>
        <w:tc>
          <w:tcPr>
            <w:tcW w:w="1744" w:type="dxa"/>
            <w:vAlign w:val="top"/>
          </w:tcPr>
          <w:p w14:paraId="1ADDD93A">
            <w:pPr>
              <w:spacing w:before="93" w:line="199" w:lineRule="auto"/>
              <w:ind w:left="64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4.8t/a</w:t>
            </w:r>
          </w:p>
        </w:tc>
        <w:tc>
          <w:tcPr>
            <w:tcW w:w="1356" w:type="dxa"/>
            <w:vAlign w:val="top"/>
          </w:tcPr>
          <w:p w14:paraId="7EDE58FC">
            <w:pPr>
              <w:rPr>
                <w:rFonts w:ascii="Arial"/>
                <w:sz w:val="21"/>
              </w:rPr>
            </w:pPr>
          </w:p>
        </w:tc>
        <w:tc>
          <w:tcPr>
            <w:tcW w:w="1810" w:type="dxa"/>
            <w:vAlign w:val="top"/>
          </w:tcPr>
          <w:p w14:paraId="23F17593">
            <w:pPr>
              <w:spacing w:before="93" w:line="199" w:lineRule="auto"/>
              <w:ind w:left="677"/>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4.8t/a</w:t>
            </w:r>
          </w:p>
        </w:tc>
        <w:tc>
          <w:tcPr>
            <w:tcW w:w="1652" w:type="dxa"/>
            <w:tcBorders>
              <w:right w:val="single" w:color="000000" w:sz="10" w:space="0"/>
            </w:tcBorders>
            <w:vAlign w:val="top"/>
          </w:tcPr>
          <w:p w14:paraId="6CB388F4">
            <w:pPr>
              <w:spacing w:before="93" w:line="199" w:lineRule="auto"/>
              <w:ind w:left="53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+4.8t/a</w:t>
            </w:r>
          </w:p>
        </w:tc>
      </w:tr>
      <w:tr w14:paraId="504ED0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vMerge w:val="continue"/>
            <w:tcBorders>
              <w:top w:val="nil"/>
              <w:left w:val="single" w:color="000000" w:sz="10" w:space="0"/>
              <w:bottom w:val="nil"/>
            </w:tcBorders>
            <w:vAlign w:val="top"/>
          </w:tcPr>
          <w:p w14:paraId="5D1AF34C">
            <w:pPr>
              <w:rPr>
                <w:rFonts w:ascii="Arial"/>
                <w:sz w:val="21"/>
              </w:rPr>
            </w:pPr>
          </w:p>
        </w:tc>
        <w:tc>
          <w:tcPr>
            <w:tcW w:w="1716" w:type="dxa"/>
            <w:vAlign w:val="top"/>
          </w:tcPr>
          <w:p w14:paraId="6676E093">
            <w:pPr>
              <w:pStyle w:val="6"/>
              <w:spacing w:before="61" w:line="226" w:lineRule="auto"/>
              <w:ind w:left="222"/>
              <w:rPr>
                <w:sz w:val="20"/>
                <w:szCs w:val="20"/>
              </w:rPr>
            </w:pPr>
            <w:r>
              <w:rPr>
                <w:spacing w:val="8"/>
                <w:sz w:val="20"/>
                <w:szCs w:val="20"/>
              </w:rPr>
              <w:t>废铅酸蓄电池</w:t>
            </w:r>
          </w:p>
        </w:tc>
        <w:tc>
          <w:tcPr>
            <w:tcW w:w="1701" w:type="dxa"/>
            <w:vAlign w:val="top"/>
          </w:tcPr>
          <w:p w14:paraId="1D4A5C8E">
            <w:pPr>
              <w:rPr>
                <w:rFonts w:ascii="Arial"/>
                <w:sz w:val="21"/>
              </w:rPr>
            </w:pPr>
          </w:p>
        </w:tc>
        <w:tc>
          <w:tcPr>
            <w:tcW w:w="1526" w:type="dxa"/>
            <w:vAlign w:val="top"/>
          </w:tcPr>
          <w:p w14:paraId="42A7EE82">
            <w:pPr>
              <w:rPr>
                <w:rFonts w:ascii="Arial"/>
                <w:sz w:val="21"/>
              </w:rPr>
            </w:pPr>
          </w:p>
        </w:tc>
        <w:tc>
          <w:tcPr>
            <w:tcW w:w="1636" w:type="dxa"/>
            <w:vAlign w:val="top"/>
          </w:tcPr>
          <w:p w14:paraId="42019D2E">
            <w:pPr>
              <w:rPr>
                <w:rFonts w:ascii="Arial"/>
                <w:sz w:val="21"/>
              </w:rPr>
            </w:pPr>
          </w:p>
        </w:tc>
        <w:tc>
          <w:tcPr>
            <w:tcW w:w="1744" w:type="dxa"/>
            <w:vAlign w:val="top"/>
          </w:tcPr>
          <w:p w14:paraId="6B053132">
            <w:pPr>
              <w:spacing w:before="93" w:line="199" w:lineRule="auto"/>
              <w:ind w:left="722"/>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3t/a</w:t>
            </w:r>
          </w:p>
        </w:tc>
        <w:tc>
          <w:tcPr>
            <w:tcW w:w="1356" w:type="dxa"/>
            <w:vAlign w:val="top"/>
          </w:tcPr>
          <w:p w14:paraId="78EA084D">
            <w:pPr>
              <w:rPr>
                <w:rFonts w:ascii="Arial"/>
                <w:sz w:val="21"/>
              </w:rPr>
            </w:pPr>
          </w:p>
        </w:tc>
        <w:tc>
          <w:tcPr>
            <w:tcW w:w="1810" w:type="dxa"/>
            <w:vAlign w:val="top"/>
          </w:tcPr>
          <w:p w14:paraId="209695BB">
            <w:pPr>
              <w:spacing w:before="93" w:line="199" w:lineRule="auto"/>
              <w:ind w:left="761"/>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3t/a</w:t>
            </w:r>
          </w:p>
        </w:tc>
        <w:tc>
          <w:tcPr>
            <w:tcW w:w="1652" w:type="dxa"/>
            <w:tcBorders>
              <w:right w:val="single" w:color="000000" w:sz="10" w:space="0"/>
            </w:tcBorders>
            <w:vAlign w:val="top"/>
          </w:tcPr>
          <w:p w14:paraId="08BCC937">
            <w:pPr>
              <w:spacing w:before="93" w:line="199" w:lineRule="auto"/>
              <w:ind w:left="61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+3t/a</w:t>
            </w:r>
          </w:p>
        </w:tc>
      </w:tr>
      <w:tr w14:paraId="5ACCF73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vMerge w:val="continue"/>
            <w:tcBorders>
              <w:top w:val="nil"/>
              <w:left w:val="single" w:color="000000" w:sz="10" w:space="0"/>
              <w:bottom w:val="nil"/>
            </w:tcBorders>
            <w:vAlign w:val="top"/>
          </w:tcPr>
          <w:p w14:paraId="2EDDB058">
            <w:pPr>
              <w:rPr>
                <w:rFonts w:ascii="Arial"/>
                <w:sz w:val="21"/>
              </w:rPr>
            </w:pPr>
          </w:p>
        </w:tc>
        <w:tc>
          <w:tcPr>
            <w:tcW w:w="1716" w:type="dxa"/>
            <w:vAlign w:val="top"/>
          </w:tcPr>
          <w:p w14:paraId="2B1BF1CD">
            <w:pPr>
              <w:pStyle w:val="6"/>
              <w:spacing w:before="62" w:line="225" w:lineRule="auto"/>
              <w:ind w:left="541"/>
              <w:rPr>
                <w:sz w:val="20"/>
                <w:szCs w:val="20"/>
              </w:rPr>
            </w:pPr>
            <w:r>
              <w:rPr>
                <w:spacing w:val="6"/>
                <w:sz w:val="20"/>
                <w:szCs w:val="20"/>
              </w:rPr>
              <w:t>制冷剂</w:t>
            </w:r>
          </w:p>
        </w:tc>
        <w:tc>
          <w:tcPr>
            <w:tcW w:w="1701" w:type="dxa"/>
            <w:vAlign w:val="top"/>
          </w:tcPr>
          <w:p w14:paraId="60C28F3D">
            <w:pPr>
              <w:rPr>
                <w:rFonts w:ascii="Arial"/>
                <w:sz w:val="21"/>
              </w:rPr>
            </w:pPr>
          </w:p>
        </w:tc>
        <w:tc>
          <w:tcPr>
            <w:tcW w:w="1526" w:type="dxa"/>
            <w:vAlign w:val="top"/>
          </w:tcPr>
          <w:p w14:paraId="3B4369B0">
            <w:pPr>
              <w:rPr>
                <w:rFonts w:ascii="Arial"/>
                <w:sz w:val="21"/>
              </w:rPr>
            </w:pPr>
          </w:p>
        </w:tc>
        <w:tc>
          <w:tcPr>
            <w:tcW w:w="1636" w:type="dxa"/>
            <w:vAlign w:val="top"/>
          </w:tcPr>
          <w:p w14:paraId="648339DC">
            <w:pPr>
              <w:rPr>
                <w:rFonts w:ascii="Arial"/>
                <w:sz w:val="21"/>
              </w:rPr>
            </w:pPr>
          </w:p>
        </w:tc>
        <w:tc>
          <w:tcPr>
            <w:tcW w:w="1744" w:type="dxa"/>
            <w:vAlign w:val="top"/>
          </w:tcPr>
          <w:p w14:paraId="18BA4B7E">
            <w:pPr>
              <w:spacing w:before="94" w:line="199"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0.24t/a</w:t>
            </w:r>
          </w:p>
        </w:tc>
        <w:tc>
          <w:tcPr>
            <w:tcW w:w="1356" w:type="dxa"/>
            <w:vAlign w:val="top"/>
          </w:tcPr>
          <w:p w14:paraId="66A5E414">
            <w:pPr>
              <w:rPr>
                <w:rFonts w:ascii="Arial"/>
                <w:sz w:val="21"/>
              </w:rPr>
            </w:pPr>
          </w:p>
        </w:tc>
        <w:tc>
          <w:tcPr>
            <w:tcW w:w="1810" w:type="dxa"/>
            <w:vAlign w:val="top"/>
          </w:tcPr>
          <w:p w14:paraId="28891CB2">
            <w:pPr>
              <w:spacing w:before="94" w:line="199" w:lineRule="auto"/>
              <w:ind w:left="62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0.24t/a</w:t>
            </w:r>
          </w:p>
        </w:tc>
        <w:tc>
          <w:tcPr>
            <w:tcW w:w="1652" w:type="dxa"/>
            <w:tcBorders>
              <w:right w:val="single" w:color="000000" w:sz="10" w:space="0"/>
            </w:tcBorders>
            <w:vAlign w:val="top"/>
          </w:tcPr>
          <w:p w14:paraId="71E4A43D">
            <w:pPr>
              <w:spacing w:before="94" w:line="199" w:lineRule="auto"/>
              <w:ind w:left="48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+0.24t/a</w:t>
            </w:r>
          </w:p>
        </w:tc>
      </w:tr>
      <w:tr w14:paraId="1F6FA8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619" w:type="dxa"/>
            <w:vMerge w:val="continue"/>
            <w:tcBorders>
              <w:top w:val="nil"/>
              <w:left w:val="single" w:color="000000" w:sz="10" w:space="0"/>
              <w:bottom w:val="nil"/>
            </w:tcBorders>
            <w:vAlign w:val="top"/>
          </w:tcPr>
          <w:p w14:paraId="2A4F93D8">
            <w:pPr>
              <w:rPr>
                <w:rFonts w:ascii="Arial"/>
                <w:sz w:val="21"/>
              </w:rPr>
            </w:pPr>
          </w:p>
        </w:tc>
        <w:tc>
          <w:tcPr>
            <w:tcW w:w="1716" w:type="dxa"/>
            <w:vAlign w:val="top"/>
          </w:tcPr>
          <w:p w14:paraId="43E7FD2C">
            <w:pPr>
              <w:pStyle w:val="6"/>
              <w:spacing w:before="62" w:line="224" w:lineRule="auto"/>
              <w:ind w:left="436"/>
              <w:rPr>
                <w:sz w:val="20"/>
                <w:szCs w:val="20"/>
              </w:rPr>
            </w:pPr>
            <w:r>
              <w:rPr>
                <w:spacing w:val="6"/>
                <w:sz w:val="20"/>
                <w:szCs w:val="20"/>
              </w:rPr>
              <w:t>液压油管</w:t>
            </w:r>
          </w:p>
        </w:tc>
        <w:tc>
          <w:tcPr>
            <w:tcW w:w="1701" w:type="dxa"/>
            <w:vAlign w:val="top"/>
          </w:tcPr>
          <w:p w14:paraId="0EE5EF66">
            <w:pPr>
              <w:rPr>
                <w:rFonts w:ascii="Arial"/>
                <w:sz w:val="21"/>
              </w:rPr>
            </w:pPr>
          </w:p>
        </w:tc>
        <w:tc>
          <w:tcPr>
            <w:tcW w:w="1526" w:type="dxa"/>
            <w:vAlign w:val="top"/>
          </w:tcPr>
          <w:p w14:paraId="4798F0E2">
            <w:pPr>
              <w:rPr>
                <w:rFonts w:ascii="Arial"/>
                <w:sz w:val="21"/>
              </w:rPr>
            </w:pPr>
          </w:p>
        </w:tc>
        <w:tc>
          <w:tcPr>
            <w:tcW w:w="1636" w:type="dxa"/>
            <w:vAlign w:val="top"/>
          </w:tcPr>
          <w:p w14:paraId="3F5A7F3A">
            <w:pPr>
              <w:rPr>
                <w:rFonts w:ascii="Arial"/>
                <w:sz w:val="21"/>
              </w:rPr>
            </w:pPr>
          </w:p>
        </w:tc>
        <w:tc>
          <w:tcPr>
            <w:tcW w:w="1744" w:type="dxa"/>
            <w:vAlign w:val="top"/>
          </w:tcPr>
          <w:p w14:paraId="3DC0C608">
            <w:pPr>
              <w:spacing w:before="97" w:line="199"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0.08t/a</w:t>
            </w:r>
          </w:p>
        </w:tc>
        <w:tc>
          <w:tcPr>
            <w:tcW w:w="1356" w:type="dxa"/>
            <w:vAlign w:val="top"/>
          </w:tcPr>
          <w:p w14:paraId="1B405ED0">
            <w:pPr>
              <w:rPr>
                <w:rFonts w:ascii="Arial"/>
                <w:sz w:val="21"/>
              </w:rPr>
            </w:pPr>
          </w:p>
        </w:tc>
        <w:tc>
          <w:tcPr>
            <w:tcW w:w="1810" w:type="dxa"/>
            <w:vAlign w:val="top"/>
          </w:tcPr>
          <w:p w14:paraId="3CA23E5A">
            <w:pPr>
              <w:spacing w:before="97" w:line="199" w:lineRule="auto"/>
              <w:ind w:left="62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0.08t/a</w:t>
            </w:r>
          </w:p>
        </w:tc>
        <w:tc>
          <w:tcPr>
            <w:tcW w:w="1652" w:type="dxa"/>
            <w:tcBorders>
              <w:right w:val="single" w:color="000000" w:sz="10" w:space="0"/>
            </w:tcBorders>
            <w:vAlign w:val="top"/>
          </w:tcPr>
          <w:p w14:paraId="4470C1E3">
            <w:pPr>
              <w:spacing w:before="97" w:line="199" w:lineRule="auto"/>
              <w:ind w:left="48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+0.08t/a</w:t>
            </w:r>
          </w:p>
        </w:tc>
      </w:tr>
      <w:tr w14:paraId="3B0437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vMerge w:val="continue"/>
            <w:tcBorders>
              <w:top w:val="nil"/>
              <w:left w:val="single" w:color="000000" w:sz="10" w:space="0"/>
              <w:bottom w:val="nil"/>
            </w:tcBorders>
            <w:vAlign w:val="top"/>
          </w:tcPr>
          <w:p w14:paraId="792C496F">
            <w:pPr>
              <w:rPr>
                <w:rFonts w:ascii="Arial"/>
                <w:sz w:val="21"/>
              </w:rPr>
            </w:pPr>
          </w:p>
        </w:tc>
        <w:tc>
          <w:tcPr>
            <w:tcW w:w="1716" w:type="dxa"/>
            <w:vAlign w:val="top"/>
          </w:tcPr>
          <w:p w14:paraId="450C13C7">
            <w:pPr>
              <w:pStyle w:val="6"/>
              <w:spacing w:before="64" w:line="223" w:lineRule="auto"/>
              <w:ind w:left="540"/>
              <w:rPr>
                <w:sz w:val="20"/>
                <w:szCs w:val="20"/>
              </w:rPr>
            </w:pPr>
            <w:r>
              <w:rPr>
                <w:spacing w:val="6"/>
                <w:sz w:val="20"/>
                <w:szCs w:val="20"/>
              </w:rPr>
              <w:t>催化器</w:t>
            </w:r>
          </w:p>
        </w:tc>
        <w:tc>
          <w:tcPr>
            <w:tcW w:w="1701" w:type="dxa"/>
            <w:vAlign w:val="top"/>
          </w:tcPr>
          <w:p w14:paraId="705BE2A9">
            <w:pPr>
              <w:rPr>
                <w:rFonts w:ascii="Arial"/>
                <w:sz w:val="21"/>
              </w:rPr>
            </w:pPr>
          </w:p>
        </w:tc>
        <w:tc>
          <w:tcPr>
            <w:tcW w:w="1526" w:type="dxa"/>
            <w:vAlign w:val="top"/>
          </w:tcPr>
          <w:p w14:paraId="37D698C1">
            <w:pPr>
              <w:rPr>
                <w:rFonts w:ascii="Arial"/>
                <w:sz w:val="21"/>
              </w:rPr>
            </w:pPr>
          </w:p>
        </w:tc>
        <w:tc>
          <w:tcPr>
            <w:tcW w:w="1636" w:type="dxa"/>
            <w:vAlign w:val="top"/>
          </w:tcPr>
          <w:p w14:paraId="60797D2C">
            <w:pPr>
              <w:rPr>
                <w:rFonts w:ascii="Arial"/>
                <w:sz w:val="21"/>
              </w:rPr>
            </w:pPr>
          </w:p>
        </w:tc>
        <w:tc>
          <w:tcPr>
            <w:tcW w:w="1744" w:type="dxa"/>
            <w:vAlign w:val="top"/>
          </w:tcPr>
          <w:p w14:paraId="03869445">
            <w:pPr>
              <w:spacing w:before="98" w:line="199"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0.08t/a</w:t>
            </w:r>
          </w:p>
        </w:tc>
        <w:tc>
          <w:tcPr>
            <w:tcW w:w="1356" w:type="dxa"/>
            <w:vAlign w:val="top"/>
          </w:tcPr>
          <w:p w14:paraId="474D1CC4">
            <w:pPr>
              <w:rPr>
                <w:rFonts w:ascii="Arial"/>
                <w:sz w:val="21"/>
              </w:rPr>
            </w:pPr>
          </w:p>
        </w:tc>
        <w:tc>
          <w:tcPr>
            <w:tcW w:w="1810" w:type="dxa"/>
            <w:vAlign w:val="top"/>
          </w:tcPr>
          <w:p w14:paraId="01DB2C52">
            <w:pPr>
              <w:spacing w:before="98" w:line="199" w:lineRule="auto"/>
              <w:ind w:left="62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0.08t/a</w:t>
            </w:r>
          </w:p>
        </w:tc>
        <w:tc>
          <w:tcPr>
            <w:tcW w:w="1652" w:type="dxa"/>
            <w:tcBorders>
              <w:right w:val="single" w:color="000000" w:sz="10" w:space="0"/>
            </w:tcBorders>
            <w:vAlign w:val="top"/>
          </w:tcPr>
          <w:p w14:paraId="781F16BD">
            <w:pPr>
              <w:spacing w:before="98" w:line="199" w:lineRule="auto"/>
              <w:ind w:left="48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+0.08t/a</w:t>
            </w:r>
          </w:p>
        </w:tc>
      </w:tr>
      <w:tr w14:paraId="1B743C2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6" w:hRule="atLeast"/>
        </w:trPr>
        <w:tc>
          <w:tcPr>
            <w:tcW w:w="1619" w:type="dxa"/>
            <w:vMerge w:val="continue"/>
            <w:tcBorders>
              <w:top w:val="nil"/>
              <w:left w:val="single" w:color="000000" w:sz="10" w:space="0"/>
              <w:bottom w:val="nil"/>
            </w:tcBorders>
            <w:vAlign w:val="top"/>
          </w:tcPr>
          <w:p w14:paraId="71BDA25A">
            <w:pPr>
              <w:rPr>
                <w:rFonts w:ascii="Arial"/>
                <w:sz w:val="21"/>
              </w:rPr>
            </w:pPr>
          </w:p>
        </w:tc>
        <w:tc>
          <w:tcPr>
            <w:tcW w:w="1716" w:type="dxa"/>
            <w:vAlign w:val="top"/>
          </w:tcPr>
          <w:p w14:paraId="51A7E927">
            <w:pPr>
              <w:pStyle w:val="6"/>
              <w:spacing w:before="67" w:line="220" w:lineRule="auto"/>
              <w:ind w:left="434"/>
              <w:rPr>
                <w:sz w:val="20"/>
                <w:szCs w:val="20"/>
              </w:rPr>
            </w:pPr>
            <w:r>
              <w:rPr>
                <w:spacing w:val="7"/>
                <w:sz w:val="20"/>
                <w:szCs w:val="20"/>
              </w:rPr>
              <w:t>废活性碳</w:t>
            </w:r>
          </w:p>
        </w:tc>
        <w:tc>
          <w:tcPr>
            <w:tcW w:w="1701" w:type="dxa"/>
            <w:vAlign w:val="top"/>
          </w:tcPr>
          <w:p w14:paraId="26EA5880">
            <w:pPr>
              <w:rPr>
                <w:rFonts w:ascii="Arial"/>
                <w:sz w:val="21"/>
              </w:rPr>
            </w:pPr>
          </w:p>
        </w:tc>
        <w:tc>
          <w:tcPr>
            <w:tcW w:w="1526" w:type="dxa"/>
            <w:vAlign w:val="top"/>
          </w:tcPr>
          <w:p w14:paraId="0D7D5E80">
            <w:pPr>
              <w:rPr>
                <w:rFonts w:ascii="Arial"/>
                <w:sz w:val="21"/>
              </w:rPr>
            </w:pPr>
          </w:p>
        </w:tc>
        <w:tc>
          <w:tcPr>
            <w:tcW w:w="1636" w:type="dxa"/>
            <w:vAlign w:val="top"/>
          </w:tcPr>
          <w:p w14:paraId="54717D1D">
            <w:pPr>
              <w:rPr>
                <w:rFonts w:ascii="Arial"/>
                <w:sz w:val="21"/>
              </w:rPr>
            </w:pPr>
          </w:p>
        </w:tc>
        <w:tc>
          <w:tcPr>
            <w:tcW w:w="1744" w:type="dxa"/>
            <w:vAlign w:val="top"/>
          </w:tcPr>
          <w:p w14:paraId="5DC5A953">
            <w:pPr>
              <w:spacing w:before="99" w:line="199" w:lineRule="auto"/>
              <w:ind w:left="53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0.084t/a</w:t>
            </w:r>
          </w:p>
        </w:tc>
        <w:tc>
          <w:tcPr>
            <w:tcW w:w="1356" w:type="dxa"/>
            <w:vAlign w:val="top"/>
          </w:tcPr>
          <w:p w14:paraId="2255895D">
            <w:pPr>
              <w:rPr>
                <w:rFonts w:ascii="Arial"/>
                <w:sz w:val="21"/>
              </w:rPr>
            </w:pPr>
          </w:p>
        </w:tc>
        <w:tc>
          <w:tcPr>
            <w:tcW w:w="1810" w:type="dxa"/>
            <w:vAlign w:val="top"/>
          </w:tcPr>
          <w:p w14:paraId="28BB4082">
            <w:pPr>
              <w:spacing w:before="99" w:line="199" w:lineRule="auto"/>
              <w:ind w:left="576"/>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0.084t/a</w:t>
            </w:r>
          </w:p>
        </w:tc>
        <w:tc>
          <w:tcPr>
            <w:tcW w:w="1652" w:type="dxa"/>
            <w:tcBorders>
              <w:right w:val="single" w:color="000000" w:sz="10" w:space="0"/>
            </w:tcBorders>
            <w:vAlign w:val="top"/>
          </w:tcPr>
          <w:p w14:paraId="507CC899">
            <w:pPr>
              <w:spacing w:before="99" w:line="199" w:lineRule="auto"/>
              <w:ind w:left="430"/>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+0.084t/a</w:t>
            </w:r>
          </w:p>
        </w:tc>
      </w:tr>
      <w:tr w14:paraId="37F7AA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8" w:hRule="atLeast"/>
        </w:trPr>
        <w:tc>
          <w:tcPr>
            <w:tcW w:w="1619" w:type="dxa"/>
            <w:vMerge w:val="continue"/>
            <w:tcBorders>
              <w:top w:val="nil"/>
              <w:left w:val="single" w:color="000000" w:sz="10" w:space="0"/>
            </w:tcBorders>
            <w:vAlign w:val="top"/>
          </w:tcPr>
          <w:p w14:paraId="19286DDE">
            <w:pPr>
              <w:rPr>
                <w:rFonts w:ascii="Arial"/>
                <w:sz w:val="21"/>
              </w:rPr>
            </w:pPr>
          </w:p>
        </w:tc>
        <w:tc>
          <w:tcPr>
            <w:tcW w:w="1716" w:type="dxa"/>
            <w:vAlign w:val="top"/>
          </w:tcPr>
          <w:p w14:paraId="0E4731D9">
            <w:pPr>
              <w:pStyle w:val="6"/>
              <w:spacing w:before="48" w:line="226" w:lineRule="auto"/>
              <w:ind w:left="540" w:right="129" w:hanging="420"/>
              <w:rPr>
                <w:sz w:val="20"/>
                <w:szCs w:val="20"/>
              </w:rPr>
            </w:pPr>
            <w:r>
              <w:rPr>
                <w:spacing w:val="8"/>
                <w:sz w:val="20"/>
                <w:szCs w:val="20"/>
              </w:rPr>
              <w:t>含油抹布、拖布</w:t>
            </w:r>
            <w:r>
              <w:rPr>
                <w:spacing w:val="3"/>
                <w:sz w:val="20"/>
                <w:szCs w:val="20"/>
              </w:rPr>
              <w:t xml:space="preserve"> </w:t>
            </w:r>
            <w:r>
              <w:rPr>
                <w:spacing w:val="6"/>
                <w:sz w:val="20"/>
                <w:szCs w:val="20"/>
              </w:rPr>
              <w:t>和手套</w:t>
            </w:r>
          </w:p>
        </w:tc>
        <w:tc>
          <w:tcPr>
            <w:tcW w:w="1701" w:type="dxa"/>
            <w:vAlign w:val="top"/>
          </w:tcPr>
          <w:p w14:paraId="2D880B97">
            <w:pPr>
              <w:rPr>
                <w:rFonts w:ascii="Arial"/>
                <w:sz w:val="21"/>
              </w:rPr>
            </w:pPr>
          </w:p>
        </w:tc>
        <w:tc>
          <w:tcPr>
            <w:tcW w:w="1526" w:type="dxa"/>
            <w:vAlign w:val="top"/>
          </w:tcPr>
          <w:p w14:paraId="3F72BA3C">
            <w:pPr>
              <w:rPr>
                <w:rFonts w:ascii="Arial"/>
                <w:sz w:val="21"/>
              </w:rPr>
            </w:pPr>
          </w:p>
        </w:tc>
        <w:tc>
          <w:tcPr>
            <w:tcW w:w="1636" w:type="dxa"/>
            <w:vAlign w:val="top"/>
          </w:tcPr>
          <w:p w14:paraId="062121A6">
            <w:pPr>
              <w:rPr>
                <w:rFonts w:ascii="Arial"/>
                <w:sz w:val="21"/>
              </w:rPr>
            </w:pPr>
          </w:p>
        </w:tc>
        <w:tc>
          <w:tcPr>
            <w:tcW w:w="1744" w:type="dxa"/>
            <w:vAlign w:val="top"/>
          </w:tcPr>
          <w:p w14:paraId="371965A1">
            <w:pPr>
              <w:spacing w:before="215" w:line="199" w:lineRule="auto"/>
              <w:ind w:left="738"/>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1t/a</w:t>
            </w:r>
          </w:p>
        </w:tc>
        <w:tc>
          <w:tcPr>
            <w:tcW w:w="1356" w:type="dxa"/>
            <w:vAlign w:val="top"/>
          </w:tcPr>
          <w:p w14:paraId="3254B6F9">
            <w:pPr>
              <w:rPr>
                <w:rFonts w:ascii="Arial"/>
                <w:sz w:val="21"/>
              </w:rPr>
            </w:pPr>
          </w:p>
        </w:tc>
        <w:tc>
          <w:tcPr>
            <w:tcW w:w="1810" w:type="dxa"/>
            <w:vAlign w:val="top"/>
          </w:tcPr>
          <w:p w14:paraId="4D3014B8">
            <w:pPr>
              <w:spacing w:before="215" w:line="199" w:lineRule="auto"/>
              <w:ind w:left="777"/>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1t/a</w:t>
            </w:r>
          </w:p>
        </w:tc>
        <w:tc>
          <w:tcPr>
            <w:tcW w:w="1652" w:type="dxa"/>
            <w:tcBorders>
              <w:right w:val="single" w:color="000000" w:sz="10" w:space="0"/>
            </w:tcBorders>
            <w:vAlign w:val="top"/>
          </w:tcPr>
          <w:p w14:paraId="6E563212">
            <w:pPr>
              <w:spacing w:before="215" w:line="199" w:lineRule="auto"/>
              <w:ind w:left="61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+1t/a</w:t>
            </w:r>
          </w:p>
        </w:tc>
      </w:tr>
      <w:tr w14:paraId="250621D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5" w:hRule="atLeast"/>
        </w:trPr>
        <w:tc>
          <w:tcPr>
            <w:tcW w:w="1619" w:type="dxa"/>
            <w:vMerge w:val="restart"/>
            <w:tcBorders>
              <w:left w:val="single" w:color="000000" w:sz="10" w:space="0"/>
              <w:bottom w:val="nil"/>
            </w:tcBorders>
            <w:vAlign w:val="top"/>
          </w:tcPr>
          <w:p w14:paraId="5102F7C9">
            <w:pPr>
              <w:spacing w:line="266" w:lineRule="auto"/>
              <w:rPr>
                <w:rFonts w:ascii="Arial"/>
                <w:sz w:val="21"/>
              </w:rPr>
            </w:pPr>
          </w:p>
          <w:p w14:paraId="2E1A66BA">
            <w:pPr>
              <w:spacing w:line="267" w:lineRule="auto"/>
              <w:rPr>
                <w:rFonts w:ascii="Arial"/>
                <w:sz w:val="21"/>
              </w:rPr>
            </w:pPr>
          </w:p>
          <w:p w14:paraId="3F9FD8C6">
            <w:pPr>
              <w:pStyle w:val="6"/>
              <w:spacing w:before="65" w:line="274" w:lineRule="auto"/>
              <w:ind w:left="587" w:right="184" w:hanging="415"/>
              <w:rPr>
                <w:sz w:val="20"/>
                <w:szCs w:val="20"/>
              </w:rPr>
            </w:pPr>
            <w:r>
              <w:rPr>
                <w:spacing w:val="7"/>
                <w:sz w:val="20"/>
                <w:szCs w:val="20"/>
              </w:rPr>
              <w:t>一般工业固体</w:t>
            </w:r>
            <w:r>
              <w:rPr>
                <w:spacing w:val="3"/>
                <w:sz w:val="20"/>
                <w:szCs w:val="20"/>
              </w:rPr>
              <w:t xml:space="preserve"> </w:t>
            </w:r>
            <w:r>
              <w:rPr>
                <w:spacing w:val="5"/>
                <w:sz w:val="20"/>
                <w:szCs w:val="20"/>
              </w:rPr>
              <w:t>废物</w:t>
            </w:r>
          </w:p>
        </w:tc>
        <w:tc>
          <w:tcPr>
            <w:tcW w:w="1716" w:type="dxa"/>
            <w:vAlign w:val="top"/>
          </w:tcPr>
          <w:p w14:paraId="4C48D37B">
            <w:pPr>
              <w:pStyle w:val="6"/>
              <w:spacing w:before="69" w:line="217" w:lineRule="auto"/>
              <w:ind w:left="436"/>
              <w:rPr>
                <w:sz w:val="20"/>
                <w:szCs w:val="20"/>
              </w:rPr>
            </w:pPr>
            <w:r>
              <w:rPr>
                <w:spacing w:val="6"/>
                <w:sz w:val="20"/>
                <w:szCs w:val="20"/>
              </w:rPr>
              <w:t>生活垃圾</w:t>
            </w:r>
          </w:p>
        </w:tc>
        <w:tc>
          <w:tcPr>
            <w:tcW w:w="1701" w:type="dxa"/>
            <w:vAlign w:val="top"/>
          </w:tcPr>
          <w:p w14:paraId="1A891003">
            <w:pPr>
              <w:rPr>
                <w:rFonts w:ascii="Arial"/>
                <w:sz w:val="21"/>
              </w:rPr>
            </w:pPr>
          </w:p>
        </w:tc>
        <w:tc>
          <w:tcPr>
            <w:tcW w:w="1526" w:type="dxa"/>
            <w:vAlign w:val="top"/>
          </w:tcPr>
          <w:p w14:paraId="5B654557">
            <w:pPr>
              <w:rPr>
                <w:rFonts w:ascii="Arial"/>
                <w:sz w:val="21"/>
              </w:rPr>
            </w:pPr>
          </w:p>
        </w:tc>
        <w:tc>
          <w:tcPr>
            <w:tcW w:w="1636" w:type="dxa"/>
            <w:vAlign w:val="top"/>
          </w:tcPr>
          <w:p w14:paraId="40726A69">
            <w:pPr>
              <w:rPr>
                <w:rFonts w:ascii="Arial"/>
                <w:sz w:val="21"/>
              </w:rPr>
            </w:pPr>
          </w:p>
        </w:tc>
        <w:tc>
          <w:tcPr>
            <w:tcW w:w="1744" w:type="dxa"/>
            <w:vAlign w:val="top"/>
          </w:tcPr>
          <w:p w14:paraId="7A733925">
            <w:pPr>
              <w:spacing w:before="101" w:line="199" w:lineRule="auto"/>
              <w:ind w:left="592"/>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0.75t/a</w:t>
            </w:r>
          </w:p>
        </w:tc>
        <w:tc>
          <w:tcPr>
            <w:tcW w:w="1356" w:type="dxa"/>
            <w:vAlign w:val="top"/>
          </w:tcPr>
          <w:p w14:paraId="324312DF">
            <w:pPr>
              <w:rPr>
                <w:rFonts w:ascii="Arial"/>
                <w:sz w:val="21"/>
              </w:rPr>
            </w:pPr>
          </w:p>
        </w:tc>
        <w:tc>
          <w:tcPr>
            <w:tcW w:w="1810" w:type="dxa"/>
            <w:vAlign w:val="top"/>
          </w:tcPr>
          <w:p w14:paraId="428E8DD2">
            <w:pPr>
              <w:spacing w:before="101" w:line="199" w:lineRule="auto"/>
              <w:ind w:left="62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0.75t/a</w:t>
            </w:r>
          </w:p>
        </w:tc>
        <w:tc>
          <w:tcPr>
            <w:tcW w:w="1652" w:type="dxa"/>
            <w:tcBorders>
              <w:right w:val="single" w:color="000000" w:sz="10" w:space="0"/>
            </w:tcBorders>
            <w:vAlign w:val="top"/>
          </w:tcPr>
          <w:p w14:paraId="103AB29C">
            <w:pPr>
              <w:spacing w:before="101" w:line="199" w:lineRule="auto"/>
              <w:ind w:left="48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+0.75t/a</w:t>
            </w:r>
          </w:p>
        </w:tc>
      </w:tr>
      <w:tr w14:paraId="7CEFC9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7" w:hRule="atLeast"/>
        </w:trPr>
        <w:tc>
          <w:tcPr>
            <w:tcW w:w="1619" w:type="dxa"/>
            <w:vMerge w:val="continue"/>
            <w:tcBorders>
              <w:top w:val="nil"/>
              <w:left w:val="single" w:color="000000" w:sz="10" w:space="0"/>
              <w:bottom w:val="nil"/>
            </w:tcBorders>
            <w:vAlign w:val="top"/>
          </w:tcPr>
          <w:p w14:paraId="36B66AA2">
            <w:pPr>
              <w:rPr>
                <w:rFonts w:ascii="Arial"/>
                <w:sz w:val="21"/>
              </w:rPr>
            </w:pPr>
          </w:p>
        </w:tc>
        <w:tc>
          <w:tcPr>
            <w:tcW w:w="1716" w:type="dxa"/>
            <w:vAlign w:val="top"/>
          </w:tcPr>
          <w:p w14:paraId="0F726887">
            <w:pPr>
              <w:pStyle w:val="6"/>
              <w:spacing w:before="51" w:line="224" w:lineRule="auto"/>
              <w:ind w:left="541" w:right="181" w:hanging="344"/>
              <w:rPr>
                <w:sz w:val="20"/>
                <w:szCs w:val="20"/>
              </w:rPr>
            </w:pPr>
            <w:r>
              <w:rPr>
                <w:spacing w:val="4"/>
                <w:sz w:val="20"/>
                <w:szCs w:val="20"/>
              </w:rPr>
              <w:t>电子电器产品/</w:t>
            </w:r>
            <w:r>
              <w:rPr>
                <w:spacing w:val="2"/>
                <w:sz w:val="20"/>
                <w:szCs w:val="20"/>
              </w:rPr>
              <w:t xml:space="preserve"> </w:t>
            </w:r>
            <w:r>
              <w:rPr>
                <w:spacing w:val="6"/>
                <w:sz w:val="20"/>
                <w:szCs w:val="20"/>
              </w:rPr>
              <w:t>元器件</w:t>
            </w:r>
          </w:p>
        </w:tc>
        <w:tc>
          <w:tcPr>
            <w:tcW w:w="1701" w:type="dxa"/>
            <w:vAlign w:val="top"/>
          </w:tcPr>
          <w:p w14:paraId="25799A3F">
            <w:pPr>
              <w:rPr>
                <w:rFonts w:ascii="Arial"/>
                <w:sz w:val="21"/>
              </w:rPr>
            </w:pPr>
          </w:p>
        </w:tc>
        <w:tc>
          <w:tcPr>
            <w:tcW w:w="1526" w:type="dxa"/>
            <w:vAlign w:val="top"/>
          </w:tcPr>
          <w:p w14:paraId="5EB91364">
            <w:pPr>
              <w:rPr>
                <w:rFonts w:ascii="Arial"/>
                <w:sz w:val="21"/>
              </w:rPr>
            </w:pPr>
          </w:p>
        </w:tc>
        <w:tc>
          <w:tcPr>
            <w:tcW w:w="1636" w:type="dxa"/>
            <w:vAlign w:val="top"/>
          </w:tcPr>
          <w:p w14:paraId="6D45616F">
            <w:pPr>
              <w:rPr>
                <w:rFonts w:ascii="Arial"/>
                <w:sz w:val="21"/>
              </w:rPr>
            </w:pPr>
          </w:p>
        </w:tc>
        <w:tc>
          <w:tcPr>
            <w:tcW w:w="1744" w:type="dxa"/>
            <w:vAlign w:val="top"/>
          </w:tcPr>
          <w:p w14:paraId="2873C69A">
            <w:pPr>
              <w:spacing w:before="218" w:line="199" w:lineRule="auto"/>
              <w:ind w:left="588"/>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20.8t/a</w:t>
            </w:r>
          </w:p>
        </w:tc>
        <w:tc>
          <w:tcPr>
            <w:tcW w:w="1356" w:type="dxa"/>
            <w:vAlign w:val="top"/>
          </w:tcPr>
          <w:p w14:paraId="6286B41E">
            <w:pPr>
              <w:rPr>
                <w:rFonts w:ascii="Arial"/>
                <w:sz w:val="21"/>
              </w:rPr>
            </w:pPr>
          </w:p>
        </w:tc>
        <w:tc>
          <w:tcPr>
            <w:tcW w:w="1810" w:type="dxa"/>
            <w:vAlign w:val="top"/>
          </w:tcPr>
          <w:p w14:paraId="2DA82086">
            <w:pPr>
              <w:spacing w:before="218" w:line="199" w:lineRule="auto"/>
              <w:ind w:left="625"/>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20.8t/a</w:t>
            </w:r>
          </w:p>
        </w:tc>
        <w:tc>
          <w:tcPr>
            <w:tcW w:w="1652" w:type="dxa"/>
            <w:tcBorders>
              <w:right w:val="single" w:color="000000" w:sz="10" w:space="0"/>
            </w:tcBorders>
            <w:vAlign w:val="top"/>
          </w:tcPr>
          <w:p w14:paraId="6FE80669">
            <w:pPr>
              <w:spacing w:before="218" w:line="199" w:lineRule="auto"/>
              <w:ind w:left="483"/>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+20.8t/a</w:t>
            </w:r>
          </w:p>
        </w:tc>
      </w:tr>
      <w:tr w14:paraId="3FFCD76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3" w:hRule="atLeast"/>
        </w:trPr>
        <w:tc>
          <w:tcPr>
            <w:tcW w:w="1619" w:type="dxa"/>
            <w:vMerge w:val="continue"/>
            <w:tcBorders>
              <w:top w:val="nil"/>
              <w:left w:val="single" w:color="000000" w:sz="10" w:space="0"/>
              <w:bottom w:val="single" w:color="000000" w:sz="10" w:space="0"/>
            </w:tcBorders>
            <w:vAlign w:val="top"/>
          </w:tcPr>
          <w:p w14:paraId="25393D60">
            <w:pPr>
              <w:rPr>
                <w:rFonts w:ascii="Arial"/>
                <w:sz w:val="21"/>
              </w:rPr>
            </w:pPr>
          </w:p>
        </w:tc>
        <w:tc>
          <w:tcPr>
            <w:tcW w:w="1716" w:type="dxa"/>
            <w:tcBorders>
              <w:bottom w:val="single" w:color="000000" w:sz="10" w:space="0"/>
            </w:tcBorders>
            <w:vAlign w:val="top"/>
          </w:tcPr>
          <w:p w14:paraId="32809C69">
            <w:pPr>
              <w:pStyle w:val="6"/>
              <w:spacing w:before="53" w:line="228" w:lineRule="auto"/>
              <w:ind w:left="107"/>
              <w:rPr>
                <w:sz w:val="20"/>
                <w:szCs w:val="20"/>
              </w:rPr>
            </w:pPr>
            <w:r>
              <w:rPr>
                <w:spacing w:val="-3"/>
                <w:sz w:val="20"/>
                <w:szCs w:val="20"/>
              </w:rPr>
              <w:t>玻璃、废旧轮胎、</w:t>
            </w:r>
          </w:p>
          <w:p w14:paraId="2751B347">
            <w:pPr>
              <w:pStyle w:val="6"/>
              <w:spacing w:before="24" w:line="228" w:lineRule="auto"/>
              <w:ind w:left="107"/>
              <w:rPr>
                <w:sz w:val="20"/>
                <w:szCs w:val="20"/>
              </w:rPr>
            </w:pPr>
            <w:r>
              <w:rPr>
                <w:spacing w:val="-3"/>
                <w:sz w:val="20"/>
                <w:szCs w:val="20"/>
              </w:rPr>
              <w:t>塑料、密封胶条、</w:t>
            </w:r>
          </w:p>
          <w:p w14:paraId="26573A21">
            <w:pPr>
              <w:pStyle w:val="6"/>
              <w:spacing w:before="26" w:line="216" w:lineRule="auto"/>
              <w:ind w:left="542"/>
              <w:rPr>
                <w:sz w:val="20"/>
                <w:szCs w:val="20"/>
              </w:rPr>
            </w:pPr>
            <w:r>
              <w:rPr>
                <w:spacing w:val="6"/>
                <w:sz w:val="20"/>
                <w:szCs w:val="20"/>
              </w:rPr>
              <w:t>金属类</w:t>
            </w:r>
          </w:p>
        </w:tc>
        <w:tc>
          <w:tcPr>
            <w:tcW w:w="1701" w:type="dxa"/>
            <w:tcBorders>
              <w:bottom w:val="single" w:color="000000" w:sz="10" w:space="0"/>
            </w:tcBorders>
            <w:vAlign w:val="top"/>
          </w:tcPr>
          <w:p w14:paraId="66E4EB82">
            <w:pPr>
              <w:rPr>
                <w:rFonts w:ascii="Arial"/>
                <w:sz w:val="21"/>
              </w:rPr>
            </w:pPr>
          </w:p>
        </w:tc>
        <w:tc>
          <w:tcPr>
            <w:tcW w:w="1526" w:type="dxa"/>
            <w:tcBorders>
              <w:bottom w:val="single" w:color="000000" w:sz="10" w:space="0"/>
            </w:tcBorders>
            <w:vAlign w:val="top"/>
          </w:tcPr>
          <w:p w14:paraId="1852F05A">
            <w:pPr>
              <w:rPr>
                <w:rFonts w:ascii="Arial"/>
                <w:sz w:val="21"/>
              </w:rPr>
            </w:pPr>
          </w:p>
        </w:tc>
        <w:tc>
          <w:tcPr>
            <w:tcW w:w="1636" w:type="dxa"/>
            <w:tcBorders>
              <w:bottom w:val="single" w:color="000000" w:sz="10" w:space="0"/>
            </w:tcBorders>
            <w:vAlign w:val="top"/>
          </w:tcPr>
          <w:p w14:paraId="43EF2E31">
            <w:pPr>
              <w:rPr>
                <w:rFonts w:ascii="Arial"/>
                <w:sz w:val="21"/>
              </w:rPr>
            </w:pPr>
          </w:p>
        </w:tc>
        <w:tc>
          <w:tcPr>
            <w:tcW w:w="1744" w:type="dxa"/>
            <w:tcBorders>
              <w:bottom w:val="single" w:color="000000" w:sz="10" w:space="0"/>
            </w:tcBorders>
            <w:vAlign w:val="top"/>
          </w:tcPr>
          <w:p w14:paraId="324C80BD">
            <w:pPr>
              <w:spacing w:line="298" w:lineRule="auto"/>
              <w:rPr>
                <w:rFonts w:ascii="Arial"/>
                <w:sz w:val="21"/>
              </w:rPr>
            </w:pPr>
          </w:p>
          <w:p w14:paraId="7249F622">
            <w:pPr>
              <w:spacing w:before="57" w:line="199" w:lineRule="auto"/>
              <w:ind w:left="562"/>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2354t/a</w:t>
            </w:r>
          </w:p>
        </w:tc>
        <w:tc>
          <w:tcPr>
            <w:tcW w:w="1356" w:type="dxa"/>
            <w:tcBorders>
              <w:bottom w:val="single" w:color="000000" w:sz="10" w:space="0"/>
            </w:tcBorders>
            <w:vAlign w:val="top"/>
          </w:tcPr>
          <w:p w14:paraId="1FA457B5">
            <w:pPr>
              <w:rPr>
                <w:rFonts w:ascii="Arial"/>
                <w:sz w:val="21"/>
              </w:rPr>
            </w:pPr>
          </w:p>
        </w:tc>
        <w:tc>
          <w:tcPr>
            <w:tcW w:w="1810" w:type="dxa"/>
            <w:tcBorders>
              <w:bottom w:val="single" w:color="000000" w:sz="10" w:space="0"/>
            </w:tcBorders>
            <w:vAlign w:val="top"/>
          </w:tcPr>
          <w:p w14:paraId="45CC5CC1">
            <w:pPr>
              <w:spacing w:line="298" w:lineRule="auto"/>
              <w:rPr>
                <w:rFonts w:ascii="Arial"/>
                <w:sz w:val="21"/>
              </w:rPr>
            </w:pPr>
          </w:p>
          <w:p w14:paraId="1736FFBF">
            <w:pPr>
              <w:spacing w:before="57" w:line="199" w:lineRule="auto"/>
              <w:ind w:left="599"/>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2354t/a</w:t>
            </w:r>
          </w:p>
        </w:tc>
        <w:tc>
          <w:tcPr>
            <w:tcW w:w="1652" w:type="dxa"/>
            <w:tcBorders>
              <w:bottom w:val="single" w:color="000000" w:sz="10" w:space="0"/>
              <w:right w:val="single" w:color="000000" w:sz="10" w:space="0"/>
            </w:tcBorders>
            <w:vAlign w:val="top"/>
          </w:tcPr>
          <w:p w14:paraId="419E59F7">
            <w:pPr>
              <w:spacing w:line="298" w:lineRule="auto"/>
              <w:rPr>
                <w:rFonts w:ascii="Arial"/>
                <w:sz w:val="21"/>
              </w:rPr>
            </w:pPr>
          </w:p>
          <w:p w14:paraId="36491CEA">
            <w:pPr>
              <w:spacing w:before="57" w:line="199" w:lineRule="auto"/>
              <w:ind w:left="456"/>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+2354t/a</w:t>
            </w:r>
          </w:p>
        </w:tc>
      </w:tr>
    </w:tbl>
    <w:p w14:paraId="7762A021">
      <w:pPr>
        <w:spacing w:before="117" w:line="217" w:lineRule="auto"/>
        <w:ind w:left="1023"/>
        <w:rPr>
          <w:rFonts w:ascii="宋体" w:hAnsi="宋体" w:eastAsia="宋体" w:cs="宋体"/>
          <w:sz w:val="24"/>
          <w:szCs w:val="24"/>
        </w:rPr>
      </w:pPr>
      <w:r>
        <w:rPr>
          <w:rFonts w:ascii="宋体" w:hAnsi="宋体" w:eastAsia="宋体" w:cs="宋体"/>
          <w:b/>
          <w:bCs/>
          <w:spacing w:val="-6"/>
          <w:sz w:val="24"/>
          <w:szCs w:val="24"/>
        </w:rPr>
        <w:t>注：⑥</w:t>
      </w:r>
      <w:r>
        <w:rPr>
          <w:rFonts w:ascii="Calibri" w:hAnsi="Calibri" w:eastAsia="Calibri" w:cs="Calibri"/>
          <w:b/>
          <w:bCs/>
          <w:spacing w:val="-6"/>
          <w:sz w:val="24"/>
          <w:szCs w:val="24"/>
        </w:rPr>
        <w:t>=</w:t>
      </w:r>
      <w:r>
        <w:rPr>
          <w:rFonts w:ascii="宋体" w:hAnsi="宋体" w:eastAsia="宋体" w:cs="宋体"/>
          <w:b/>
          <w:bCs/>
          <w:spacing w:val="-6"/>
          <w:sz w:val="24"/>
          <w:szCs w:val="24"/>
        </w:rPr>
        <w:t>①</w:t>
      </w:r>
      <w:r>
        <w:rPr>
          <w:rFonts w:ascii="Calibri" w:hAnsi="Calibri" w:eastAsia="Calibri" w:cs="Calibri"/>
          <w:b/>
          <w:bCs/>
          <w:spacing w:val="-6"/>
          <w:sz w:val="24"/>
          <w:szCs w:val="24"/>
        </w:rPr>
        <w:t>+</w:t>
      </w:r>
      <w:r>
        <w:rPr>
          <w:rFonts w:ascii="宋体" w:hAnsi="宋体" w:eastAsia="宋体" w:cs="宋体"/>
          <w:b/>
          <w:bCs/>
          <w:spacing w:val="-6"/>
          <w:sz w:val="24"/>
          <w:szCs w:val="24"/>
        </w:rPr>
        <w:t>③</w:t>
      </w:r>
      <w:r>
        <w:rPr>
          <w:rFonts w:ascii="Calibri" w:hAnsi="Calibri" w:eastAsia="Calibri" w:cs="Calibri"/>
          <w:b/>
          <w:bCs/>
          <w:spacing w:val="-6"/>
          <w:sz w:val="24"/>
          <w:szCs w:val="24"/>
        </w:rPr>
        <w:t>+</w:t>
      </w:r>
      <w:r>
        <w:rPr>
          <w:rFonts w:ascii="宋体" w:hAnsi="宋体" w:eastAsia="宋体" w:cs="宋体"/>
          <w:b/>
          <w:bCs/>
          <w:spacing w:val="-6"/>
          <w:sz w:val="24"/>
          <w:szCs w:val="24"/>
        </w:rPr>
        <w:t>④</w:t>
      </w:r>
      <w:r>
        <w:rPr>
          <w:rFonts w:ascii="Calibri" w:hAnsi="Calibri" w:eastAsia="Calibri" w:cs="Calibri"/>
          <w:b/>
          <w:bCs/>
          <w:spacing w:val="-6"/>
          <w:sz w:val="24"/>
          <w:szCs w:val="24"/>
        </w:rPr>
        <w:t>-</w:t>
      </w:r>
      <w:r>
        <w:rPr>
          <w:rFonts w:ascii="宋体" w:hAnsi="宋体" w:eastAsia="宋体" w:cs="宋体"/>
          <w:b/>
          <w:bCs/>
          <w:spacing w:val="-6"/>
          <w:sz w:val="24"/>
          <w:szCs w:val="24"/>
        </w:rPr>
        <w:t>⑤;</w:t>
      </w:r>
      <w:r>
        <w:rPr>
          <w:rFonts w:ascii="宋体" w:hAnsi="宋体" w:eastAsia="宋体" w:cs="宋体"/>
          <w:spacing w:val="72"/>
          <w:sz w:val="24"/>
          <w:szCs w:val="24"/>
        </w:rPr>
        <w:t xml:space="preserve"> </w:t>
      </w:r>
      <w:r>
        <w:rPr>
          <w:rFonts w:ascii="宋体" w:hAnsi="宋体" w:eastAsia="宋体" w:cs="宋体"/>
          <w:b/>
          <w:bCs/>
          <w:spacing w:val="-6"/>
          <w:sz w:val="24"/>
          <w:szCs w:val="24"/>
        </w:rPr>
        <w:t>⑦</w:t>
      </w:r>
      <w:r>
        <w:rPr>
          <w:rFonts w:ascii="Calibri" w:hAnsi="Calibri" w:eastAsia="Calibri" w:cs="Calibri"/>
          <w:b/>
          <w:bCs/>
          <w:spacing w:val="-6"/>
          <w:sz w:val="24"/>
          <w:szCs w:val="24"/>
        </w:rPr>
        <w:t>=</w:t>
      </w:r>
      <w:r>
        <w:rPr>
          <w:rFonts w:ascii="宋体" w:hAnsi="宋体" w:eastAsia="宋体" w:cs="宋体"/>
          <w:b/>
          <w:bCs/>
          <w:spacing w:val="-6"/>
          <w:sz w:val="24"/>
          <w:szCs w:val="24"/>
        </w:rPr>
        <w:t>⑥</w:t>
      </w:r>
      <w:r>
        <w:rPr>
          <w:rFonts w:ascii="Calibri" w:hAnsi="Calibri" w:eastAsia="Calibri" w:cs="Calibri"/>
          <w:b/>
          <w:bCs/>
          <w:spacing w:val="-6"/>
          <w:sz w:val="24"/>
          <w:szCs w:val="24"/>
        </w:rPr>
        <w:t>-</w:t>
      </w:r>
      <w:r>
        <w:rPr>
          <w:rFonts w:ascii="宋体" w:hAnsi="宋体" w:eastAsia="宋体" w:cs="宋体"/>
          <w:b/>
          <w:bCs/>
          <w:spacing w:val="-6"/>
          <w:sz w:val="24"/>
          <w:szCs w:val="24"/>
        </w:rPr>
        <w:t>①</w:t>
      </w:r>
    </w:p>
    <w:p w14:paraId="5C3DEF4F">
      <w:pPr>
        <w:spacing w:line="217" w:lineRule="auto"/>
        <w:rPr>
          <w:rFonts w:ascii="宋体" w:hAnsi="宋体" w:eastAsia="宋体" w:cs="宋体"/>
          <w:sz w:val="24"/>
          <w:szCs w:val="24"/>
        </w:rPr>
        <w:sectPr>
          <w:footerReference r:id="rId102" w:type="default"/>
          <w:pgSz w:w="16839" w:h="11906"/>
          <w:pgMar w:top="1012" w:right="1026" w:bottom="1263" w:left="1025" w:header="0" w:footer="1097" w:gutter="0"/>
          <w:cols w:space="720" w:num="1"/>
        </w:sectPr>
      </w:pPr>
    </w:p>
    <w:p w14:paraId="2ABAF22D">
      <w:pPr>
        <w:spacing w:before="55" w:line="221" w:lineRule="auto"/>
        <w:ind w:left="28"/>
        <w:outlineLvl w:val="1"/>
        <w:rPr>
          <w:rFonts w:ascii="宋体" w:hAnsi="宋体" w:eastAsia="宋体" w:cs="宋体"/>
          <w:sz w:val="28"/>
          <w:szCs w:val="28"/>
        </w:rPr>
      </w:pPr>
      <w:r>
        <w:rPr>
          <w:rFonts w:ascii="宋体" w:hAnsi="宋体" w:eastAsia="宋体" w:cs="宋体"/>
          <w:b/>
          <w:bCs/>
          <w:spacing w:val="-7"/>
          <w:sz w:val="24"/>
          <w:szCs w:val="24"/>
        </w:rPr>
        <w:t>附图</w:t>
      </w:r>
      <w:r>
        <w:rPr>
          <w:rFonts w:ascii="宋体" w:hAnsi="宋体" w:eastAsia="宋体" w:cs="宋体"/>
          <w:spacing w:val="-32"/>
          <w:sz w:val="24"/>
          <w:szCs w:val="24"/>
        </w:rPr>
        <w:t xml:space="preserve"> </w:t>
      </w:r>
      <w:r>
        <w:rPr>
          <w:rFonts w:ascii="宋体" w:hAnsi="宋体" w:eastAsia="宋体" w:cs="宋体"/>
          <w:b/>
          <w:bCs/>
          <w:spacing w:val="-7"/>
          <w:sz w:val="24"/>
          <w:szCs w:val="24"/>
        </w:rPr>
        <w:t>1</w:t>
      </w:r>
      <w:r>
        <w:rPr>
          <w:rFonts w:ascii="宋体" w:hAnsi="宋体" w:eastAsia="宋体" w:cs="宋体"/>
          <w:b/>
          <w:bCs/>
          <w:spacing w:val="-7"/>
          <w:sz w:val="28"/>
          <w:szCs w:val="28"/>
        </w:rPr>
        <w:t>：项目地理位置图</w:t>
      </w:r>
    </w:p>
    <w:p w14:paraId="393E9D2E">
      <w:pPr>
        <w:pStyle w:val="2"/>
        <w:spacing w:line="255" w:lineRule="auto"/>
      </w:pPr>
    </w:p>
    <w:p w14:paraId="17437EA4">
      <w:pPr>
        <w:pStyle w:val="2"/>
        <w:spacing w:line="255" w:lineRule="auto"/>
      </w:pPr>
    </w:p>
    <w:p w14:paraId="1499A6B5">
      <w:pPr>
        <w:pStyle w:val="2"/>
        <w:spacing w:line="255" w:lineRule="auto"/>
      </w:pPr>
    </w:p>
    <w:p w14:paraId="08CB0ECE">
      <w:pPr>
        <w:pStyle w:val="2"/>
        <w:spacing w:line="255" w:lineRule="auto"/>
      </w:pPr>
    </w:p>
    <w:p w14:paraId="7E496C8A">
      <w:pPr>
        <w:pStyle w:val="2"/>
        <w:spacing w:line="255" w:lineRule="auto"/>
      </w:pPr>
    </w:p>
    <w:p w14:paraId="37FC8594">
      <w:pPr>
        <w:pStyle w:val="2"/>
        <w:spacing w:line="255" w:lineRule="auto"/>
      </w:pPr>
    </w:p>
    <w:p w14:paraId="69D06669">
      <w:pPr>
        <w:pStyle w:val="2"/>
        <w:spacing w:line="255" w:lineRule="auto"/>
      </w:pPr>
    </w:p>
    <w:p w14:paraId="0378EC1C">
      <w:pPr>
        <w:pStyle w:val="2"/>
        <w:spacing w:line="255" w:lineRule="auto"/>
      </w:pPr>
    </w:p>
    <w:p w14:paraId="15F9D656">
      <w:pPr>
        <w:pStyle w:val="2"/>
        <w:spacing w:line="255" w:lineRule="auto"/>
      </w:pPr>
    </w:p>
    <w:p w14:paraId="32DCB2FF">
      <w:pPr>
        <w:pStyle w:val="2"/>
        <w:spacing w:line="255" w:lineRule="auto"/>
      </w:pPr>
    </w:p>
    <w:p w14:paraId="7D986CC1">
      <w:pPr>
        <w:pStyle w:val="2"/>
        <w:spacing w:line="256" w:lineRule="auto"/>
      </w:pPr>
    </w:p>
    <w:p w14:paraId="0AC2BA21">
      <w:pPr>
        <w:pStyle w:val="2"/>
        <w:spacing w:line="256" w:lineRule="auto"/>
      </w:pPr>
    </w:p>
    <w:p w14:paraId="203BEB3A">
      <w:pPr>
        <w:pStyle w:val="2"/>
        <w:spacing w:line="256" w:lineRule="auto"/>
      </w:pPr>
    </w:p>
    <w:p w14:paraId="497B1B43">
      <w:pPr>
        <w:pStyle w:val="2"/>
        <w:spacing w:line="256" w:lineRule="auto"/>
      </w:pPr>
    </w:p>
    <w:p w14:paraId="0B73D7ED">
      <w:pPr>
        <w:spacing w:before="78" w:line="220" w:lineRule="auto"/>
        <w:ind w:left="5934"/>
        <w:rPr>
          <w:rFonts w:ascii="宋体" w:hAnsi="宋体" w:eastAsia="宋体" w:cs="宋体"/>
          <w:sz w:val="24"/>
          <w:szCs w:val="24"/>
        </w:rPr>
      </w:pPr>
      <w:r>
        <w:drawing>
          <wp:anchor distT="0" distB="0" distL="0" distR="0" simplePos="0" relativeHeight="251676672" behindDoc="1" locked="0" layoutInCell="1" allowOverlap="1">
            <wp:simplePos x="0" y="0"/>
            <wp:positionH relativeFrom="column">
              <wp:posOffset>0</wp:posOffset>
            </wp:positionH>
            <wp:positionV relativeFrom="paragraph">
              <wp:posOffset>-2129790</wp:posOffset>
            </wp:positionV>
            <wp:extent cx="5782310" cy="822071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126"/>
                    <a:stretch>
                      <a:fillRect/>
                    </a:stretch>
                  </pic:blipFill>
                  <pic:spPr>
                    <a:xfrm>
                      <a:off x="0" y="0"/>
                      <a:ext cx="5782056" cy="8220456"/>
                    </a:xfrm>
                    <a:prstGeom prst="rect">
                      <a:avLst/>
                    </a:prstGeom>
                  </pic:spPr>
                </pic:pic>
              </a:graphicData>
            </a:graphic>
          </wp:anchor>
        </w:drawing>
      </w:r>
      <w:r>
        <w:rPr>
          <w:rFonts w:ascii="宋体" w:hAnsi="宋体" w:eastAsia="宋体" w:cs="宋体"/>
          <w:color w:val="FFFFFF"/>
          <w:spacing w:val="-4"/>
          <w:sz w:val="24"/>
          <w:szCs w:val="24"/>
        </w:rPr>
        <w:t>项目厂址</w:t>
      </w:r>
    </w:p>
    <w:p w14:paraId="249F7F94">
      <w:pPr>
        <w:spacing w:line="220" w:lineRule="auto"/>
        <w:rPr>
          <w:rFonts w:ascii="宋体" w:hAnsi="宋体" w:eastAsia="宋体" w:cs="宋体"/>
          <w:sz w:val="24"/>
          <w:szCs w:val="24"/>
        </w:rPr>
        <w:sectPr>
          <w:footerReference r:id="rId103" w:type="default"/>
          <w:pgSz w:w="11906" w:h="16839"/>
          <w:pgMar w:top="1095" w:right="1360" w:bottom="1263" w:left="1440" w:header="0" w:footer="1097" w:gutter="0"/>
          <w:cols w:space="720" w:num="1"/>
        </w:sectPr>
      </w:pPr>
    </w:p>
    <w:p w14:paraId="41BBA6A8">
      <w:pPr>
        <w:pStyle w:val="2"/>
        <w:spacing w:line="386" w:lineRule="auto"/>
      </w:pPr>
    </w:p>
    <w:p w14:paraId="486113B9">
      <w:pPr>
        <w:spacing w:before="78" w:line="219" w:lineRule="auto"/>
        <w:ind w:left="28"/>
        <w:outlineLvl w:val="1"/>
        <w:rPr>
          <w:rFonts w:ascii="宋体" w:hAnsi="宋体" w:eastAsia="宋体" w:cs="宋体"/>
          <w:sz w:val="24"/>
          <w:szCs w:val="24"/>
        </w:rPr>
      </w:pPr>
      <w:r>
        <w:rPr>
          <w:rFonts w:ascii="宋体" w:hAnsi="宋体" w:eastAsia="宋体" w:cs="宋体"/>
          <w:b/>
          <w:bCs/>
          <w:spacing w:val="-5"/>
          <w:sz w:val="24"/>
          <w:szCs w:val="24"/>
        </w:rPr>
        <w:t>附图</w:t>
      </w:r>
      <w:r>
        <w:rPr>
          <w:rFonts w:ascii="宋体" w:hAnsi="宋体" w:eastAsia="宋体" w:cs="宋体"/>
          <w:spacing w:val="-45"/>
          <w:sz w:val="24"/>
          <w:szCs w:val="24"/>
        </w:rPr>
        <w:t xml:space="preserve"> </w:t>
      </w:r>
      <w:r>
        <w:rPr>
          <w:rFonts w:ascii="宋体" w:hAnsi="宋体" w:eastAsia="宋体" w:cs="宋体"/>
          <w:b/>
          <w:bCs/>
          <w:spacing w:val="-5"/>
          <w:sz w:val="24"/>
          <w:szCs w:val="24"/>
        </w:rPr>
        <w:t>2：项目周边环境示意图</w:t>
      </w:r>
    </w:p>
    <w:p w14:paraId="670A117C">
      <w:pPr>
        <w:pStyle w:val="2"/>
        <w:spacing w:line="292" w:lineRule="auto"/>
      </w:pPr>
    </w:p>
    <w:p w14:paraId="0D381CDB">
      <w:pPr>
        <w:pStyle w:val="2"/>
        <w:spacing w:line="292" w:lineRule="auto"/>
      </w:pPr>
    </w:p>
    <w:p w14:paraId="4F643A4A">
      <w:pPr>
        <w:spacing w:line="7421" w:lineRule="exact"/>
      </w:pPr>
      <w:r>
        <w:rPr>
          <w:position w:val="-148"/>
        </w:rPr>
        <w:drawing>
          <wp:inline distT="0" distB="0" distL="0" distR="0">
            <wp:extent cx="9285605" cy="47117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127"/>
                    <a:stretch>
                      <a:fillRect/>
                    </a:stretch>
                  </pic:blipFill>
                  <pic:spPr>
                    <a:xfrm>
                      <a:off x="0" y="0"/>
                      <a:ext cx="9285731" cy="4712208"/>
                    </a:xfrm>
                    <a:prstGeom prst="rect">
                      <a:avLst/>
                    </a:prstGeom>
                  </pic:spPr>
                </pic:pic>
              </a:graphicData>
            </a:graphic>
          </wp:inline>
        </w:drawing>
      </w:r>
    </w:p>
    <w:p w14:paraId="4BD61889">
      <w:pPr>
        <w:spacing w:line="7421" w:lineRule="exact"/>
        <w:sectPr>
          <w:footerReference r:id="rId104" w:type="default"/>
          <w:pgSz w:w="16783" w:h="11850"/>
          <w:pgMar w:top="1007" w:right="1079" w:bottom="1262" w:left="1080" w:header="0" w:footer="1096" w:gutter="0"/>
          <w:cols w:space="720" w:num="1"/>
        </w:sectPr>
      </w:pPr>
    </w:p>
    <w:p w14:paraId="5CCF8F67">
      <w:pPr>
        <w:spacing w:before="304" w:line="219" w:lineRule="auto"/>
        <w:outlineLvl w:val="0"/>
        <w:rPr>
          <w:rFonts w:ascii="宋体" w:hAnsi="宋体" w:eastAsia="宋体" w:cs="宋体"/>
          <w:sz w:val="24"/>
          <w:szCs w:val="24"/>
        </w:rPr>
      </w:pPr>
      <w:r>
        <w:rPr>
          <w:rFonts w:ascii="宋体" w:hAnsi="宋体" w:eastAsia="宋体" w:cs="宋体"/>
          <w:b/>
          <w:bCs/>
          <w:spacing w:val="-4"/>
          <w:sz w:val="24"/>
          <w:szCs w:val="24"/>
        </w:rPr>
        <w:t>附图</w:t>
      </w:r>
      <w:r>
        <w:rPr>
          <w:rFonts w:ascii="宋体" w:hAnsi="宋体" w:eastAsia="宋体" w:cs="宋体"/>
          <w:spacing w:val="-44"/>
          <w:sz w:val="24"/>
          <w:szCs w:val="24"/>
        </w:rPr>
        <w:t xml:space="preserve"> </w:t>
      </w:r>
      <w:r>
        <w:rPr>
          <w:rFonts w:ascii="Calibri" w:hAnsi="Calibri" w:eastAsia="Calibri" w:cs="Calibri"/>
          <w:b/>
          <w:bCs/>
          <w:spacing w:val="-4"/>
          <w:sz w:val="24"/>
          <w:szCs w:val="24"/>
        </w:rPr>
        <w:t>3</w:t>
      </w:r>
      <w:r>
        <w:rPr>
          <w:rFonts w:ascii="Calibri" w:hAnsi="Calibri" w:eastAsia="Calibri" w:cs="Calibri"/>
          <w:b/>
          <w:bCs/>
          <w:spacing w:val="-23"/>
          <w:sz w:val="24"/>
          <w:szCs w:val="24"/>
        </w:rPr>
        <w:t xml:space="preserve"> </w:t>
      </w:r>
      <w:r>
        <w:rPr>
          <w:rFonts w:ascii="宋体" w:hAnsi="宋体" w:eastAsia="宋体" w:cs="宋体"/>
          <w:b/>
          <w:bCs/>
          <w:spacing w:val="-4"/>
          <w:sz w:val="24"/>
          <w:szCs w:val="24"/>
        </w:rPr>
        <w:t>：项目与大庆市生态红线图（</w:t>
      </w:r>
      <w:r>
        <w:rPr>
          <w:rFonts w:ascii="Times New Roman" w:hAnsi="Times New Roman" w:eastAsia="Times New Roman" w:cs="Times New Roman"/>
          <w:b/>
          <w:bCs/>
          <w:spacing w:val="-4"/>
          <w:sz w:val="24"/>
          <w:szCs w:val="24"/>
        </w:rPr>
        <w:t xml:space="preserve">2023 </w:t>
      </w:r>
      <w:r>
        <w:rPr>
          <w:rFonts w:ascii="宋体" w:hAnsi="宋体" w:eastAsia="宋体" w:cs="宋体"/>
          <w:b/>
          <w:bCs/>
          <w:spacing w:val="-4"/>
          <w:sz w:val="24"/>
          <w:szCs w:val="24"/>
        </w:rPr>
        <w:t>年）位置关系图</w:t>
      </w:r>
    </w:p>
    <w:p w14:paraId="56720632">
      <w:pPr>
        <w:pStyle w:val="2"/>
        <w:spacing w:line="300" w:lineRule="auto"/>
      </w:pPr>
    </w:p>
    <w:p w14:paraId="661A39C2">
      <w:pPr>
        <w:pStyle w:val="2"/>
        <w:spacing w:line="9946" w:lineRule="exact"/>
        <w:ind w:firstLine="391"/>
      </w:pPr>
      <w:r>
        <w:rPr>
          <w:position w:val="-198"/>
        </w:rPr>
        <w:pict>
          <v:group id="_x0000_s1038" o:spid="_x0000_s1038" o:spt="203" style="height:497.3pt;width:423.5pt;" coordsize="8470,9945">
            <o:lock v:ext="edit"/>
            <v:shape id="_x0000_s1039" o:spid="_x0000_s1039" o:spt="75" type="#_x0000_t75" style="position:absolute;left:0;top:0;height:9945;width:8470;" filled="f" stroked="f" coordsize="21600,21600">
              <v:path/>
              <v:fill on="f" focussize="0,0"/>
              <v:stroke on="f"/>
              <v:imagedata r:id="rId128" o:title=""/>
              <o:lock v:ext="edit" aspectratio="t"/>
            </v:shape>
            <v:shape id="_x0000_s1040" o:spid="_x0000_s1040" o:spt="202" type="#_x0000_t202" style="position:absolute;left:-20;top:-20;height:9985;width:8510;" filled="f" stroked="f" coordsize="21600,21600">
              <v:path/>
              <v:fill on="f" focussize="0,0"/>
              <v:stroke on="f"/>
              <v:imagedata o:title=""/>
              <o:lock v:ext="edit" aspectratio="f"/>
              <v:textbox inset="0mm,0mm,0mm,0mm">
                <w:txbxContent>
                  <w:p w14:paraId="22820E49">
                    <w:pPr>
                      <w:spacing w:line="252" w:lineRule="auto"/>
                      <w:rPr>
                        <w:rFonts w:ascii="Arial"/>
                        <w:sz w:val="21"/>
                      </w:rPr>
                    </w:pPr>
                  </w:p>
                  <w:p w14:paraId="2F106EA1">
                    <w:pPr>
                      <w:spacing w:line="252" w:lineRule="auto"/>
                      <w:rPr>
                        <w:rFonts w:ascii="Arial"/>
                        <w:sz w:val="21"/>
                      </w:rPr>
                    </w:pPr>
                  </w:p>
                  <w:p w14:paraId="49F336C0">
                    <w:pPr>
                      <w:spacing w:line="252" w:lineRule="auto"/>
                      <w:rPr>
                        <w:rFonts w:ascii="Arial"/>
                        <w:sz w:val="21"/>
                      </w:rPr>
                    </w:pPr>
                  </w:p>
                  <w:p w14:paraId="7ED34A28">
                    <w:pPr>
                      <w:spacing w:line="252" w:lineRule="auto"/>
                      <w:rPr>
                        <w:rFonts w:ascii="Arial"/>
                        <w:sz w:val="21"/>
                      </w:rPr>
                    </w:pPr>
                  </w:p>
                  <w:p w14:paraId="249A21D9">
                    <w:pPr>
                      <w:spacing w:line="252" w:lineRule="auto"/>
                      <w:rPr>
                        <w:rFonts w:ascii="Arial"/>
                        <w:sz w:val="21"/>
                      </w:rPr>
                    </w:pPr>
                  </w:p>
                  <w:p w14:paraId="61BAB3F0">
                    <w:pPr>
                      <w:spacing w:line="253" w:lineRule="auto"/>
                      <w:rPr>
                        <w:rFonts w:ascii="Arial"/>
                        <w:sz w:val="21"/>
                      </w:rPr>
                    </w:pPr>
                  </w:p>
                  <w:p w14:paraId="54F63D97">
                    <w:pPr>
                      <w:spacing w:line="253" w:lineRule="auto"/>
                      <w:rPr>
                        <w:rFonts w:ascii="Arial"/>
                        <w:sz w:val="21"/>
                      </w:rPr>
                    </w:pPr>
                  </w:p>
                  <w:p w14:paraId="04F192B4">
                    <w:pPr>
                      <w:spacing w:before="78" w:line="220" w:lineRule="auto"/>
                      <w:ind w:left="5589"/>
                      <w:rPr>
                        <w:rFonts w:ascii="宋体" w:hAnsi="宋体" w:eastAsia="宋体" w:cs="宋体"/>
                        <w:sz w:val="24"/>
                        <w:szCs w:val="24"/>
                      </w:rPr>
                    </w:pPr>
                    <w:r>
                      <w:rPr>
                        <w:rFonts w:ascii="宋体" w:hAnsi="宋体" w:eastAsia="宋体" w:cs="宋体"/>
                        <w:spacing w:val="-4"/>
                        <w:sz w:val="24"/>
                        <w:szCs w:val="24"/>
                      </w:rPr>
                      <w:t>项目厂址</w:t>
                    </w:r>
                  </w:p>
                </w:txbxContent>
              </v:textbox>
            </v:shape>
            <w10:wrap type="none"/>
            <w10:anchorlock/>
          </v:group>
        </w:pict>
      </w:r>
    </w:p>
    <w:p w14:paraId="35771C47">
      <w:pPr>
        <w:spacing w:line="9946" w:lineRule="exact"/>
        <w:sectPr>
          <w:footerReference r:id="rId105" w:type="default"/>
          <w:pgSz w:w="11906" w:h="16839"/>
          <w:pgMar w:top="1431" w:right="1485" w:bottom="1121" w:left="1559" w:header="0" w:footer="956" w:gutter="0"/>
          <w:cols w:space="720" w:num="1"/>
        </w:sectPr>
      </w:pPr>
    </w:p>
    <w:p w14:paraId="48B3D591">
      <w:pPr>
        <w:spacing w:before="47" w:line="219" w:lineRule="auto"/>
        <w:rPr>
          <w:rFonts w:ascii="宋体" w:hAnsi="宋体" w:eastAsia="宋体" w:cs="宋体"/>
          <w:sz w:val="24"/>
          <w:szCs w:val="24"/>
        </w:rPr>
      </w:pPr>
      <w:r>
        <w:rPr>
          <w:rFonts w:ascii="宋体" w:hAnsi="宋体" w:eastAsia="宋体" w:cs="宋体"/>
          <w:b/>
          <w:bCs/>
          <w:spacing w:val="-3"/>
          <w:sz w:val="24"/>
          <w:szCs w:val="24"/>
        </w:rPr>
        <w:t>附图</w:t>
      </w:r>
      <w:r>
        <w:rPr>
          <w:rFonts w:ascii="Calibri" w:hAnsi="Calibri" w:eastAsia="Calibri" w:cs="Calibri"/>
          <w:b/>
          <w:bCs/>
          <w:spacing w:val="-3"/>
          <w:sz w:val="24"/>
          <w:szCs w:val="24"/>
        </w:rPr>
        <w:t>4</w:t>
      </w:r>
      <w:r>
        <w:rPr>
          <w:rFonts w:ascii="宋体" w:hAnsi="宋体" w:eastAsia="宋体" w:cs="宋体"/>
          <w:b/>
          <w:bCs/>
          <w:spacing w:val="-3"/>
          <w:sz w:val="24"/>
          <w:szCs w:val="24"/>
        </w:rPr>
        <w:t>：项目与大庆市环境管控单元图（调整后）的相对位置图</w:t>
      </w:r>
    </w:p>
    <w:p w14:paraId="012E5B9D">
      <w:pPr>
        <w:pStyle w:val="2"/>
        <w:spacing w:line="262" w:lineRule="auto"/>
      </w:pPr>
    </w:p>
    <w:p w14:paraId="7D2C3E24">
      <w:pPr>
        <w:pStyle w:val="2"/>
        <w:spacing w:line="262" w:lineRule="auto"/>
      </w:pPr>
    </w:p>
    <w:p w14:paraId="2BEE529B">
      <w:pPr>
        <w:pStyle w:val="2"/>
        <w:spacing w:line="262" w:lineRule="auto"/>
      </w:pPr>
    </w:p>
    <w:p w14:paraId="08741E54">
      <w:pPr>
        <w:pStyle w:val="2"/>
        <w:spacing w:line="262" w:lineRule="auto"/>
      </w:pPr>
    </w:p>
    <w:p w14:paraId="4AF94702">
      <w:pPr>
        <w:pStyle w:val="2"/>
        <w:spacing w:line="262" w:lineRule="auto"/>
      </w:pPr>
    </w:p>
    <w:p w14:paraId="1717C508">
      <w:pPr>
        <w:pStyle w:val="2"/>
        <w:spacing w:line="263" w:lineRule="auto"/>
      </w:pPr>
    </w:p>
    <w:p w14:paraId="0912CF8A">
      <w:pPr>
        <w:pStyle w:val="2"/>
        <w:spacing w:line="263" w:lineRule="auto"/>
      </w:pPr>
    </w:p>
    <w:p w14:paraId="5C0CB8D9">
      <w:pPr>
        <w:pStyle w:val="2"/>
        <w:spacing w:line="263" w:lineRule="auto"/>
      </w:pPr>
    </w:p>
    <w:p w14:paraId="5CB50322">
      <w:pPr>
        <w:spacing w:before="78" w:line="220" w:lineRule="auto"/>
        <w:ind w:left="6352"/>
        <w:rPr>
          <w:rFonts w:ascii="宋体" w:hAnsi="宋体" w:eastAsia="宋体" w:cs="宋体"/>
          <w:sz w:val="24"/>
          <w:szCs w:val="24"/>
        </w:rPr>
      </w:pPr>
      <w:r>
        <w:drawing>
          <wp:anchor distT="0" distB="0" distL="0" distR="0" simplePos="0" relativeHeight="251677696" behindDoc="1" locked="0" layoutInCell="1" allowOverlap="1">
            <wp:simplePos x="0" y="0"/>
            <wp:positionH relativeFrom="column">
              <wp:posOffset>266700</wp:posOffset>
            </wp:positionH>
            <wp:positionV relativeFrom="paragraph">
              <wp:posOffset>-1058545</wp:posOffset>
            </wp:positionV>
            <wp:extent cx="5615940" cy="7936865"/>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129"/>
                    <a:stretch>
                      <a:fillRect/>
                    </a:stretch>
                  </pic:blipFill>
                  <pic:spPr>
                    <a:xfrm>
                      <a:off x="0" y="0"/>
                      <a:ext cx="5615940" cy="7936992"/>
                    </a:xfrm>
                    <a:prstGeom prst="rect">
                      <a:avLst/>
                    </a:prstGeom>
                  </pic:spPr>
                </pic:pic>
              </a:graphicData>
            </a:graphic>
          </wp:anchor>
        </w:drawing>
      </w:r>
      <w:r>
        <w:rPr>
          <w:rFonts w:ascii="宋体" w:hAnsi="宋体" w:eastAsia="宋体" w:cs="宋体"/>
          <w:color w:val="FF0000"/>
          <w:spacing w:val="-4"/>
          <w:sz w:val="24"/>
          <w:szCs w:val="24"/>
        </w:rPr>
        <w:t>项目厂址</w:t>
      </w:r>
    </w:p>
    <w:p w14:paraId="27962655">
      <w:pPr>
        <w:spacing w:line="220" w:lineRule="auto"/>
        <w:rPr>
          <w:rFonts w:ascii="宋体" w:hAnsi="宋体" w:eastAsia="宋体" w:cs="宋体"/>
          <w:sz w:val="24"/>
          <w:szCs w:val="24"/>
        </w:rPr>
        <w:sectPr>
          <w:footerReference r:id="rId106" w:type="default"/>
          <w:pgSz w:w="11906" w:h="16839"/>
          <w:pgMar w:top="1429" w:right="1533" w:bottom="1263" w:left="1108" w:header="0" w:footer="1097" w:gutter="0"/>
          <w:cols w:space="720" w:num="1"/>
        </w:sectPr>
      </w:pPr>
    </w:p>
    <w:p w14:paraId="32008BF2">
      <w:pPr>
        <w:spacing w:before="201" w:line="219" w:lineRule="auto"/>
        <w:outlineLvl w:val="0"/>
        <w:rPr>
          <w:rFonts w:ascii="宋体" w:hAnsi="宋体" w:eastAsia="宋体" w:cs="宋体"/>
          <w:sz w:val="24"/>
          <w:szCs w:val="24"/>
        </w:rPr>
      </w:pPr>
      <w:r>
        <w:rPr>
          <w:rFonts w:ascii="宋体" w:hAnsi="宋体" w:eastAsia="宋体" w:cs="宋体"/>
          <w:b/>
          <w:bCs/>
          <w:spacing w:val="-5"/>
          <w:sz w:val="24"/>
          <w:szCs w:val="24"/>
        </w:rPr>
        <w:t>附图</w:t>
      </w:r>
      <w:r>
        <w:rPr>
          <w:rFonts w:ascii="宋体" w:hAnsi="宋体" w:eastAsia="宋体" w:cs="宋体"/>
          <w:spacing w:val="-41"/>
          <w:sz w:val="24"/>
          <w:szCs w:val="24"/>
        </w:rPr>
        <w:t xml:space="preserve"> </w:t>
      </w:r>
      <w:r>
        <w:rPr>
          <w:rFonts w:ascii="Calibri" w:hAnsi="Calibri" w:eastAsia="Calibri" w:cs="Calibri"/>
          <w:b/>
          <w:bCs/>
          <w:spacing w:val="-5"/>
          <w:sz w:val="24"/>
          <w:szCs w:val="24"/>
        </w:rPr>
        <w:t>5</w:t>
      </w:r>
      <w:r>
        <w:rPr>
          <w:rFonts w:ascii="Calibri" w:hAnsi="Calibri" w:eastAsia="Calibri" w:cs="Calibri"/>
          <w:b/>
          <w:bCs/>
          <w:spacing w:val="-23"/>
          <w:sz w:val="24"/>
          <w:szCs w:val="24"/>
        </w:rPr>
        <w:t xml:space="preserve"> </w:t>
      </w:r>
      <w:r>
        <w:rPr>
          <w:rFonts w:ascii="宋体" w:hAnsi="宋体" w:eastAsia="宋体" w:cs="宋体"/>
          <w:b/>
          <w:bCs/>
          <w:spacing w:val="-5"/>
          <w:sz w:val="24"/>
          <w:szCs w:val="24"/>
        </w:rPr>
        <w:t>：本工程与水土流失重点防治分区位置关系图</w:t>
      </w:r>
    </w:p>
    <w:p w14:paraId="134F410E">
      <w:pPr>
        <w:pStyle w:val="2"/>
        <w:spacing w:line="251" w:lineRule="auto"/>
      </w:pPr>
    </w:p>
    <w:p w14:paraId="071F7612">
      <w:pPr>
        <w:pStyle w:val="2"/>
        <w:spacing w:line="251" w:lineRule="auto"/>
      </w:pPr>
    </w:p>
    <w:p w14:paraId="31DBBD24">
      <w:pPr>
        <w:pStyle w:val="2"/>
        <w:spacing w:line="251" w:lineRule="auto"/>
      </w:pPr>
    </w:p>
    <w:p w14:paraId="781809B5">
      <w:pPr>
        <w:pStyle w:val="2"/>
        <w:spacing w:line="251" w:lineRule="auto"/>
      </w:pPr>
    </w:p>
    <w:p w14:paraId="1D2D7A4F">
      <w:pPr>
        <w:pStyle w:val="2"/>
        <w:spacing w:line="251" w:lineRule="auto"/>
      </w:pPr>
    </w:p>
    <w:p w14:paraId="044FD312">
      <w:pPr>
        <w:pStyle w:val="2"/>
        <w:spacing w:line="251" w:lineRule="auto"/>
      </w:pPr>
    </w:p>
    <w:p w14:paraId="6F3D61BB">
      <w:pPr>
        <w:pStyle w:val="2"/>
        <w:spacing w:line="252" w:lineRule="auto"/>
      </w:pPr>
    </w:p>
    <w:p w14:paraId="31C4DC75">
      <w:pPr>
        <w:pStyle w:val="2"/>
        <w:spacing w:line="252" w:lineRule="auto"/>
      </w:pPr>
    </w:p>
    <w:p w14:paraId="6225F248">
      <w:pPr>
        <w:pStyle w:val="2"/>
        <w:spacing w:line="252" w:lineRule="auto"/>
      </w:pPr>
    </w:p>
    <w:p w14:paraId="6702E8B6">
      <w:pPr>
        <w:pStyle w:val="2"/>
        <w:spacing w:line="252" w:lineRule="auto"/>
      </w:pPr>
    </w:p>
    <w:p w14:paraId="1EBAE895">
      <w:pPr>
        <w:spacing w:before="78" w:line="220" w:lineRule="auto"/>
        <w:ind w:left="4501"/>
        <w:rPr>
          <w:rFonts w:ascii="宋体" w:hAnsi="宋体" w:eastAsia="宋体" w:cs="宋体"/>
          <w:sz w:val="24"/>
          <w:szCs w:val="24"/>
        </w:rPr>
      </w:pPr>
      <w:r>
        <w:drawing>
          <wp:anchor distT="0" distB="0" distL="0" distR="0" simplePos="0" relativeHeight="251678720" behindDoc="1" locked="0" layoutInCell="1" allowOverlap="1">
            <wp:simplePos x="0" y="0"/>
            <wp:positionH relativeFrom="column">
              <wp:posOffset>276225</wp:posOffset>
            </wp:positionH>
            <wp:positionV relativeFrom="paragraph">
              <wp:posOffset>-1416685</wp:posOffset>
            </wp:positionV>
            <wp:extent cx="5593080" cy="7722235"/>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30"/>
                    <a:stretch>
                      <a:fillRect/>
                    </a:stretch>
                  </pic:blipFill>
                  <pic:spPr>
                    <a:xfrm>
                      <a:off x="0" y="0"/>
                      <a:ext cx="5593079" cy="7722107"/>
                    </a:xfrm>
                    <a:prstGeom prst="rect">
                      <a:avLst/>
                    </a:prstGeom>
                  </pic:spPr>
                </pic:pic>
              </a:graphicData>
            </a:graphic>
          </wp:anchor>
        </w:drawing>
      </w:r>
      <w:r>
        <w:rPr>
          <w:rFonts w:ascii="宋体" w:hAnsi="宋体" w:eastAsia="宋体" w:cs="宋体"/>
          <w:color w:val="FF0000"/>
          <w:spacing w:val="-4"/>
          <w:sz w:val="24"/>
          <w:szCs w:val="24"/>
        </w:rPr>
        <w:t>项目厂址</w:t>
      </w:r>
    </w:p>
    <w:p w14:paraId="36BBCE65">
      <w:pPr>
        <w:pStyle w:val="2"/>
        <w:spacing w:line="244" w:lineRule="auto"/>
      </w:pPr>
    </w:p>
    <w:p w14:paraId="35A7421D">
      <w:pPr>
        <w:pStyle w:val="2"/>
        <w:spacing w:line="244" w:lineRule="auto"/>
      </w:pPr>
    </w:p>
    <w:p w14:paraId="0B379346">
      <w:pPr>
        <w:pStyle w:val="2"/>
        <w:spacing w:line="244" w:lineRule="auto"/>
      </w:pPr>
    </w:p>
    <w:p w14:paraId="252A5538">
      <w:pPr>
        <w:pStyle w:val="2"/>
        <w:spacing w:line="244" w:lineRule="auto"/>
      </w:pPr>
    </w:p>
    <w:p w14:paraId="6B537D2D">
      <w:pPr>
        <w:pStyle w:val="2"/>
        <w:spacing w:line="244" w:lineRule="auto"/>
      </w:pPr>
    </w:p>
    <w:p w14:paraId="4BF43DD9">
      <w:pPr>
        <w:pStyle w:val="2"/>
        <w:spacing w:line="244" w:lineRule="auto"/>
      </w:pPr>
    </w:p>
    <w:p w14:paraId="49F252BA">
      <w:pPr>
        <w:pStyle w:val="2"/>
        <w:spacing w:line="244" w:lineRule="auto"/>
      </w:pPr>
    </w:p>
    <w:p w14:paraId="12EA9C56">
      <w:pPr>
        <w:pStyle w:val="2"/>
        <w:spacing w:line="244" w:lineRule="auto"/>
      </w:pPr>
    </w:p>
    <w:p w14:paraId="01202C7A">
      <w:pPr>
        <w:pStyle w:val="2"/>
        <w:spacing w:line="244" w:lineRule="auto"/>
      </w:pPr>
    </w:p>
    <w:p w14:paraId="1BAC6353">
      <w:pPr>
        <w:pStyle w:val="2"/>
        <w:spacing w:line="244" w:lineRule="auto"/>
      </w:pPr>
    </w:p>
    <w:p w14:paraId="2C29F8D4">
      <w:pPr>
        <w:pStyle w:val="2"/>
        <w:spacing w:line="244" w:lineRule="auto"/>
      </w:pPr>
    </w:p>
    <w:p w14:paraId="1981798F">
      <w:pPr>
        <w:pStyle w:val="2"/>
        <w:spacing w:line="244" w:lineRule="auto"/>
      </w:pPr>
    </w:p>
    <w:p w14:paraId="4C37D38F">
      <w:pPr>
        <w:pStyle w:val="2"/>
        <w:spacing w:line="244" w:lineRule="auto"/>
      </w:pPr>
    </w:p>
    <w:p w14:paraId="323A8368">
      <w:pPr>
        <w:pStyle w:val="2"/>
        <w:spacing w:line="244" w:lineRule="auto"/>
      </w:pPr>
    </w:p>
    <w:p w14:paraId="3670801A">
      <w:pPr>
        <w:pStyle w:val="2"/>
        <w:spacing w:line="244" w:lineRule="auto"/>
      </w:pPr>
    </w:p>
    <w:p w14:paraId="7FC3A922">
      <w:pPr>
        <w:pStyle w:val="2"/>
        <w:spacing w:line="244" w:lineRule="auto"/>
      </w:pPr>
    </w:p>
    <w:p w14:paraId="02203C35">
      <w:pPr>
        <w:pStyle w:val="2"/>
        <w:spacing w:line="244" w:lineRule="auto"/>
      </w:pPr>
    </w:p>
    <w:p w14:paraId="536410CE">
      <w:pPr>
        <w:pStyle w:val="2"/>
        <w:spacing w:line="244" w:lineRule="auto"/>
      </w:pPr>
    </w:p>
    <w:p w14:paraId="1D9277DC">
      <w:pPr>
        <w:pStyle w:val="2"/>
        <w:spacing w:line="244" w:lineRule="auto"/>
      </w:pPr>
    </w:p>
    <w:p w14:paraId="01BABAF9">
      <w:pPr>
        <w:pStyle w:val="2"/>
        <w:spacing w:line="244" w:lineRule="auto"/>
      </w:pPr>
    </w:p>
    <w:p w14:paraId="16C348AA">
      <w:pPr>
        <w:pStyle w:val="2"/>
        <w:spacing w:line="244" w:lineRule="auto"/>
      </w:pPr>
    </w:p>
    <w:p w14:paraId="231CF1EA">
      <w:pPr>
        <w:pStyle w:val="2"/>
        <w:spacing w:line="244" w:lineRule="auto"/>
      </w:pPr>
    </w:p>
    <w:p w14:paraId="559DD840">
      <w:pPr>
        <w:pStyle w:val="2"/>
        <w:spacing w:line="244" w:lineRule="auto"/>
      </w:pPr>
    </w:p>
    <w:p w14:paraId="1B76B281">
      <w:pPr>
        <w:pStyle w:val="2"/>
        <w:spacing w:line="244" w:lineRule="auto"/>
      </w:pPr>
    </w:p>
    <w:p w14:paraId="5BFC45A1">
      <w:pPr>
        <w:pStyle w:val="2"/>
        <w:spacing w:line="244" w:lineRule="auto"/>
      </w:pPr>
    </w:p>
    <w:p w14:paraId="7F9BB4FE">
      <w:pPr>
        <w:pStyle w:val="2"/>
        <w:spacing w:line="244" w:lineRule="auto"/>
      </w:pPr>
    </w:p>
    <w:p w14:paraId="19673AFB">
      <w:pPr>
        <w:pStyle w:val="2"/>
        <w:spacing w:line="245" w:lineRule="auto"/>
      </w:pPr>
    </w:p>
    <w:p w14:paraId="5116C8AC">
      <w:pPr>
        <w:pStyle w:val="2"/>
        <w:spacing w:line="245" w:lineRule="auto"/>
      </w:pPr>
    </w:p>
    <w:p w14:paraId="5FD20FA3">
      <w:pPr>
        <w:spacing w:line="135" w:lineRule="exact"/>
        <w:ind w:firstLine="4478"/>
      </w:pPr>
      <w:r>
        <w:rPr>
          <w:position w:val="-2"/>
        </w:rPr>
        <w:drawing>
          <wp:inline distT="0" distB="0" distL="0" distR="0">
            <wp:extent cx="85725" cy="8572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131"/>
                    <a:stretch>
                      <a:fillRect/>
                    </a:stretch>
                  </pic:blipFill>
                  <pic:spPr>
                    <a:xfrm>
                      <a:off x="0" y="0"/>
                      <a:ext cx="85725" cy="85725"/>
                    </a:xfrm>
                    <a:prstGeom prst="rect">
                      <a:avLst/>
                    </a:prstGeom>
                  </pic:spPr>
                </pic:pic>
              </a:graphicData>
            </a:graphic>
          </wp:inline>
        </w:drawing>
      </w:r>
    </w:p>
    <w:p w14:paraId="064427A4">
      <w:pPr>
        <w:spacing w:line="135" w:lineRule="exact"/>
        <w:sectPr>
          <w:footerReference r:id="rId107" w:type="default"/>
          <w:pgSz w:w="11906" w:h="16839"/>
          <w:pgMar w:top="1431" w:right="1554" w:bottom="1263" w:left="1108" w:header="0" w:footer="1097" w:gutter="0"/>
          <w:cols w:space="720" w:num="1"/>
        </w:sectPr>
      </w:pPr>
    </w:p>
    <w:p w14:paraId="13C12E98">
      <w:pPr>
        <w:spacing w:before="47" w:line="219" w:lineRule="auto"/>
        <w:ind w:left="28"/>
        <w:rPr>
          <w:rFonts w:ascii="宋体" w:hAnsi="宋体" w:eastAsia="宋体" w:cs="宋体"/>
          <w:sz w:val="24"/>
          <w:szCs w:val="24"/>
        </w:rPr>
      </w:pPr>
      <w:r>
        <w:rPr>
          <w:rFonts w:ascii="宋体" w:hAnsi="宋体" w:eastAsia="宋体" w:cs="宋体"/>
          <w:b/>
          <w:bCs/>
          <w:spacing w:val="-5"/>
          <w:sz w:val="24"/>
          <w:szCs w:val="24"/>
        </w:rPr>
        <w:t>附图</w:t>
      </w:r>
      <w:r>
        <w:rPr>
          <w:rFonts w:ascii="Calibri" w:hAnsi="Calibri" w:eastAsia="Calibri" w:cs="Calibri"/>
          <w:b/>
          <w:bCs/>
          <w:spacing w:val="-5"/>
          <w:sz w:val="24"/>
          <w:szCs w:val="24"/>
        </w:rPr>
        <w:t>6</w:t>
      </w:r>
      <w:r>
        <w:rPr>
          <w:rFonts w:ascii="宋体" w:hAnsi="宋体" w:eastAsia="宋体" w:cs="宋体"/>
          <w:b/>
          <w:bCs/>
          <w:spacing w:val="-5"/>
          <w:sz w:val="24"/>
          <w:szCs w:val="24"/>
        </w:rPr>
        <w:t>：厂区平面布置图</w:t>
      </w:r>
    </w:p>
    <w:p w14:paraId="0ECC7FDE">
      <w:pPr>
        <w:pStyle w:val="2"/>
        <w:spacing w:line="251" w:lineRule="auto"/>
      </w:pPr>
    </w:p>
    <w:p w14:paraId="0C84BC8C">
      <w:pPr>
        <w:pStyle w:val="2"/>
        <w:spacing w:line="251" w:lineRule="auto"/>
      </w:pPr>
    </w:p>
    <w:p w14:paraId="67B04FBF">
      <w:pPr>
        <w:pStyle w:val="2"/>
        <w:spacing w:line="251" w:lineRule="auto"/>
      </w:pPr>
    </w:p>
    <w:p w14:paraId="07A9AD0A">
      <w:pPr>
        <w:spacing w:line="7193" w:lineRule="exact"/>
      </w:pPr>
      <w:r>
        <w:rPr>
          <w:position w:val="-143"/>
        </w:rPr>
        <w:drawing>
          <wp:inline distT="0" distB="0" distL="0" distR="0">
            <wp:extent cx="6188710" cy="4566920"/>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132"/>
                    <a:stretch>
                      <a:fillRect/>
                    </a:stretch>
                  </pic:blipFill>
                  <pic:spPr>
                    <a:xfrm>
                      <a:off x="0" y="0"/>
                      <a:ext cx="6188963" cy="4567428"/>
                    </a:xfrm>
                    <a:prstGeom prst="rect">
                      <a:avLst/>
                    </a:prstGeom>
                  </pic:spPr>
                </pic:pic>
              </a:graphicData>
            </a:graphic>
          </wp:inline>
        </w:drawing>
      </w:r>
    </w:p>
    <w:p w14:paraId="77AB7C4B">
      <w:pPr>
        <w:spacing w:line="7193" w:lineRule="exact"/>
        <w:sectPr>
          <w:footerReference r:id="rId108" w:type="default"/>
          <w:pgSz w:w="11906" w:h="16839"/>
          <w:pgMar w:top="1429" w:right="1079" w:bottom="1263" w:left="1080" w:header="0" w:footer="1097" w:gutter="0"/>
          <w:cols w:space="720" w:num="1"/>
        </w:sectPr>
      </w:pPr>
    </w:p>
    <w:p w14:paraId="2E0226AB">
      <w:pPr>
        <w:pStyle w:val="2"/>
        <w:spacing w:line="247" w:lineRule="auto"/>
      </w:pPr>
    </w:p>
    <w:p w14:paraId="1FDD6D69">
      <w:pPr>
        <w:pStyle w:val="2"/>
        <w:spacing w:line="247" w:lineRule="auto"/>
      </w:pPr>
    </w:p>
    <w:p w14:paraId="00EC7FC7">
      <w:pPr>
        <w:pStyle w:val="2"/>
        <w:spacing w:line="248" w:lineRule="auto"/>
      </w:pPr>
    </w:p>
    <w:p w14:paraId="6A1D33A1">
      <w:pPr>
        <w:spacing w:before="78" w:line="219" w:lineRule="auto"/>
        <w:ind w:left="28"/>
        <w:rPr>
          <w:rFonts w:ascii="宋体" w:hAnsi="宋体" w:eastAsia="宋体" w:cs="宋体"/>
          <w:sz w:val="24"/>
          <w:szCs w:val="24"/>
        </w:rPr>
      </w:pPr>
      <w:r>
        <w:rPr>
          <w:rFonts w:ascii="宋体" w:hAnsi="宋体" w:eastAsia="宋体" w:cs="宋体"/>
          <w:b/>
          <w:bCs/>
          <w:spacing w:val="-10"/>
          <w:sz w:val="24"/>
          <w:szCs w:val="24"/>
        </w:rPr>
        <w:t>附图</w:t>
      </w:r>
      <w:r>
        <w:rPr>
          <w:rFonts w:ascii="宋体" w:hAnsi="宋体" w:eastAsia="宋体" w:cs="宋体"/>
          <w:spacing w:val="-45"/>
          <w:sz w:val="24"/>
          <w:szCs w:val="24"/>
        </w:rPr>
        <w:t xml:space="preserve"> </w:t>
      </w:r>
      <w:r>
        <w:rPr>
          <w:rFonts w:ascii="Calibri" w:hAnsi="Calibri" w:eastAsia="Calibri" w:cs="Calibri"/>
          <w:b/>
          <w:bCs/>
          <w:spacing w:val="-10"/>
          <w:sz w:val="24"/>
          <w:szCs w:val="24"/>
        </w:rPr>
        <w:t>7</w:t>
      </w:r>
      <w:r>
        <w:rPr>
          <w:rFonts w:ascii="Calibri" w:hAnsi="Calibri" w:eastAsia="Calibri" w:cs="Calibri"/>
          <w:b/>
          <w:bCs/>
          <w:spacing w:val="-23"/>
          <w:sz w:val="24"/>
          <w:szCs w:val="24"/>
        </w:rPr>
        <w:t xml:space="preserve"> </w:t>
      </w:r>
      <w:r>
        <w:rPr>
          <w:rFonts w:ascii="宋体" w:hAnsi="宋体" w:eastAsia="宋体" w:cs="宋体"/>
          <w:b/>
          <w:bCs/>
          <w:spacing w:val="-10"/>
          <w:sz w:val="24"/>
          <w:szCs w:val="24"/>
        </w:rPr>
        <w:t>：分区防渗图</w:t>
      </w:r>
    </w:p>
    <w:p w14:paraId="778E8570">
      <w:pPr>
        <w:pStyle w:val="2"/>
        <w:spacing w:line="249" w:lineRule="auto"/>
      </w:pPr>
    </w:p>
    <w:p w14:paraId="6F0FC596">
      <w:pPr>
        <w:pStyle w:val="2"/>
        <w:spacing w:line="250" w:lineRule="auto"/>
      </w:pPr>
    </w:p>
    <w:p w14:paraId="13FE07D4">
      <w:pPr>
        <w:pStyle w:val="2"/>
        <w:spacing w:line="250" w:lineRule="auto"/>
      </w:pPr>
    </w:p>
    <w:p w14:paraId="25B6E03B">
      <w:pPr>
        <w:spacing w:line="7212" w:lineRule="exact"/>
      </w:pPr>
      <w:r>
        <w:rPr>
          <w:position w:val="-144"/>
        </w:rPr>
        <w:drawing>
          <wp:inline distT="0" distB="0" distL="0" distR="0">
            <wp:extent cx="6188710" cy="457898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133"/>
                    <a:stretch>
                      <a:fillRect/>
                    </a:stretch>
                  </pic:blipFill>
                  <pic:spPr>
                    <a:xfrm>
                      <a:off x="0" y="0"/>
                      <a:ext cx="6188963" cy="4579619"/>
                    </a:xfrm>
                    <a:prstGeom prst="rect">
                      <a:avLst/>
                    </a:prstGeom>
                  </pic:spPr>
                </pic:pic>
              </a:graphicData>
            </a:graphic>
          </wp:inline>
        </w:drawing>
      </w:r>
    </w:p>
    <w:p w14:paraId="59999F03">
      <w:pPr>
        <w:spacing w:line="7212" w:lineRule="exact"/>
        <w:sectPr>
          <w:footerReference r:id="rId109" w:type="default"/>
          <w:pgSz w:w="11906" w:h="16839"/>
          <w:pgMar w:top="1431" w:right="1079" w:bottom="1263" w:left="1080" w:header="0" w:footer="1097" w:gutter="0"/>
          <w:cols w:space="720" w:num="1"/>
        </w:sectPr>
      </w:pPr>
    </w:p>
    <w:p w14:paraId="047877F9">
      <w:pPr>
        <w:pStyle w:val="2"/>
        <w:spacing w:line="277" w:lineRule="auto"/>
      </w:pPr>
    </w:p>
    <w:p w14:paraId="36DE7A9F">
      <w:pPr>
        <w:spacing w:before="78" w:line="219" w:lineRule="auto"/>
        <w:ind w:left="28"/>
        <w:rPr>
          <w:rFonts w:ascii="宋体" w:hAnsi="宋体" w:eastAsia="宋体" w:cs="宋体"/>
          <w:sz w:val="24"/>
          <w:szCs w:val="24"/>
        </w:rPr>
      </w:pPr>
      <w:r>
        <w:rPr>
          <w:rFonts w:ascii="宋体" w:hAnsi="宋体" w:eastAsia="宋体" w:cs="宋体"/>
          <w:b/>
          <w:bCs/>
          <w:spacing w:val="-9"/>
          <w:sz w:val="24"/>
          <w:szCs w:val="24"/>
        </w:rPr>
        <w:t>附图</w:t>
      </w:r>
      <w:r>
        <w:rPr>
          <w:rFonts w:ascii="宋体" w:hAnsi="宋体" w:eastAsia="宋体" w:cs="宋体"/>
          <w:spacing w:val="-53"/>
          <w:sz w:val="24"/>
          <w:szCs w:val="24"/>
        </w:rPr>
        <w:t xml:space="preserve"> </w:t>
      </w:r>
      <w:r>
        <w:rPr>
          <w:rFonts w:ascii="Calibri" w:hAnsi="Calibri" w:eastAsia="Calibri" w:cs="Calibri"/>
          <w:b/>
          <w:bCs/>
          <w:spacing w:val="-9"/>
          <w:sz w:val="24"/>
          <w:szCs w:val="24"/>
        </w:rPr>
        <w:t>8</w:t>
      </w:r>
      <w:r>
        <w:rPr>
          <w:rFonts w:ascii="Calibri" w:hAnsi="Calibri" w:eastAsia="Calibri" w:cs="Calibri"/>
          <w:b/>
          <w:bCs/>
          <w:spacing w:val="-24"/>
          <w:sz w:val="24"/>
          <w:szCs w:val="24"/>
        </w:rPr>
        <w:t xml:space="preserve"> </w:t>
      </w:r>
      <w:r>
        <w:rPr>
          <w:rFonts w:ascii="宋体" w:hAnsi="宋体" w:eastAsia="宋体" w:cs="宋体"/>
          <w:b/>
          <w:bCs/>
          <w:spacing w:val="-9"/>
          <w:sz w:val="24"/>
          <w:szCs w:val="24"/>
        </w:rPr>
        <w:t>：监测布点图</w:t>
      </w:r>
    </w:p>
    <w:p w14:paraId="023A2E67">
      <w:pPr>
        <w:spacing w:before="91" w:line="9782" w:lineRule="exact"/>
      </w:pPr>
      <w:r>
        <w:rPr>
          <w:position w:val="-195"/>
        </w:rPr>
        <w:drawing>
          <wp:inline distT="0" distB="0" distL="0" distR="0">
            <wp:extent cx="6188710" cy="621157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134"/>
                    <a:stretch>
                      <a:fillRect/>
                    </a:stretch>
                  </pic:blipFill>
                  <pic:spPr>
                    <a:xfrm>
                      <a:off x="0" y="0"/>
                      <a:ext cx="6188963" cy="6211823"/>
                    </a:xfrm>
                    <a:prstGeom prst="rect">
                      <a:avLst/>
                    </a:prstGeom>
                  </pic:spPr>
                </pic:pic>
              </a:graphicData>
            </a:graphic>
          </wp:inline>
        </w:drawing>
      </w:r>
    </w:p>
    <w:p w14:paraId="6F5F369C">
      <w:pPr>
        <w:spacing w:line="9782" w:lineRule="exact"/>
        <w:sectPr>
          <w:footerReference r:id="rId110" w:type="default"/>
          <w:pgSz w:w="11906" w:h="16839"/>
          <w:pgMar w:top="1431" w:right="1079" w:bottom="1263" w:left="1080" w:header="0" w:footer="1097" w:gutter="0"/>
          <w:cols w:space="720" w:num="1"/>
        </w:sectPr>
      </w:pPr>
    </w:p>
    <w:p w14:paraId="3E39C76C">
      <w:pPr>
        <w:pStyle w:val="2"/>
        <w:spacing w:line="404" w:lineRule="auto"/>
      </w:pPr>
    </w:p>
    <w:p w14:paraId="4C006719">
      <w:pPr>
        <w:spacing w:line="9804" w:lineRule="exact"/>
      </w:pPr>
      <w:r>
        <w:rPr>
          <w:position w:val="-196"/>
        </w:rPr>
        <w:drawing>
          <wp:inline distT="0" distB="0" distL="0" distR="0">
            <wp:extent cx="6188710" cy="6225540"/>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135"/>
                    <a:stretch>
                      <a:fillRect/>
                    </a:stretch>
                  </pic:blipFill>
                  <pic:spPr>
                    <a:xfrm>
                      <a:off x="0" y="0"/>
                      <a:ext cx="6188963" cy="6225540"/>
                    </a:xfrm>
                    <a:prstGeom prst="rect">
                      <a:avLst/>
                    </a:prstGeom>
                  </pic:spPr>
                </pic:pic>
              </a:graphicData>
            </a:graphic>
          </wp:inline>
        </w:drawing>
      </w:r>
    </w:p>
    <w:p w14:paraId="3F76FC1D">
      <w:pPr>
        <w:spacing w:line="9804" w:lineRule="exact"/>
        <w:sectPr>
          <w:footerReference r:id="rId111" w:type="default"/>
          <w:pgSz w:w="11906" w:h="16839"/>
          <w:pgMar w:top="1431" w:right="1079" w:bottom="1263" w:left="1080" w:header="0" w:footer="1097" w:gutter="0"/>
          <w:cols w:space="720" w:num="1"/>
        </w:sectPr>
      </w:pPr>
    </w:p>
    <w:p w14:paraId="7011ABE3">
      <w:pPr>
        <w:spacing w:line="240" w:lineRule="auto"/>
        <w:rPr>
          <w:rFonts w:hint="eastAsia" w:eastAsia="宋体"/>
          <w:lang w:eastAsia="zh-CN"/>
        </w:rPr>
        <w:sectPr>
          <w:footerReference r:id="rId112" w:type="default"/>
          <w:pgSz w:w="11906" w:h="16839"/>
          <w:pgMar w:top="1431" w:right="1163" w:bottom="1261" w:left="1005" w:header="0" w:footer="1097" w:gutter="0"/>
          <w:cols w:space="720" w:num="1"/>
        </w:sectPr>
      </w:pPr>
      <w:r>
        <w:rPr>
          <w:rFonts w:hint="eastAsia" w:eastAsia="宋体"/>
          <w:lang w:eastAsia="zh-CN"/>
        </w:rPr>
        <w:drawing>
          <wp:inline distT="0" distB="0" distL="114300" distR="114300">
            <wp:extent cx="6178550" cy="8733155"/>
            <wp:effectExtent l="0" t="0" r="12700" b="10795"/>
            <wp:docPr id="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
                    <pic:cNvPicPr>
                      <a:picLocks noChangeAspect="1"/>
                    </pic:cNvPicPr>
                  </pic:nvPicPr>
                  <pic:blipFill>
                    <a:blip r:embed="rId136"/>
                    <a:stretch>
                      <a:fillRect/>
                    </a:stretch>
                  </pic:blipFill>
                  <pic:spPr>
                    <a:xfrm>
                      <a:off x="0" y="0"/>
                      <a:ext cx="6178550" cy="8733155"/>
                    </a:xfrm>
                    <a:prstGeom prst="rect">
                      <a:avLst/>
                    </a:prstGeom>
                  </pic:spPr>
                </pic:pic>
              </a:graphicData>
            </a:graphic>
          </wp:inline>
        </w:drawing>
      </w:r>
    </w:p>
    <w:p w14:paraId="1623E0D1">
      <w:pPr>
        <w:spacing w:line="240" w:lineRule="auto"/>
        <w:rPr>
          <w:rFonts w:hint="eastAsia" w:eastAsia="宋体"/>
          <w:lang w:eastAsia="zh-CN"/>
        </w:rPr>
      </w:pPr>
      <w:r>
        <w:rPr>
          <w:rFonts w:hint="eastAsia" w:eastAsia="宋体"/>
          <w:lang w:eastAsia="zh-CN"/>
        </w:rPr>
        <w:drawing>
          <wp:inline distT="0" distB="0" distL="114300" distR="114300">
            <wp:extent cx="6178550" cy="8733155"/>
            <wp:effectExtent l="0" t="0" r="12700" b="10795"/>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137"/>
                    <a:stretch>
                      <a:fillRect/>
                    </a:stretch>
                  </pic:blipFill>
                  <pic:spPr>
                    <a:xfrm>
                      <a:off x="0" y="0"/>
                      <a:ext cx="6178550" cy="8733155"/>
                    </a:xfrm>
                    <a:prstGeom prst="rect">
                      <a:avLst/>
                    </a:prstGeom>
                  </pic:spPr>
                </pic:pic>
              </a:graphicData>
            </a:graphic>
          </wp:inline>
        </w:drawing>
      </w:r>
    </w:p>
    <w:p w14:paraId="3C15B57C">
      <w:pPr>
        <w:spacing w:line="240" w:lineRule="auto"/>
        <w:rPr>
          <w:rFonts w:hint="eastAsia" w:eastAsia="宋体"/>
          <w:lang w:eastAsia="zh-CN"/>
        </w:rPr>
      </w:pPr>
    </w:p>
    <w:p w14:paraId="006B4D3C">
      <w:pPr>
        <w:spacing w:line="240" w:lineRule="auto"/>
        <w:rPr>
          <w:rFonts w:hint="eastAsia" w:eastAsia="宋体"/>
          <w:lang w:eastAsia="zh-CN"/>
        </w:rPr>
      </w:pPr>
      <w:r>
        <w:rPr>
          <w:rFonts w:hint="eastAsia" w:eastAsia="宋体"/>
          <w:lang w:eastAsia="zh-CN"/>
        </w:rPr>
        <w:drawing>
          <wp:inline distT="0" distB="0" distL="114300" distR="114300">
            <wp:extent cx="6178550" cy="8733155"/>
            <wp:effectExtent l="0" t="0" r="12700" b="10795"/>
            <wp:docPr id="3" name="图片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3"/>
                    <pic:cNvPicPr>
                      <a:picLocks noChangeAspect="1"/>
                    </pic:cNvPicPr>
                  </pic:nvPicPr>
                  <pic:blipFill>
                    <a:blip r:embed="rId138"/>
                    <a:stretch>
                      <a:fillRect/>
                    </a:stretch>
                  </pic:blipFill>
                  <pic:spPr>
                    <a:xfrm>
                      <a:off x="0" y="0"/>
                      <a:ext cx="6178550" cy="8733155"/>
                    </a:xfrm>
                    <a:prstGeom prst="rect">
                      <a:avLst/>
                    </a:prstGeom>
                  </pic:spPr>
                </pic:pic>
              </a:graphicData>
            </a:graphic>
          </wp:inline>
        </w:drawing>
      </w:r>
    </w:p>
    <w:p w14:paraId="3E54C9D4">
      <w:pPr>
        <w:spacing w:line="240" w:lineRule="auto"/>
        <w:rPr>
          <w:rFonts w:hint="eastAsia" w:eastAsia="宋体"/>
          <w:lang w:eastAsia="zh-CN"/>
        </w:rPr>
      </w:pPr>
    </w:p>
    <w:p w14:paraId="2B358FA9">
      <w:pPr>
        <w:spacing w:line="240" w:lineRule="auto"/>
        <w:rPr>
          <w:rFonts w:hint="eastAsia" w:eastAsia="宋体"/>
          <w:lang w:eastAsia="zh-CN"/>
        </w:rPr>
      </w:pPr>
      <w:r>
        <w:rPr>
          <w:rFonts w:hint="eastAsia" w:eastAsia="宋体"/>
          <w:lang w:eastAsia="zh-CN"/>
        </w:rPr>
        <w:drawing>
          <wp:inline distT="0" distB="0" distL="114300" distR="114300">
            <wp:extent cx="6178550" cy="8733155"/>
            <wp:effectExtent l="0" t="0" r="12700" b="10795"/>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139"/>
                    <a:stretch>
                      <a:fillRect/>
                    </a:stretch>
                  </pic:blipFill>
                  <pic:spPr>
                    <a:xfrm>
                      <a:off x="0" y="0"/>
                      <a:ext cx="6178550" cy="8733155"/>
                    </a:xfrm>
                    <a:prstGeom prst="rect">
                      <a:avLst/>
                    </a:prstGeom>
                  </pic:spPr>
                </pic:pic>
              </a:graphicData>
            </a:graphic>
          </wp:inline>
        </w:drawing>
      </w:r>
    </w:p>
    <w:p w14:paraId="016E85FC">
      <w:pPr>
        <w:spacing w:line="240" w:lineRule="auto"/>
        <w:rPr>
          <w:rFonts w:hint="eastAsia" w:eastAsia="宋体"/>
          <w:lang w:eastAsia="zh-CN"/>
        </w:rPr>
      </w:pPr>
    </w:p>
    <w:p w14:paraId="36663CE9">
      <w:pPr>
        <w:spacing w:line="240" w:lineRule="auto"/>
        <w:rPr>
          <w:rFonts w:hint="eastAsia" w:eastAsia="宋体"/>
          <w:lang w:eastAsia="zh-CN"/>
        </w:rPr>
      </w:pPr>
      <w:r>
        <w:rPr>
          <w:rFonts w:hint="eastAsia" w:eastAsia="宋体"/>
          <w:lang w:eastAsia="zh-CN"/>
        </w:rPr>
        <w:drawing>
          <wp:inline distT="0" distB="0" distL="114300" distR="114300">
            <wp:extent cx="6178550" cy="8733155"/>
            <wp:effectExtent l="0" t="0" r="12700" b="10795"/>
            <wp:docPr id="7" name="图片 7"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
                    <pic:cNvPicPr>
                      <a:picLocks noChangeAspect="1"/>
                    </pic:cNvPicPr>
                  </pic:nvPicPr>
                  <pic:blipFill>
                    <a:blip r:embed="rId140"/>
                    <a:stretch>
                      <a:fillRect/>
                    </a:stretch>
                  </pic:blipFill>
                  <pic:spPr>
                    <a:xfrm>
                      <a:off x="0" y="0"/>
                      <a:ext cx="6178550" cy="8733155"/>
                    </a:xfrm>
                    <a:prstGeom prst="rect">
                      <a:avLst/>
                    </a:prstGeom>
                  </pic:spPr>
                </pic:pic>
              </a:graphicData>
            </a:graphic>
          </wp:inline>
        </w:drawing>
      </w:r>
    </w:p>
    <w:sectPr>
      <w:pgSz w:w="11906" w:h="16839"/>
      <w:pgMar w:top="1431" w:right="1163" w:bottom="1261" w:left="1005" w:header="0" w:footer="109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BE029">
    <w:pPr>
      <w:spacing w:line="168" w:lineRule="auto"/>
      <w:ind w:left="4623"/>
      <w:rPr>
        <w:rFonts w:ascii="Calibri" w:hAnsi="Calibri" w:eastAsia="Calibri" w:cs="Calibri"/>
        <w:sz w:val="18"/>
        <w:szCs w:val="18"/>
      </w:rPr>
    </w:pPr>
    <w:r>
      <w:rPr>
        <w:rFonts w:ascii="Calibri" w:hAnsi="Calibri" w:eastAsia="Calibri" w:cs="Calibri"/>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804DA">
    <w:pPr>
      <w:spacing w:line="169" w:lineRule="auto"/>
      <w:ind w:left="4617"/>
      <w:rPr>
        <w:rFonts w:ascii="Calibri" w:hAnsi="Calibri" w:eastAsia="Calibri" w:cs="Calibri"/>
        <w:sz w:val="18"/>
        <w:szCs w:val="18"/>
      </w:rPr>
    </w:pPr>
    <w:r>
      <w:rPr>
        <w:rFonts w:ascii="Calibri" w:hAnsi="Calibri" w:eastAsia="Calibri" w:cs="Calibri"/>
        <w:sz w:val="18"/>
        <w:szCs w:val="1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EDA51">
    <w:pPr>
      <w:spacing w:line="169" w:lineRule="auto"/>
      <w:ind w:left="4616"/>
      <w:rPr>
        <w:rFonts w:ascii="Calibri" w:hAnsi="Calibri" w:eastAsia="Calibri" w:cs="Calibri"/>
        <w:sz w:val="18"/>
        <w:szCs w:val="18"/>
      </w:rPr>
    </w:pPr>
    <w:r>
      <w:rPr>
        <w:rFonts w:ascii="Calibri" w:hAnsi="Calibri" w:eastAsia="Calibri" w:cs="Calibri"/>
        <w:sz w:val="18"/>
        <w:szCs w:val="1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889EE">
    <w:pPr>
      <w:spacing w:line="168" w:lineRule="auto"/>
      <w:ind w:left="4611"/>
      <w:rPr>
        <w:rFonts w:ascii="Calibri" w:hAnsi="Calibri" w:eastAsia="Calibri" w:cs="Calibri"/>
        <w:sz w:val="18"/>
        <w:szCs w:val="18"/>
      </w:rPr>
    </w:pPr>
    <w:r>
      <w:rPr>
        <w:rFonts w:ascii="Calibri" w:hAnsi="Calibri" w:eastAsia="Calibri" w:cs="Calibri"/>
        <w:sz w:val="18"/>
        <w:szCs w:val="1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38AE6">
    <w:pPr>
      <w:spacing w:line="167" w:lineRule="auto"/>
      <w:ind w:left="4616"/>
      <w:rPr>
        <w:rFonts w:ascii="Calibri" w:hAnsi="Calibri" w:eastAsia="Calibri" w:cs="Calibri"/>
        <w:sz w:val="18"/>
        <w:szCs w:val="18"/>
      </w:rPr>
    </w:pPr>
    <w:r>
      <w:rPr>
        <w:rFonts w:ascii="Calibri" w:hAnsi="Calibri" w:eastAsia="Calibri" w:cs="Calibri"/>
        <w:sz w:val="18"/>
        <w:szCs w:val="18"/>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FA7FB">
    <w:pPr>
      <w:spacing w:line="169" w:lineRule="auto"/>
      <w:ind w:left="4617"/>
      <w:rPr>
        <w:rFonts w:ascii="Calibri" w:hAnsi="Calibri" w:eastAsia="Calibri" w:cs="Calibri"/>
        <w:sz w:val="18"/>
        <w:szCs w:val="18"/>
      </w:rPr>
    </w:pPr>
    <w:r>
      <w:rPr>
        <w:rFonts w:ascii="Calibri" w:hAnsi="Calibri" w:eastAsia="Calibri" w:cs="Calibri"/>
        <w:sz w:val="18"/>
        <w:szCs w:val="18"/>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FFF7A8">
    <w:pPr>
      <w:spacing w:line="167" w:lineRule="auto"/>
      <w:ind w:left="4616"/>
      <w:rPr>
        <w:rFonts w:ascii="Calibri" w:hAnsi="Calibri" w:eastAsia="Calibri" w:cs="Calibri"/>
        <w:sz w:val="18"/>
        <w:szCs w:val="18"/>
      </w:rPr>
    </w:pPr>
    <w:r>
      <w:rPr>
        <w:rFonts w:ascii="Calibri" w:hAnsi="Calibri" w:eastAsia="Calibri" w:cs="Calibri"/>
        <w:sz w:val="18"/>
        <w:szCs w:val="18"/>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DE63F">
    <w:pPr>
      <w:spacing w:line="169" w:lineRule="auto"/>
      <w:ind w:left="4614"/>
      <w:rPr>
        <w:rFonts w:ascii="Calibri" w:hAnsi="Calibri" w:eastAsia="Calibri" w:cs="Calibri"/>
        <w:sz w:val="18"/>
        <w:szCs w:val="18"/>
      </w:rPr>
    </w:pPr>
    <w:r>
      <w:rPr>
        <w:rFonts w:ascii="Calibri" w:hAnsi="Calibri" w:eastAsia="Calibri" w:cs="Calibri"/>
        <w:sz w:val="18"/>
        <w:szCs w:val="18"/>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7C4C05">
    <w:pPr>
      <w:spacing w:line="169" w:lineRule="auto"/>
      <w:ind w:left="4614"/>
      <w:rPr>
        <w:rFonts w:ascii="Calibri" w:hAnsi="Calibri" w:eastAsia="Calibri" w:cs="Calibri"/>
        <w:sz w:val="18"/>
        <w:szCs w:val="18"/>
      </w:rPr>
    </w:pPr>
    <w:r>
      <w:rPr>
        <w:rFonts w:ascii="Calibri" w:hAnsi="Calibri" w:eastAsia="Calibri" w:cs="Calibri"/>
        <w:sz w:val="18"/>
        <w:szCs w:val="18"/>
      </w:rPr>
      <w:t>9</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021CB">
    <w:pPr>
      <w:spacing w:line="169" w:lineRule="auto"/>
      <w:ind w:left="4577"/>
      <w:rPr>
        <w:rFonts w:ascii="Calibri" w:hAnsi="Calibri" w:eastAsia="Calibri" w:cs="Calibri"/>
        <w:sz w:val="18"/>
        <w:szCs w:val="18"/>
      </w:rPr>
    </w:pPr>
    <w:r>
      <w:rPr>
        <w:rFonts w:ascii="Calibri" w:hAnsi="Calibri" w:eastAsia="Calibri" w:cs="Calibri"/>
        <w:spacing w:val="-8"/>
        <w:sz w:val="18"/>
        <w:szCs w:val="18"/>
      </w:rPr>
      <w:t>10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C6228">
    <w:pPr>
      <w:spacing w:line="168" w:lineRule="auto"/>
      <w:ind w:left="4577"/>
      <w:rPr>
        <w:rFonts w:ascii="Calibri" w:hAnsi="Calibri" w:eastAsia="Calibri" w:cs="Calibri"/>
        <w:sz w:val="18"/>
        <w:szCs w:val="18"/>
      </w:rPr>
    </w:pPr>
    <w:r>
      <w:rPr>
        <w:rFonts w:ascii="Calibri" w:hAnsi="Calibri" w:eastAsia="Calibri" w:cs="Calibri"/>
        <w:spacing w:val="-8"/>
        <w:sz w:val="18"/>
        <w:szCs w:val="18"/>
      </w:rPr>
      <w:t>11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03C5D">
    <w:pPr>
      <w:spacing w:line="169" w:lineRule="auto"/>
      <w:ind w:left="4577"/>
      <w:rPr>
        <w:rFonts w:ascii="Calibri" w:hAnsi="Calibri" w:eastAsia="Calibri" w:cs="Calibri"/>
        <w:sz w:val="18"/>
        <w:szCs w:val="18"/>
      </w:rPr>
    </w:pPr>
    <w:r>
      <w:rPr>
        <w:rFonts w:ascii="Calibri" w:hAnsi="Calibri" w:eastAsia="Calibri" w:cs="Calibri"/>
        <w:spacing w:val="-8"/>
        <w:sz w:val="18"/>
        <w:szCs w:val="18"/>
      </w:rPr>
      <w:t>12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4795CC">
    <w:pPr>
      <w:spacing w:line="169" w:lineRule="auto"/>
      <w:ind w:left="4577"/>
      <w:rPr>
        <w:rFonts w:ascii="Calibri" w:hAnsi="Calibri" w:eastAsia="Calibri" w:cs="Calibri"/>
        <w:sz w:val="18"/>
        <w:szCs w:val="18"/>
      </w:rPr>
    </w:pPr>
    <w:r>
      <w:rPr>
        <w:rFonts w:ascii="Calibri" w:hAnsi="Calibri" w:eastAsia="Calibri" w:cs="Calibri"/>
        <w:spacing w:val="-8"/>
        <w:sz w:val="18"/>
        <w:szCs w:val="18"/>
      </w:rPr>
      <w:t>13</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093A1">
    <w:pPr>
      <w:spacing w:line="168" w:lineRule="auto"/>
      <w:ind w:left="4577"/>
      <w:rPr>
        <w:rFonts w:ascii="Calibri" w:hAnsi="Calibri" w:eastAsia="Calibri" w:cs="Calibri"/>
        <w:sz w:val="18"/>
        <w:szCs w:val="18"/>
      </w:rPr>
    </w:pPr>
    <w:r>
      <w:rPr>
        <w:rFonts w:ascii="Calibri" w:hAnsi="Calibri" w:eastAsia="Calibri" w:cs="Calibri"/>
        <w:spacing w:val="-8"/>
        <w:sz w:val="18"/>
        <w:szCs w:val="18"/>
      </w:rPr>
      <w:t>14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EED45">
    <w:pPr>
      <w:spacing w:line="168" w:lineRule="auto"/>
      <w:ind w:left="4577"/>
      <w:rPr>
        <w:rFonts w:ascii="Calibri" w:hAnsi="Calibri" w:eastAsia="Calibri" w:cs="Calibri"/>
        <w:sz w:val="18"/>
        <w:szCs w:val="18"/>
      </w:rPr>
    </w:pPr>
    <w:r>
      <w:rPr>
        <w:rFonts w:ascii="Calibri" w:hAnsi="Calibri" w:eastAsia="Calibri" w:cs="Calibri"/>
        <w:spacing w:val="-8"/>
        <w:sz w:val="18"/>
        <w:szCs w:val="18"/>
      </w:rPr>
      <w:t>15</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2FA0F">
    <w:pPr>
      <w:spacing w:line="169" w:lineRule="auto"/>
      <w:ind w:left="4577"/>
      <w:rPr>
        <w:rFonts w:ascii="Calibri" w:hAnsi="Calibri" w:eastAsia="Calibri" w:cs="Calibri"/>
        <w:sz w:val="18"/>
        <w:szCs w:val="18"/>
      </w:rPr>
    </w:pPr>
    <w:r>
      <w:rPr>
        <w:rFonts w:ascii="Calibri" w:hAnsi="Calibri" w:eastAsia="Calibri" w:cs="Calibri"/>
        <w:spacing w:val="-8"/>
        <w:sz w:val="18"/>
        <w:szCs w:val="18"/>
      </w:rPr>
      <w:t>16</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A1F5F2">
    <w:pPr>
      <w:spacing w:line="168" w:lineRule="auto"/>
      <w:ind w:left="4577"/>
      <w:rPr>
        <w:rFonts w:ascii="Calibri" w:hAnsi="Calibri" w:eastAsia="Calibri" w:cs="Calibri"/>
        <w:sz w:val="18"/>
        <w:szCs w:val="18"/>
      </w:rPr>
    </w:pPr>
    <w:r>
      <w:rPr>
        <w:rFonts w:ascii="Calibri" w:hAnsi="Calibri" w:eastAsia="Calibri" w:cs="Calibri"/>
        <w:spacing w:val="-8"/>
        <w:sz w:val="18"/>
        <w:szCs w:val="18"/>
      </w:rPr>
      <w:t>17</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A2B8C">
    <w:pPr>
      <w:spacing w:line="169" w:lineRule="auto"/>
      <w:ind w:left="4577"/>
      <w:rPr>
        <w:rFonts w:ascii="Calibri" w:hAnsi="Calibri" w:eastAsia="Calibri" w:cs="Calibri"/>
        <w:sz w:val="18"/>
        <w:szCs w:val="18"/>
      </w:rPr>
    </w:pPr>
    <w:r>
      <w:rPr>
        <w:rFonts w:ascii="Calibri" w:hAnsi="Calibri" w:eastAsia="Calibri" w:cs="Calibri"/>
        <w:spacing w:val="-8"/>
        <w:sz w:val="18"/>
        <w:szCs w:val="18"/>
      </w:rPr>
      <w:t>18</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F273A">
    <w:pPr>
      <w:spacing w:line="169" w:lineRule="auto"/>
      <w:ind w:left="4577"/>
      <w:rPr>
        <w:rFonts w:ascii="Calibri" w:hAnsi="Calibri" w:eastAsia="Calibri" w:cs="Calibri"/>
        <w:sz w:val="18"/>
        <w:szCs w:val="18"/>
      </w:rPr>
    </w:pPr>
    <w:r>
      <w:rPr>
        <w:rFonts w:ascii="Calibri" w:hAnsi="Calibri" w:eastAsia="Calibri" w:cs="Calibri"/>
        <w:spacing w:val="-8"/>
        <w:sz w:val="18"/>
        <w:szCs w:val="18"/>
      </w:rPr>
      <w:t>19</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472A2C">
    <w:pPr>
      <w:spacing w:line="169" w:lineRule="auto"/>
      <w:ind w:left="4572"/>
      <w:rPr>
        <w:rFonts w:ascii="Calibri" w:hAnsi="Calibri" w:eastAsia="Calibri" w:cs="Calibri"/>
        <w:sz w:val="18"/>
        <w:szCs w:val="18"/>
      </w:rPr>
    </w:pPr>
    <w:r>
      <w:rPr>
        <w:rFonts w:ascii="Calibri" w:hAnsi="Calibri" w:eastAsia="Calibri" w:cs="Calibri"/>
        <w:spacing w:val="-6"/>
        <w:sz w:val="18"/>
        <w:szCs w:val="18"/>
      </w:rPr>
      <w:t>20</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4DA9A">
    <w:pPr>
      <w:spacing w:line="169" w:lineRule="auto"/>
      <w:ind w:left="4572"/>
      <w:rPr>
        <w:rFonts w:ascii="Calibri" w:hAnsi="Calibri" w:eastAsia="Calibri" w:cs="Calibri"/>
        <w:sz w:val="18"/>
        <w:szCs w:val="18"/>
      </w:rPr>
    </w:pPr>
    <w:r>
      <w:rPr>
        <w:rFonts w:ascii="Calibri" w:hAnsi="Calibri" w:eastAsia="Calibri" w:cs="Calibri"/>
        <w:spacing w:val="-6"/>
        <w:sz w:val="18"/>
        <w:szCs w:val="18"/>
      </w:rPr>
      <w:t>21</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2E31E">
    <w:pPr>
      <w:spacing w:line="169" w:lineRule="auto"/>
      <w:ind w:left="4572"/>
      <w:rPr>
        <w:rFonts w:ascii="Calibri" w:hAnsi="Calibri" w:eastAsia="Calibri" w:cs="Calibri"/>
        <w:sz w:val="18"/>
        <w:szCs w:val="18"/>
      </w:rPr>
    </w:pPr>
    <w:r>
      <w:rPr>
        <w:rFonts w:ascii="Calibri" w:hAnsi="Calibri" w:eastAsia="Calibri" w:cs="Calibri"/>
        <w:spacing w:val="-6"/>
        <w:sz w:val="18"/>
        <w:szCs w:val="18"/>
      </w:rPr>
      <w:t>22</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EE8F82">
    <w:pPr>
      <w:spacing w:line="169" w:lineRule="auto"/>
      <w:ind w:left="4572"/>
      <w:rPr>
        <w:rFonts w:ascii="Calibri" w:hAnsi="Calibri" w:eastAsia="Calibri" w:cs="Calibri"/>
        <w:sz w:val="18"/>
        <w:szCs w:val="18"/>
      </w:rPr>
    </w:pPr>
    <w:r>
      <w:rPr>
        <w:rFonts w:ascii="Calibri" w:hAnsi="Calibri" w:eastAsia="Calibri" w:cs="Calibri"/>
        <w:spacing w:val="-6"/>
        <w:sz w:val="18"/>
        <w:szCs w:val="18"/>
      </w:rPr>
      <w:t>23</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B2E9F">
    <w:pPr>
      <w:spacing w:line="169" w:lineRule="auto"/>
      <w:ind w:left="4572"/>
      <w:rPr>
        <w:rFonts w:ascii="Calibri" w:hAnsi="Calibri" w:eastAsia="Calibri" w:cs="Calibri"/>
        <w:sz w:val="18"/>
        <w:szCs w:val="18"/>
      </w:rPr>
    </w:pPr>
    <w:r>
      <w:rPr>
        <w:rFonts w:ascii="Calibri" w:hAnsi="Calibri" w:eastAsia="Calibri" w:cs="Calibri"/>
        <w:spacing w:val="-6"/>
        <w:sz w:val="18"/>
        <w:szCs w:val="18"/>
      </w:rPr>
      <w:t>24</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F870F">
    <w:pPr>
      <w:spacing w:line="169" w:lineRule="auto"/>
      <w:ind w:left="4572"/>
      <w:rPr>
        <w:rFonts w:ascii="Calibri" w:hAnsi="Calibri" w:eastAsia="Calibri" w:cs="Calibri"/>
        <w:sz w:val="18"/>
        <w:szCs w:val="18"/>
      </w:rPr>
    </w:pPr>
    <w:r>
      <w:rPr>
        <w:rFonts w:ascii="Calibri" w:hAnsi="Calibri" w:eastAsia="Calibri" w:cs="Calibri"/>
        <w:spacing w:val="-6"/>
        <w:sz w:val="18"/>
        <w:szCs w:val="18"/>
      </w:rPr>
      <w:t>25</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3D917">
    <w:pPr>
      <w:spacing w:line="169" w:lineRule="auto"/>
      <w:ind w:left="4572"/>
      <w:rPr>
        <w:rFonts w:ascii="Calibri" w:hAnsi="Calibri" w:eastAsia="Calibri" w:cs="Calibri"/>
        <w:sz w:val="18"/>
        <w:szCs w:val="18"/>
      </w:rPr>
    </w:pPr>
    <w:r>
      <w:rPr>
        <w:rFonts w:ascii="Calibri" w:hAnsi="Calibri" w:eastAsia="Calibri" w:cs="Calibri"/>
        <w:spacing w:val="-6"/>
        <w:sz w:val="18"/>
        <w:szCs w:val="18"/>
      </w:rPr>
      <w:t>26</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E1A03">
    <w:pPr>
      <w:spacing w:line="169" w:lineRule="auto"/>
      <w:ind w:left="4572"/>
      <w:rPr>
        <w:rFonts w:ascii="Calibri" w:hAnsi="Calibri" w:eastAsia="Calibri" w:cs="Calibri"/>
        <w:sz w:val="18"/>
        <w:szCs w:val="18"/>
      </w:rPr>
    </w:pPr>
    <w:r>
      <w:rPr>
        <w:rFonts w:ascii="Calibri" w:hAnsi="Calibri" w:eastAsia="Calibri" w:cs="Calibri"/>
        <w:spacing w:val="-6"/>
        <w:sz w:val="18"/>
        <w:szCs w:val="18"/>
      </w:rPr>
      <w:t>27</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8A10F">
    <w:pPr>
      <w:spacing w:line="169" w:lineRule="auto"/>
      <w:ind w:left="4572"/>
      <w:rPr>
        <w:rFonts w:ascii="Calibri" w:hAnsi="Calibri" w:eastAsia="Calibri" w:cs="Calibri"/>
        <w:sz w:val="18"/>
        <w:szCs w:val="18"/>
      </w:rPr>
    </w:pPr>
    <w:r>
      <w:rPr>
        <w:rFonts w:ascii="Calibri" w:hAnsi="Calibri" w:eastAsia="Calibri" w:cs="Calibri"/>
        <w:spacing w:val="-6"/>
        <w:sz w:val="18"/>
        <w:szCs w:val="18"/>
      </w:rPr>
      <w:t>28</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C87CA">
    <w:pPr>
      <w:spacing w:line="169" w:lineRule="auto"/>
      <w:ind w:left="4572"/>
      <w:rPr>
        <w:rFonts w:ascii="Calibri" w:hAnsi="Calibri" w:eastAsia="Calibri" w:cs="Calibri"/>
        <w:sz w:val="18"/>
        <w:szCs w:val="18"/>
      </w:rPr>
    </w:pPr>
    <w:r>
      <w:rPr>
        <w:rFonts w:ascii="Calibri" w:hAnsi="Calibri" w:eastAsia="Calibri" w:cs="Calibri"/>
        <w:spacing w:val="-6"/>
        <w:sz w:val="18"/>
        <w:szCs w:val="18"/>
      </w:rPr>
      <w:t>29</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1DEA7">
    <w:pPr>
      <w:spacing w:line="169" w:lineRule="auto"/>
      <w:ind w:left="4571"/>
      <w:rPr>
        <w:rFonts w:ascii="Calibri" w:hAnsi="Calibri" w:eastAsia="Calibri" w:cs="Calibri"/>
        <w:sz w:val="18"/>
        <w:szCs w:val="18"/>
      </w:rPr>
    </w:pPr>
    <w:r>
      <w:rPr>
        <w:rFonts w:ascii="Calibri" w:hAnsi="Calibri" w:eastAsia="Calibri" w:cs="Calibri"/>
        <w:spacing w:val="-5"/>
        <w:sz w:val="18"/>
        <w:szCs w:val="18"/>
      </w:rPr>
      <w:t>30</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74BCF">
    <w:pPr>
      <w:spacing w:line="169" w:lineRule="auto"/>
      <w:ind w:left="4571"/>
      <w:rPr>
        <w:rFonts w:ascii="Calibri" w:hAnsi="Calibri" w:eastAsia="Calibri" w:cs="Calibri"/>
        <w:sz w:val="18"/>
        <w:szCs w:val="18"/>
      </w:rPr>
    </w:pPr>
    <w:r>
      <w:rPr>
        <w:rFonts w:ascii="Calibri" w:hAnsi="Calibri" w:eastAsia="Calibri" w:cs="Calibri"/>
        <w:spacing w:val="-5"/>
        <w:sz w:val="18"/>
        <w:szCs w:val="18"/>
      </w:rPr>
      <w:t>31</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1BA98">
    <w:pPr>
      <w:spacing w:line="169" w:lineRule="auto"/>
      <w:ind w:left="4571"/>
      <w:rPr>
        <w:rFonts w:ascii="Calibri" w:hAnsi="Calibri" w:eastAsia="Calibri" w:cs="Calibri"/>
        <w:sz w:val="18"/>
        <w:szCs w:val="18"/>
      </w:rPr>
    </w:pPr>
    <w:r>
      <w:rPr>
        <w:rFonts w:ascii="Calibri" w:hAnsi="Calibri" w:eastAsia="Calibri" w:cs="Calibri"/>
        <w:spacing w:val="-5"/>
        <w:sz w:val="18"/>
        <w:szCs w:val="18"/>
      </w:rPr>
      <w:t>32</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D20D7">
    <w:pPr>
      <w:spacing w:line="169" w:lineRule="auto"/>
      <w:ind w:left="4571"/>
      <w:rPr>
        <w:rFonts w:ascii="Calibri" w:hAnsi="Calibri" w:eastAsia="Calibri" w:cs="Calibri"/>
        <w:sz w:val="18"/>
        <w:szCs w:val="18"/>
      </w:rPr>
    </w:pPr>
    <w:r>
      <w:rPr>
        <w:rFonts w:ascii="Calibri" w:hAnsi="Calibri" w:eastAsia="Calibri" w:cs="Calibri"/>
        <w:spacing w:val="-5"/>
        <w:sz w:val="18"/>
        <w:szCs w:val="18"/>
      </w:rPr>
      <w:t>33</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2C46DE">
    <w:pPr>
      <w:spacing w:line="169" w:lineRule="auto"/>
      <w:ind w:left="4571"/>
      <w:rPr>
        <w:rFonts w:ascii="Calibri" w:hAnsi="Calibri" w:eastAsia="Calibri" w:cs="Calibri"/>
        <w:sz w:val="18"/>
        <w:szCs w:val="18"/>
      </w:rPr>
    </w:pPr>
    <w:r>
      <w:rPr>
        <w:rFonts w:ascii="Calibri" w:hAnsi="Calibri" w:eastAsia="Calibri" w:cs="Calibri"/>
        <w:spacing w:val="-5"/>
        <w:sz w:val="18"/>
        <w:szCs w:val="18"/>
      </w:rPr>
      <w:t>34</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54B3B">
    <w:pPr>
      <w:spacing w:line="169" w:lineRule="auto"/>
      <w:ind w:left="4571"/>
      <w:rPr>
        <w:rFonts w:ascii="Calibri" w:hAnsi="Calibri" w:eastAsia="Calibri" w:cs="Calibri"/>
        <w:sz w:val="18"/>
        <w:szCs w:val="18"/>
      </w:rPr>
    </w:pPr>
    <w:r>
      <w:rPr>
        <w:rFonts w:ascii="Calibri" w:hAnsi="Calibri" w:eastAsia="Calibri" w:cs="Calibri"/>
        <w:spacing w:val="-5"/>
        <w:sz w:val="18"/>
        <w:szCs w:val="18"/>
      </w:rPr>
      <w:t>35</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B85E3F">
    <w:pPr>
      <w:spacing w:line="169" w:lineRule="auto"/>
      <w:ind w:left="4571"/>
      <w:rPr>
        <w:rFonts w:ascii="Calibri" w:hAnsi="Calibri" w:eastAsia="Calibri" w:cs="Calibri"/>
        <w:sz w:val="18"/>
        <w:szCs w:val="18"/>
      </w:rPr>
    </w:pPr>
    <w:r>
      <w:rPr>
        <w:rFonts w:ascii="Calibri" w:hAnsi="Calibri" w:eastAsia="Calibri" w:cs="Calibri"/>
        <w:spacing w:val="-5"/>
        <w:sz w:val="18"/>
        <w:szCs w:val="18"/>
      </w:rPr>
      <w:t>36</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7B4F7">
    <w:pPr>
      <w:spacing w:line="169" w:lineRule="auto"/>
      <w:ind w:left="4571"/>
      <w:rPr>
        <w:rFonts w:ascii="Calibri" w:hAnsi="Calibri" w:eastAsia="Calibri" w:cs="Calibri"/>
        <w:sz w:val="18"/>
        <w:szCs w:val="18"/>
      </w:rPr>
    </w:pPr>
    <w:r>
      <w:rPr>
        <w:rFonts w:ascii="Calibri" w:hAnsi="Calibri" w:eastAsia="Calibri" w:cs="Calibri"/>
        <w:spacing w:val="-5"/>
        <w:sz w:val="18"/>
        <w:szCs w:val="18"/>
      </w:rPr>
      <w:t>37</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7A93B">
    <w:pPr>
      <w:spacing w:line="169" w:lineRule="auto"/>
      <w:ind w:left="4571"/>
      <w:rPr>
        <w:rFonts w:ascii="Calibri" w:hAnsi="Calibri" w:eastAsia="Calibri" w:cs="Calibri"/>
        <w:sz w:val="18"/>
        <w:szCs w:val="18"/>
      </w:rPr>
    </w:pPr>
    <w:r>
      <w:rPr>
        <w:rFonts w:ascii="Calibri" w:hAnsi="Calibri" w:eastAsia="Calibri" w:cs="Calibri"/>
        <w:spacing w:val="-5"/>
        <w:sz w:val="18"/>
        <w:szCs w:val="18"/>
      </w:rPr>
      <w:t>38</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6A8DD">
    <w:pPr>
      <w:spacing w:line="169" w:lineRule="auto"/>
      <w:ind w:left="4571"/>
      <w:rPr>
        <w:rFonts w:ascii="Calibri" w:hAnsi="Calibri" w:eastAsia="Calibri" w:cs="Calibri"/>
        <w:sz w:val="18"/>
        <w:szCs w:val="18"/>
      </w:rPr>
    </w:pPr>
    <w:r>
      <w:rPr>
        <w:rFonts w:ascii="Calibri" w:hAnsi="Calibri" w:eastAsia="Calibri" w:cs="Calibri"/>
        <w:spacing w:val="-5"/>
        <w:sz w:val="18"/>
        <w:szCs w:val="18"/>
      </w:rPr>
      <w:t>39</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B52E0">
    <w:pPr>
      <w:spacing w:line="169" w:lineRule="auto"/>
      <w:ind w:left="4557"/>
      <w:rPr>
        <w:rFonts w:ascii="Calibri" w:hAnsi="Calibri" w:eastAsia="Calibri" w:cs="Calibri"/>
        <w:sz w:val="18"/>
        <w:szCs w:val="18"/>
      </w:rPr>
    </w:pPr>
    <w:r>
      <w:rPr>
        <w:rFonts w:ascii="Calibri" w:hAnsi="Calibri" w:eastAsia="Calibri" w:cs="Calibri"/>
        <w:spacing w:val="-3"/>
        <w:sz w:val="18"/>
        <w:szCs w:val="18"/>
      </w:rPr>
      <w:t>40</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4A065">
    <w:pPr>
      <w:spacing w:line="168" w:lineRule="auto"/>
      <w:ind w:left="4557"/>
      <w:rPr>
        <w:rFonts w:ascii="Calibri" w:hAnsi="Calibri" w:eastAsia="Calibri" w:cs="Calibri"/>
        <w:sz w:val="18"/>
        <w:szCs w:val="18"/>
      </w:rPr>
    </w:pPr>
    <w:r>
      <w:rPr>
        <w:rFonts w:ascii="Calibri" w:hAnsi="Calibri" w:eastAsia="Calibri" w:cs="Calibri"/>
        <w:spacing w:val="-3"/>
        <w:sz w:val="18"/>
        <w:szCs w:val="18"/>
      </w:rPr>
      <w:t>41</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4156C">
    <w:pPr>
      <w:spacing w:line="169" w:lineRule="auto"/>
      <w:ind w:left="4557"/>
      <w:rPr>
        <w:rFonts w:ascii="Calibri" w:hAnsi="Calibri" w:eastAsia="Calibri" w:cs="Calibri"/>
        <w:sz w:val="18"/>
        <w:szCs w:val="18"/>
      </w:rPr>
    </w:pPr>
    <w:r>
      <w:rPr>
        <w:rFonts w:ascii="Calibri" w:hAnsi="Calibri" w:eastAsia="Calibri" w:cs="Calibri"/>
        <w:spacing w:val="-3"/>
        <w:sz w:val="18"/>
        <w:szCs w:val="18"/>
      </w:rPr>
      <w:t>42</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A0073">
    <w:pPr>
      <w:spacing w:line="169" w:lineRule="auto"/>
      <w:ind w:left="4557"/>
      <w:rPr>
        <w:rFonts w:ascii="Calibri" w:hAnsi="Calibri" w:eastAsia="Calibri" w:cs="Calibri"/>
        <w:sz w:val="18"/>
        <w:szCs w:val="18"/>
      </w:rPr>
    </w:pPr>
    <w:r>
      <w:rPr>
        <w:rFonts w:ascii="Calibri" w:hAnsi="Calibri" w:eastAsia="Calibri" w:cs="Calibri"/>
        <w:spacing w:val="-3"/>
        <w:sz w:val="18"/>
        <w:szCs w:val="18"/>
      </w:rPr>
      <w:t>43</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EBA79B">
    <w:pPr>
      <w:spacing w:line="168" w:lineRule="auto"/>
      <w:ind w:left="4557"/>
      <w:rPr>
        <w:rFonts w:ascii="Calibri" w:hAnsi="Calibri" w:eastAsia="Calibri" w:cs="Calibri"/>
        <w:sz w:val="18"/>
        <w:szCs w:val="18"/>
      </w:rPr>
    </w:pPr>
    <w:r>
      <w:rPr>
        <w:rFonts w:ascii="Calibri" w:hAnsi="Calibri" w:eastAsia="Calibri" w:cs="Calibri"/>
        <w:spacing w:val="-3"/>
        <w:sz w:val="18"/>
        <w:szCs w:val="18"/>
      </w:rPr>
      <w:t>44</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AAB1F">
    <w:pPr>
      <w:spacing w:line="168" w:lineRule="auto"/>
      <w:ind w:left="4557"/>
      <w:rPr>
        <w:rFonts w:ascii="Calibri" w:hAnsi="Calibri" w:eastAsia="Calibri" w:cs="Calibri"/>
        <w:sz w:val="18"/>
        <w:szCs w:val="18"/>
      </w:rPr>
    </w:pPr>
    <w:r>
      <w:rPr>
        <w:rFonts w:ascii="Calibri" w:hAnsi="Calibri" w:eastAsia="Calibri" w:cs="Calibri"/>
        <w:spacing w:val="-3"/>
        <w:sz w:val="18"/>
        <w:szCs w:val="18"/>
      </w:rPr>
      <w:t>45</w: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8ADB0">
    <w:pPr>
      <w:spacing w:line="169" w:lineRule="auto"/>
      <w:ind w:left="4557"/>
      <w:rPr>
        <w:rFonts w:ascii="Calibri" w:hAnsi="Calibri" w:eastAsia="Calibri" w:cs="Calibri"/>
        <w:sz w:val="18"/>
        <w:szCs w:val="18"/>
      </w:rPr>
    </w:pPr>
    <w:r>
      <w:rPr>
        <w:rFonts w:ascii="Calibri" w:hAnsi="Calibri" w:eastAsia="Calibri" w:cs="Calibri"/>
        <w:spacing w:val="-3"/>
        <w:sz w:val="18"/>
        <w:szCs w:val="18"/>
      </w:rPr>
      <w:t>46</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4D975">
    <w:pPr>
      <w:spacing w:line="168" w:lineRule="auto"/>
      <w:ind w:left="4557"/>
      <w:rPr>
        <w:rFonts w:ascii="Calibri" w:hAnsi="Calibri" w:eastAsia="Calibri" w:cs="Calibri"/>
        <w:sz w:val="18"/>
        <w:szCs w:val="18"/>
      </w:rPr>
    </w:pPr>
    <w:r>
      <w:rPr>
        <w:rFonts w:ascii="Calibri" w:hAnsi="Calibri" w:eastAsia="Calibri" w:cs="Calibri"/>
        <w:spacing w:val="-3"/>
        <w:sz w:val="18"/>
        <w:szCs w:val="18"/>
      </w:rPr>
      <w:t>47</w: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B7EA2E">
    <w:pPr>
      <w:spacing w:line="169" w:lineRule="auto"/>
      <w:ind w:left="4557"/>
      <w:rPr>
        <w:rFonts w:ascii="Calibri" w:hAnsi="Calibri" w:eastAsia="Calibri" w:cs="Calibri"/>
        <w:sz w:val="18"/>
        <w:szCs w:val="18"/>
      </w:rPr>
    </w:pPr>
    <w:r>
      <w:rPr>
        <w:rFonts w:ascii="Calibri" w:hAnsi="Calibri" w:eastAsia="Calibri" w:cs="Calibri"/>
        <w:spacing w:val="-3"/>
        <w:sz w:val="18"/>
        <w:szCs w:val="18"/>
      </w:rPr>
      <w:t>48</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1C411A">
    <w:pPr>
      <w:pStyle w:val="2"/>
      <w:spacing w:line="14" w:lineRule="auto"/>
      <w:rPr>
        <w:sz w:val="2"/>
      </w:rPr>
    </w:pP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C0F7C6">
    <w:pPr>
      <w:spacing w:line="169" w:lineRule="auto"/>
      <w:ind w:left="4784"/>
      <w:rPr>
        <w:rFonts w:ascii="Calibri" w:hAnsi="Calibri" w:eastAsia="Calibri" w:cs="Calibri"/>
        <w:sz w:val="18"/>
        <w:szCs w:val="18"/>
      </w:rPr>
    </w:pPr>
    <w:r>
      <w:rPr>
        <w:rFonts w:ascii="Calibri" w:hAnsi="Calibri" w:eastAsia="Calibri" w:cs="Calibri"/>
        <w:spacing w:val="-5"/>
        <w:sz w:val="18"/>
        <w:szCs w:val="18"/>
      </w:rPr>
      <w:t>50</w:t>
    </w: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F1C63">
    <w:pPr>
      <w:spacing w:line="168" w:lineRule="auto"/>
      <w:ind w:left="4784"/>
      <w:rPr>
        <w:rFonts w:ascii="Calibri" w:hAnsi="Calibri" w:eastAsia="Calibri" w:cs="Calibri"/>
        <w:sz w:val="18"/>
        <w:szCs w:val="18"/>
      </w:rPr>
    </w:pPr>
    <w:r>
      <w:rPr>
        <w:rFonts w:ascii="Calibri" w:hAnsi="Calibri" w:eastAsia="Calibri" w:cs="Calibri"/>
        <w:spacing w:val="-5"/>
        <w:sz w:val="18"/>
        <w:szCs w:val="18"/>
      </w:rPr>
      <w:t>51</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7B258">
    <w:pPr>
      <w:spacing w:line="169" w:lineRule="auto"/>
      <w:ind w:left="4784"/>
      <w:rPr>
        <w:rFonts w:ascii="Calibri" w:hAnsi="Calibri" w:eastAsia="Calibri" w:cs="Calibri"/>
        <w:sz w:val="18"/>
        <w:szCs w:val="18"/>
      </w:rPr>
    </w:pPr>
    <w:r>
      <w:rPr>
        <w:rFonts w:ascii="Calibri" w:hAnsi="Calibri" w:eastAsia="Calibri" w:cs="Calibri"/>
        <w:spacing w:val="-5"/>
        <w:sz w:val="18"/>
        <w:szCs w:val="18"/>
      </w:rPr>
      <w:t>52</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731AB">
    <w:pPr>
      <w:spacing w:line="169" w:lineRule="auto"/>
      <w:ind w:left="4784"/>
      <w:rPr>
        <w:rFonts w:ascii="Calibri" w:hAnsi="Calibri" w:eastAsia="Calibri" w:cs="Calibri"/>
        <w:sz w:val="18"/>
        <w:szCs w:val="18"/>
      </w:rPr>
    </w:pPr>
    <w:r>
      <w:rPr>
        <w:rFonts w:ascii="Calibri" w:hAnsi="Calibri" w:eastAsia="Calibri" w:cs="Calibri"/>
        <w:spacing w:val="-5"/>
        <w:sz w:val="18"/>
        <w:szCs w:val="18"/>
      </w:rPr>
      <w:t>53</w:t>
    </w: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1D722">
    <w:pPr>
      <w:spacing w:line="168" w:lineRule="auto"/>
      <w:ind w:left="4784"/>
      <w:rPr>
        <w:rFonts w:ascii="Calibri" w:hAnsi="Calibri" w:eastAsia="Calibri" w:cs="Calibri"/>
        <w:sz w:val="18"/>
        <w:szCs w:val="18"/>
      </w:rPr>
    </w:pPr>
    <w:r>
      <w:rPr>
        <w:rFonts w:ascii="Calibri" w:hAnsi="Calibri" w:eastAsia="Calibri" w:cs="Calibri"/>
        <w:spacing w:val="-5"/>
        <w:sz w:val="18"/>
        <w:szCs w:val="18"/>
      </w:rPr>
      <w:t>54</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26564">
    <w:pPr>
      <w:spacing w:line="167" w:lineRule="auto"/>
      <w:ind w:left="4784"/>
      <w:rPr>
        <w:rFonts w:ascii="Calibri" w:hAnsi="Calibri" w:eastAsia="Calibri" w:cs="Calibri"/>
        <w:sz w:val="18"/>
        <w:szCs w:val="18"/>
      </w:rPr>
    </w:pPr>
    <w:r>
      <w:rPr>
        <w:rFonts w:ascii="Calibri" w:hAnsi="Calibri" w:eastAsia="Calibri" w:cs="Calibri"/>
        <w:spacing w:val="-5"/>
        <w:sz w:val="18"/>
        <w:szCs w:val="18"/>
      </w:rPr>
      <w:t>55</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6675D">
    <w:pPr>
      <w:spacing w:line="169" w:lineRule="auto"/>
      <w:ind w:left="4784"/>
      <w:rPr>
        <w:rFonts w:ascii="Calibri" w:hAnsi="Calibri" w:eastAsia="Calibri" w:cs="Calibri"/>
        <w:sz w:val="18"/>
        <w:szCs w:val="18"/>
      </w:rPr>
    </w:pPr>
    <w:r>
      <w:rPr>
        <w:rFonts w:ascii="Calibri" w:hAnsi="Calibri" w:eastAsia="Calibri" w:cs="Calibri"/>
        <w:spacing w:val="-5"/>
        <w:sz w:val="18"/>
        <w:szCs w:val="18"/>
      </w:rPr>
      <w:t>56</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EDA2A6">
    <w:pPr>
      <w:spacing w:line="167" w:lineRule="auto"/>
      <w:ind w:left="4784"/>
      <w:rPr>
        <w:rFonts w:ascii="Calibri" w:hAnsi="Calibri" w:eastAsia="Calibri" w:cs="Calibri"/>
        <w:sz w:val="18"/>
        <w:szCs w:val="18"/>
      </w:rPr>
    </w:pPr>
    <w:r>
      <w:rPr>
        <w:rFonts w:ascii="Calibri" w:hAnsi="Calibri" w:eastAsia="Calibri" w:cs="Calibri"/>
        <w:spacing w:val="-5"/>
        <w:sz w:val="18"/>
        <w:szCs w:val="18"/>
      </w:rPr>
      <w:t>57</w: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DEC31">
    <w:pPr>
      <w:spacing w:line="169" w:lineRule="auto"/>
      <w:ind w:left="4784"/>
      <w:rPr>
        <w:rFonts w:ascii="Calibri" w:hAnsi="Calibri" w:eastAsia="Calibri" w:cs="Calibri"/>
        <w:sz w:val="18"/>
        <w:szCs w:val="18"/>
      </w:rPr>
    </w:pPr>
    <w:r>
      <w:rPr>
        <w:rFonts w:ascii="Calibri" w:hAnsi="Calibri" w:eastAsia="Calibri" w:cs="Calibri"/>
        <w:spacing w:val="-5"/>
        <w:sz w:val="18"/>
        <w:szCs w:val="18"/>
      </w:rPr>
      <w:t>58</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C3209">
    <w:pPr>
      <w:pStyle w:val="2"/>
      <w:spacing w:line="14" w:lineRule="auto"/>
      <w:rPr>
        <w:sz w:val="2"/>
      </w:rPr>
    </w:pP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366D1">
    <w:pPr>
      <w:spacing w:line="169" w:lineRule="auto"/>
      <w:ind w:left="4784"/>
      <w:rPr>
        <w:rFonts w:ascii="Calibri" w:hAnsi="Calibri" w:eastAsia="Calibri" w:cs="Calibri"/>
        <w:sz w:val="18"/>
        <w:szCs w:val="18"/>
      </w:rPr>
    </w:pPr>
    <w:r>
      <w:rPr>
        <w:rFonts w:ascii="Calibri" w:hAnsi="Calibri" w:eastAsia="Calibri" w:cs="Calibri"/>
        <w:spacing w:val="-5"/>
        <w:sz w:val="18"/>
        <w:szCs w:val="18"/>
      </w:rPr>
      <w:t>60</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93AAC">
    <w:pPr>
      <w:spacing w:line="169" w:lineRule="auto"/>
      <w:ind w:left="4561"/>
      <w:rPr>
        <w:rFonts w:ascii="Calibri" w:hAnsi="Calibri" w:eastAsia="Calibri" w:cs="Calibri"/>
        <w:sz w:val="18"/>
        <w:szCs w:val="18"/>
      </w:rPr>
    </w:pPr>
    <w:r>
      <w:rPr>
        <w:rFonts w:ascii="Calibri" w:hAnsi="Calibri" w:eastAsia="Calibri" w:cs="Calibri"/>
        <w:spacing w:val="-5"/>
        <w:sz w:val="18"/>
        <w:szCs w:val="18"/>
      </w:rPr>
      <w:t>61</w: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3FDF7">
    <w:pPr>
      <w:spacing w:line="169" w:lineRule="auto"/>
      <w:ind w:left="4561"/>
      <w:rPr>
        <w:rFonts w:ascii="Calibri" w:hAnsi="Calibri" w:eastAsia="Calibri" w:cs="Calibri"/>
        <w:sz w:val="18"/>
        <w:szCs w:val="18"/>
      </w:rPr>
    </w:pPr>
    <w:r>
      <w:rPr>
        <w:rFonts w:ascii="Calibri" w:hAnsi="Calibri" w:eastAsia="Calibri" w:cs="Calibri"/>
        <w:spacing w:val="-5"/>
        <w:sz w:val="18"/>
        <w:szCs w:val="18"/>
      </w:rPr>
      <w:t>62</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24B24">
    <w:pPr>
      <w:spacing w:line="169" w:lineRule="auto"/>
      <w:ind w:left="4561"/>
      <w:rPr>
        <w:rFonts w:ascii="Calibri" w:hAnsi="Calibri" w:eastAsia="Calibri" w:cs="Calibri"/>
        <w:sz w:val="18"/>
        <w:szCs w:val="18"/>
      </w:rPr>
    </w:pPr>
    <w:r>
      <w:rPr>
        <w:rFonts w:ascii="Calibri" w:hAnsi="Calibri" w:eastAsia="Calibri" w:cs="Calibri"/>
        <w:spacing w:val="-5"/>
        <w:sz w:val="18"/>
        <w:szCs w:val="18"/>
      </w:rPr>
      <w:t>63</w:t>
    </w: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5072ED">
    <w:pPr>
      <w:spacing w:line="169" w:lineRule="auto"/>
      <w:ind w:left="4561"/>
      <w:rPr>
        <w:rFonts w:ascii="Calibri" w:hAnsi="Calibri" w:eastAsia="Calibri" w:cs="Calibri"/>
        <w:sz w:val="18"/>
        <w:szCs w:val="18"/>
      </w:rPr>
    </w:pPr>
    <w:r>
      <w:rPr>
        <w:rFonts w:ascii="Calibri" w:hAnsi="Calibri" w:eastAsia="Calibri" w:cs="Calibri"/>
        <w:spacing w:val="-5"/>
        <w:sz w:val="18"/>
        <w:szCs w:val="18"/>
      </w:rPr>
      <w:t>64</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57337">
    <w:pPr>
      <w:spacing w:line="169" w:lineRule="auto"/>
      <w:ind w:left="4561"/>
      <w:rPr>
        <w:rFonts w:ascii="Calibri" w:hAnsi="Calibri" w:eastAsia="Calibri" w:cs="Calibri"/>
        <w:sz w:val="18"/>
        <w:szCs w:val="18"/>
      </w:rPr>
    </w:pPr>
    <w:r>
      <w:rPr>
        <w:rFonts w:ascii="Calibri" w:hAnsi="Calibri" w:eastAsia="Calibri" w:cs="Calibri"/>
        <w:spacing w:val="-5"/>
        <w:sz w:val="18"/>
        <w:szCs w:val="18"/>
      </w:rPr>
      <w:t>65</w: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6DA579">
    <w:pPr>
      <w:spacing w:line="169" w:lineRule="auto"/>
      <w:ind w:left="4561"/>
      <w:rPr>
        <w:rFonts w:ascii="Calibri" w:hAnsi="Calibri" w:eastAsia="Calibri" w:cs="Calibri"/>
        <w:sz w:val="18"/>
        <w:szCs w:val="18"/>
      </w:rPr>
    </w:pPr>
    <w:r>
      <w:rPr>
        <w:rFonts w:ascii="Calibri" w:hAnsi="Calibri" w:eastAsia="Calibri" w:cs="Calibri"/>
        <w:spacing w:val="-5"/>
        <w:sz w:val="18"/>
        <w:szCs w:val="18"/>
      </w:rPr>
      <w:t>66</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4D2C1">
    <w:pPr>
      <w:spacing w:line="169" w:lineRule="auto"/>
      <w:ind w:left="4561"/>
      <w:rPr>
        <w:rFonts w:ascii="Calibri" w:hAnsi="Calibri" w:eastAsia="Calibri" w:cs="Calibri"/>
        <w:sz w:val="18"/>
        <w:szCs w:val="18"/>
      </w:rPr>
    </w:pPr>
    <w:r>
      <w:rPr>
        <w:rFonts w:ascii="Calibri" w:hAnsi="Calibri" w:eastAsia="Calibri" w:cs="Calibri"/>
        <w:spacing w:val="-5"/>
        <w:sz w:val="18"/>
        <w:szCs w:val="18"/>
      </w:rPr>
      <w:t>67</w: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2E777">
    <w:pPr>
      <w:spacing w:line="169" w:lineRule="auto"/>
      <w:ind w:left="4561"/>
      <w:rPr>
        <w:rFonts w:ascii="Calibri" w:hAnsi="Calibri" w:eastAsia="Calibri" w:cs="Calibri"/>
        <w:sz w:val="18"/>
        <w:szCs w:val="18"/>
      </w:rPr>
    </w:pPr>
    <w:r>
      <w:rPr>
        <w:rFonts w:ascii="Calibri" w:hAnsi="Calibri" w:eastAsia="Calibri" w:cs="Calibri"/>
        <w:spacing w:val="-5"/>
        <w:sz w:val="18"/>
        <w:szCs w:val="18"/>
      </w:rPr>
      <w:t>68</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1DA9D2">
    <w:pPr>
      <w:spacing w:line="169" w:lineRule="auto"/>
      <w:ind w:left="4561"/>
      <w:rPr>
        <w:rFonts w:ascii="Calibri" w:hAnsi="Calibri" w:eastAsia="Calibri" w:cs="Calibri"/>
        <w:sz w:val="18"/>
        <w:szCs w:val="18"/>
      </w:rPr>
    </w:pPr>
    <w:r>
      <w:rPr>
        <w:rFonts w:ascii="Calibri" w:hAnsi="Calibri" w:eastAsia="Calibri" w:cs="Calibri"/>
        <w:spacing w:val="-5"/>
        <w:sz w:val="18"/>
        <w:szCs w:val="18"/>
      </w:rPr>
      <w:t>69</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82C3FC">
    <w:pPr>
      <w:spacing w:line="169" w:lineRule="auto"/>
      <w:ind w:left="4560"/>
      <w:rPr>
        <w:rFonts w:ascii="Calibri" w:hAnsi="Calibri" w:eastAsia="Calibri" w:cs="Calibri"/>
        <w:sz w:val="18"/>
        <w:szCs w:val="18"/>
      </w:rPr>
    </w:pPr>
    <w:r>
      <w:rPr>
        <w:rFonts w:ascii="Calibri" w:hAnsi="Calibri" w:eastAsia="Calibri" w:cs="Calibri"/>
        <w:spacing w:val="-5"/>
        <w:sz w:val="18"/>
        <w:szCs w:val="18"/>
      </w:rPr>
      <w:t>70</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D0919">
    <w:pPr>
      <w:spacing w:line="168" w:lineRule="auto"/>
      <w:ind w:left="4560"/>
      <w:rPr>
        <w:rFonts w:ascii="Calibri" w:hAnsi="Calibri" w:eastAsia="Calibri" w:cs="Calibri"/>
        <w:sz w:val="18"/>
        <w:szCs w:val="18"/>
      </w:rPr>
    </w:pPr>
    <w:r>
      <w:rPr>
        <w:rFonts w:ascii="Calibri" w:hAnsi="Calibri" w:eastAsia="Calibri" w:cs="Calibri"/>
        <w:spacing w:val="-5"/>
        <w:sz w:val="18"/>
        <w:szCs w:val="18"/>
      </w:rPr>
      <w:t>71</w: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ED804">
    <w:pPr>
      <w:spacing w:line="169" w:lineRule="auto"/>
      <w:ind w:left="4560"/>
      <w:rPr>
        <w:rFonts w:ascii="Calibri" w:hAnsi="Calibri" w:eastAsia="Calibri" w:cs="Calibri"/>
        <w:sz w:val="18"/>
        <w:szCs w:val="18"/>
      </w:rPr>
    </w:pPr>
    <w:r>
      <w:rPr>
        <w:rFonts w:ascii="Calibri" w:hAnsi="Calibri" w:eastAsia="Calibri" w:cs="Calibri"/>
        <w:spacing w:val="-5"/>
        <w:sz w:val="18"/>
        <w:szCs w:val="18"/>
      </w:rPr>
      <w:t>72</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CFEE7">
    <w:pPr>
      <w:pStyle w:val="2"/>
      <w:spacing w:line="14" w:lineRule="auto"/>
      <w:rPr>
        <w:sz w:val="2"/>
      </w:rPr>
    </w:pP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FF614">
    <w:pPr>
      <w:spacing w:line="168" w:lineRule="auto"/>
      <w:ind w:left="4560"/>
      <w:rPr>
        <w:rFonts w:ascii="Calibri" w:hAnsi="Calibri" w:eastAsia="Calibri" w:cs="Calibri"/>
        <w:sz w:val="18"/>
        <w:szCs w:val="18"/>
      </w:rPr>
    </w:pPr>
    <w:r>
      <w:rPr>
        <w:rFonts w:ascii="Calibri" w:hAnsi="Calibri" w:eastAsia="Calibri" w:cs="Calibri"/>
        <w:spacing w:val="-5"/>
        <w:sz w:val="18"/>
        <w:szCs w:val="18"/>
      </w:rPr>
      <w:t>74</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D8CB0">
    <w:pPr>
      <w:spacing w:line="167" w:lineRule="auto"/>
      <w:ind w:left="4560"/>
      <w:rPr>
        <w:rFonts w:ascii="Calibri" w:hAnsi="Calibri" w:eastAsia="Calibri" w:cs="Calibri"/>
        <w:sz w:val="18"/>
        <w:szCs w:val="18"/>
      </w:rPr>
    </w:pPr>
    <w:r>
      <w:rPr>
        <w:rFonts w:ascii="Calibri" w:hAnsi="Calibri" w:eastAsia="Calibri" w:cs="Calibri"/>
        <w:spacing w:val="-5"/>
        <w:sz w:val="18"/>
        <w:szCs w:val="18"/>
      </w:rPr>
      <w:t>75</w: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5F9BAF">
    <w:pPr>
      <w:spacing w:line="169" w:lineRule="auto"/>
      <w:ind w:left="4560"/>
      <w:rPr>
        <w:rFonts w:ascii="Calibri" w:hAnsi="Calibri" w:eastAsia="Calibri" w:cs="Calibri"/>
        <w:sz w:val="18"/>
        <w:szCs w:val="18"/>
      </w:rPr>
    </w:pPr>
    <w:r>
      <w:rPr>
        <w:rFonts w:ascii="Calibri" w:hAnsi="Calibri" w:eastAsia="Calibri" w:cs="Calibri"/>
        <w:spacing w:val="-5"/>
        <w:sz w:val="18"/>
        <w:szCs w:val="18"/>
      </w:rPr>
      <w:t>76</w: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1E6B0">
    <w:pPr>
      <w:spacing w:line="167" w:lineRule="auto"/>
      <w:ind w:left="4560"/>
      <w:rPr>
        <w:rFonts w:ascii="Calibri" w:hAnsi="Calibri" w:eastAsia="Calibri" w:cs="Calibri"/>
        <w:sz w:val="18"/>
        <w:szCs w:val="18"/>
      </w:rPr>
    </w:pPr>
    <w:r>
      <w:rPr>
        <w:rFonts w:ascii="Calibri" w:hAnsi="Calibri" w:eastAsia="Calibri" w:cs="Calibri"/>
        <w:spacing w:val="-5"/>
        <w:sz w:val="18"/>
        <w:szCs w:val="18"/>
      </w:rPr>
      <w:t>77</w: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60019">
    <w:pPr>
      <w:spacing w:line="169" w:lineRule="auto"/>
      <w:ind w:left="4560"/>
      <w:rPr>
        <w:rFonts w:ascii="Calibri" w:hAnsi="Calibri" w:eastAsia="Calibri" w:cs="Calibri"/>
        <w:sz w:val="18"/>
        <w:szCs w:val="18"/>
      </w:rPr>
    </w:pPr>
    <w:r>
      <w:rPr>
        <w:rFonts w:ascii="Calibri" w:hAnsi="Calibri" w:eastAsia="Calibri" w:cs="Calibri"/>
        <w:spacing w:val="-5"/>
        <w:sz w:val="18"/>
        <w:szCs w:val="18"/>
      </w:rPr>
      <w:t>78</w: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E14A3F">
    <w:pPr>
      <w:spacing w:line="169" w:lineRule="auto"/>
      <w:ind w:left="4560"/>
      <w:rPr>
        <w:rFonts w:ascii="Calibri" w:hAnsi="Calibri" w:eastAsia="Calibri" w:cs="Calibri"/>
        <w:sz w:val="18"/>
        <w:szCs w:val="18"/>
      </w:rPr>
    </w:pPr>
    <w:r>
      <w:rPr>
        <w:rFonts w:ascii="Calibri" w:hAnsi="Calibri" w:eastAsia="Calibri" w:cs="Calibri"/>
        <w:spacing w:val="-5"/>
        <w:sz w:val="18"/>
        <w:szCs w:val="18"/>
      </w:rPr>
      <w:t>79</w: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309918">
    <w:pPr>
      <w:spacing w:line="169" w:lineRule="auto"/>
      <w:ind w:left="4559"/>
      <w:rPr>
        <w:rFonts w:ascii="Calibri" w:hAnsi="Calibri" w:eastAsia="Calibri" w:cs="Calibri"/>
        <w:sz w:val="18"/>
        <w:szCs w:val="18"/>
      </w:rPr>
    </w:pPr>
    <w:r>
      <w:rPr>
        <w:rFonts w:ascii="Calibri" w:hAnsi="Calibri" w:eastAsia="Calibri" w:cs="Calibri"/>
        <w:spacing w:val="-4"/>
        <w:sz w:val="18"/>
        <w:szCs w:val="18"/>
      </w:rPr>
      <w:t>80</w: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8738D">
    <w:pPr>
      <w:spacing w:line="169" w:lineRule="auto"/>
      <w:ind w:left="4559"/>
      <w:rPr>
        <w:rFonts w:ascii="Calibri" w:hAnsi="Calibri" w:eastAsia="Calibri" w:cs="Calibri"/>
        <w:sz w:val="18"/>
        <w:szCs w:val="18"/>
      </w:rPr>
    </w:pPr>
    <w:r>
      <w:rPr>
        <w:rFonts w:ascii="Calibri" w:hAnsi="Calibri" w:eastAsia="Calibri" w:cs="Calibri"/>
        <w:spacing w:val="-4"/>
        <w:sz w:val="18"/>
        <w:szCs w:val="18"/>
      </w:rPr>
      <w:t>81</w: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9BEF6">
    <w:pPr>
      <w:spacing w:line="169" w:lineRule="auto"/>
      <w:ind w:left="4559"/>
      <w:rPr>
        <w:rFonts w:ascii="Calibri" w:hAnsi="Calibri" w:eastAsia="Calibri" w:cs="Calibri"/>
        <w:sz w:val="18"/>
        <w:szCs w:val="18"/>
      </w:rPr>
    </w:pPr>
    <w:r>
      <w:rPr>
        <w:rFonts w:ascii="Calibri" w:hAnsi="Calibri" w:eastAsia="Calibri" w:cs="Calibri"/>
        <w:spacing w:val="-4"/>
        <w:sz w:val="18"/>
        <w:szCs w:val="18"/>
      </w:rPr>
      <w:t>82</w: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B7240">
    <w:pPr>
      <w:spacing w:line="169" w:lineRule="auto"/>
      <w:ind w:left="4559"/>
      <w:rPr>
        <w:rFonts w:ascii="Calibri" w:hAnsi="Calibri" w:eastAsia="Calibri" w:cs="Calibri"/>
        <w:sz w:val="18"/>
        <w:szCs w:val="18"/>
      </w:rPr>
    </w:pPr>
    <w:r>
      <w:rPr>
        <w:rFonts w:ascii="Calibri" w:hAnsi="Calibri" w:eastAsia="Calibri" w:cs="Calibri"/>
        <w:spacing w:val="-4"/>
        <w:sz w:val="18"/>
        <w:szCs w:val="18"/>
      </w:rPr>
      <w:t>83</w:t>
    </w: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5E03B">
    <w:pPr>
      <w:spacing w:line="169" w:lineRule="auto"/>
      <w:ind w:left="4559"/>
      <w:rPr>
        <w:rFonts w:ascii="Calibri" w:hAnsi="Calibri" w:eastAsia="Calibri" w:cs="Calibri"/>
        <w:sz w:val="18"/>
        <w:szCs w:val="18"/>
      </w:rPr>
    </w:pPr>
    <w:r>
      <w:rPr>
        <w:rFonts w:ascii="Calibri" w:hAnsi="Calibri" w:eastAsia="Calibri" w:cs="Calibri"/>
        <w:spacing w:val="-4"/>
        <w:sz w:val="18"/>
        <w:szCs w:val="18"/>
      </w:rPr>
      <w:t>84</w: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FF4E4">
    <w:pPr>
      <w:spacing w:line="169" w:lineRule="auto"/>
      <w:ind w:left="4559"/>
      <w:rPr>
        <w:rFonts w:ascii="Calibri" w:hAnsi="Calibri" w:eastAsia="Calibri" w:cs="Calibri"/>
        <w:sz w:val="18"/>
        <w:szCs w:val="18"/>
      </w:rPr>
    </w:pPr>
    <w:r>
      <w:rPr>
        <w:rFonts w:ascii="Calibri" w:hAnsi="Calibri" w:eastAsia="Calibri" w:cs="Calibri"/>
        <w:spacing w:val="-4"/>
        <w:sz w:val="18"/>
        <w:szCs w:val="18"/>
      </w:rPr>
      <w:t>85</w:t>
    </w: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3E794">
    <w:pPr>
      <w:spacing w:line="169" w:lineRule="auto"/>
      <w:ind w:left="4559"/>
      <w:rPr>
        <w:rFonts w:ascii="Calibri" w:hAnsi="Calibri" w:eastAsia="Calibri" w:cs="Calibri"/>
        <w:sz w:val="18"/>
        <w:szCs w:val="18"/>
      </w:rPr>
    </w:pPr>
    <w:r>
      <w:rPr>
        <w:rFonts w:ascii="Calibri" w:hAnsi="Calibri" w:eastAsia="Calibri" w:cs="Calibri"/>
        <w:spacing w:val="-4"/>
        <w:sz w:val="18"/>
        <w:szCs w:val="18"/>
      </w:rPr>
      <w:t>86</w: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5FAF4E">
    <w:pPr>
      <w:pStyle w:val="2"/>
      <w:spacing w:line="14" w:lineRule="auto"/>
      <w:rPr>
        <w:sz w:val="2"/>
      </w:rPr>
    </w:pP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C471BE">
    <w:pPr>
      <w:spacing w:line="169" w:lineRule="auto"/>
      <w:ind w:left="4559"/>
      <w:rPr>
        <w:rFonts w:ascii="Calibri" w:hAnsi="Calibri" w:eastAsia="Calibri" w:cs="Calibri"/>
        <w:sz w:val="18"/>
        <w:szCs w:val="18"/>
      </w:rPr>
    </w:pPr>
    <w:r>
      <w:rPr>
        <w:rFonts w:ascii="Calibri" w:hAnsi="Calibri" w:eastAsia="Calibri" w:cs="Calibri"/>
        <w:spacing w:val="-4"/>
        <w:sz w:val="18"/>
        <w:szCs w:val="18"/>
      </w:rPr>
      <w:t>88</w: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6C389">
    <w:pPr>
      <w:spacing w:line="169" w:lineRule="auto"/>
      <w:ind w:left="4559"/>
      <w:rPr>
        <w:rFonts w:ascii="Calibri" w:hAnsi="Calibri" w:eastAsia="Calibri" w:cs="Calibri"/>
        <w:sz w:val="18"/>
        <w:szCs w:val="18"/>
      </w:rPr>
    </w:pPr>
    <w:r>
      <w:rPr>
        <w:rFonts w:ascii="Calibri" w:hAnsi="Calibri" w:eastAsia="Calibri" w:cs="Calibri"/>
        <w:spacing w:val="-4"/>
        <w:sz w:val="18"/>
        <w:szCs w:val="18"/>
      </w:rPr>
      <w:t>89</w: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85B15E">
    <w:pPr>
      <w:spacing w:line="169" w:lineRule="auto"/>
      <w:ind w:left="4559"/>
      <w:rPr>
        <w:rFonts w:ascii="Calibri" w:hAnsi="Calibri" w:eastAsia="Calibri" w:cs="Calibri"/>
        <w:sz w:val="18"/>
        <w:szCs w:val="18"/>
      </w:rPr>
    </w:pPr>
    <w:r>
      <w:rPr>
        <w:rFonts w:ascii="Calibri" w:hAnsi="Calibri" w:eastAsia="Calibri" w:cs="Calibri"/>
        <w:spacing w:val="-4"/>
        <w:sz w:val="18"/>
        <w:szCs w:val="18"/>
      </w:rPr>
      <w:t>90</w: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2F52E">
    <w:pPr>
      <w:spacing w:line="169" w:lineRule="auto"/>
      <w:ind w:left="4559"/>
      <w:rPr>
        <w:rFonts w:ascii="Calibri" w:hAnsi="Calibri" w:eastAsia="Calibri" w:cs="Calibri"/>
        <w:sz w:val="18"/>
        <w:szCs w:val="18"/>
      </w:rPr>
    </w:pPr>
    <w:r>
      <w:rPr>
        <w:rFonts w:ascii="Calibri" w:hAnsi="Calibri" w:eastAsia="Calibri" w:cs="Calibri"/>
        <w:spacing w:val="-4"/>
        <w:sz w:val="18"/>
        <w:szCs w:val="18"/>
      </w:rPr>
      <w:t>91</w:t>
    </w: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F73CD">
    <w:pPr>
      <w:spacing w:line="169" w:lineRule="auto"/>
      <w:ind w:left="4559"/>
      <w:rPr>
        <w:rFonts w:ascii="Calibri" w:hAnsi="Calibri" w:eastAsia="Calibri" w:cs="Calibri"/>
        <w:sz w:val="18"/>
        <w:szCs w:val="18"/>
      </w:rPr>
    </w:pPr>
    <w:r>
      <w:rPr>
        <w:rFonts w:ascii="Calibri" w:hAnsi="Calibri" w:eastAsia="Calibri" w:cs="Calibri"/>
        <w:spacing w:val="-4"/>
        <w:sz w:val="18"/>
        <w:szCs w:val="18"/>
      </w:rPr>
      <w:t>92</w: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EB50C">
    <w:pPr>
      <w:spacing w:line="169" w:lineRule="auto"/>
      <w:ind w:left="4559"/>
      <w:rPr>
        <w:rFonts w:ascii="Calibri" w:hAnsi="Calibri" w:eastAsia="Calibri" w:cs="Calibri"/>
        <w:sz w:val="18"/>
        <w:szCs w:val="18"/>
      </w:rPr>
    </w:pPr>
    <w:r>
      <w:rPr>
        <w:rFonts w:ascii="Calibri" w:hAnsi="Calibri" w:eastAsia="Calibri" w:cs="Calibri"/>
        <w:spacing w:val="-4"/>
        <w:sz w:val="18"/>
        <w:szCs w:val="18"/>
      </w:rPr>
      <w:t>93</w: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30991">
    <w:pPr>
      <w:spacing w:line="169" w:lineRule="auto"/>
      <w:ind w:left="4789"/>
      <w:rPr>
        <w:rFonts w:ascii="Calibri" w:hAnsi="Calibri" w:eastAsia="Calibri" w:cs="Calibri"/>
        <w:sz w:val="18"/>
        <w:szCs w:val="18"/>
      </w:rPr>
    </w:pPr>
    <w:r>
      <w:rPr>
        <w:rFonts w:ascii="Calibri" w:hAnsi="Calibri" w:eastAsia="Calibri" w:cs="Calibri"/>
        <w:spacing w:val="-4"/>
        <w:sz w:val="18"/>
        <w:szCs w:val="18"/>
      </w:rPr>
      <w:t>94</w:t>
    </w: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25A8FC">
    <w:pPr>
      <w:spacing w:line="169" w:lineRule="auto"/>
      <w:ind w:left="4789"/>
      <w:rPr>
        <w:rFonts w:ascii="Calibri" w:hAnsi="Calibri" w:eastAsia="Calibri" w:cs="Calibri"/>
        <w:sz w:val="18"/>
        <w:szCs w:val="18"/>
      </w:rPr>
    </w:pPr>
    <w:r>
      <w:rPr>
        <w:rFonts w:ascii="Calibri" w:hAnsi="Calibri" w:eastAsia="Calibri" w:cs="Calibri"/>
        <w:spacing w:val="-4"/>
        <w:sz w:val="18"/>
        <w:szCs w:val="18"/>
      </w:rPr>
      <w:t>95</w: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2E25C">
    <w:pPr>
      <w:spacing w:line="169" w:lineRule="auto"/>
      <w:ind w:left="4789"/>
      <w:rPr>
        <w:rFonts w:ascii="Calibri" w:hAnsi="Calibri" w:eastAsia="Calibri" w:cs="Calibri"/>
        <w:sz w:val="18"/>
        <w:szCs w:val="18"/>
      </w:rPr>
    </w:pPr>
    <w:r>
      <w:rPr>
        <w:rFonts w:ascii="Calibri" w:hAnsi="Calibri" w:eastAsia="Calibri" w:cs="Calibri"/>
        <w:spacing w:val="-4"/>
        <w:sz w:val="18"/>
        <w:szCs w:val="18"/>
      </w:rPr>
      <w:t>96</w:t>
    </w: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FB5F17">
    <w:pPr>
      <w:spacing w:line="169" w:lineRule="auto"/>
      <w:ind w:left="4786"/>
      <w:rPr>
        <w:rFonts w:ascii="Calibri" w:hAnsi="Calibri" w:eastAsia="Calibri" w:cs="Calibri"/>
        <w:sz w:val="18"/>
        <w:szCs w:val="18"/>
      </w:rPr>
    </w:pPr>
    <w:r>
      <w:rPr>
        <w:rFonts w:ascii="Calibri" w:hAnsi="Calibri" w:eastAsia="Calibri" w:cs="Calibri"/>
        <w:spacing w:val="-4"/>
        <w:sz w:val="18"/>
        <w:szCs w:val="18"/>
      </w:rPr>
      <w:t>97</w: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3870A">
    <w:pPr>
      <w:spacing w:line="169" w:lineRule="auto"/>
      <w:ind w:left="7489"/>
      <w:rPr>
        <w:rFonts w:ascii="Calibri" w:hAnsi="Calibri" w:eastAsia="Calibri" w:cs="Calibri"/>
        <w:sz w:val="18"/>
        <w:szCs w:val="18"/>
      </w:rPr>
    </w:pPr>
    <w:r>
      <w:rPr>
        <w:rFonts w:ascii="Calibri" w:hAnsi="Calibri" w:eastAsia="Calibri" w:cs="Calibri"/>
        <w:spacing w:val="-4"/>
        <w:sz w:val="18"/>
        <w:szCs w:val="18"/>
      </w:rPr>
      <w:t>98</w:t>
    </w: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7B2C7">
    <w:pPr>
      <w:spacing w:line="169" w:lineRule="auto"/>
      <w:ind w:left="4607"/>
      <w:rPr>
        <w:rFonts w:ascii="Calibri" w:hAnsi="Calibri" w:eastAsia="Calibri" w:cs="Calibri"/>
        <w:sz w:val="18"/>
        <w:szCs w:val="18"/>
      </w:rPr>
    </w:pPr>
    <w:r>
      <w:rPr>
        <w:rFonts w:ascii="Calibri" w:hAnsi="Calibri" w:eastAsia="Calibri" w:cs="Calibri"/>
        <w:spacing w:val="-4"/>
        <w:sz w:val="18"/>
        <w:szCs w:val="18"/>
      </w:rPr>
      <w:t>99</w: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F6CBA">
    <w:pPr>
      <w:spacing w:line="169" w:lineRule="auto"/>
      <w:ind w:left="7371"/>
      <w:rPr>
        <w:rFonts w:ascii="Calibri" w:hAnsi="Calibri" w:eastAsia="Calibri" w:cs="Calibri"/>
        <w:sz w:val="18"/>
        <w:szCs w:val="18"/>
      </w:rPr>
    </w:pPr>
    <w:r>
      <w:rPr>
        <w:rFonts w:ascii="Calibri" w:hAnsi="Calibri" w:eastAsia="Calibri" w:cs="Calibri"/>
        <w:spacing w:val="-6"/>
        <w:sz w:val="18"/>
        <w:szCs w:val="18"/>
      </w:rPr>
      <w:t>100</w: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96E65">
    <w:pPr>
      <w:spacing w:line="169" w:lineRule="auto"/>
      <w:ind w:left="4451"/>
      <w:rPr>
        <w:rFonts w:ascii="Calibri" w:hAnsi="Calibri" w:eastAsia="Calibri" w:cs="Calibri"/>
        <w:sz w:val="18"/>
        <w:szCs w:val="18"/>
      </w:rPr>
    </w:pPr>
    <w:r>
      <w:rPr>
        <w:rFonts w:ascii="Calibri" w:hAnsi="Calibri" w:eastAsia="Calibri" w:cs="Calibri"/>
        <w:spacing w:val="-6"/>
        <w:sz w:val="18"/>
        <w:szCs w:val="18"/>
      </w:rPr>
      <w:t>101</w: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CE7E0">
    <w:pPr>
      <w:spacing w:line="169" w:lineRule="auto"/>
      <w:ind w:left="4902"/>
      <w:rPr>
        <w:rFonts w:ascii="Calibri" w:hAnsi="Calibri" w:eastAsia="Calibri" w:cs="Calibri"/>
        <w:sz w:val="18"/>
        <w:szCs w:val="18"/>
      </w:rPr>
    </w:pPr>
    <w:r>
      <w:rPr>
        <w:rFonts w:ascii="Calibri" w:hAnsi="Calibri" w:eastAsia="Calibri" w:cs="Calibri"/>
        <w:spacing w:val="-6"/>
        <w:sz w:val="18"/>
        <w:szCs w:val="18"/>
      </w:rPr>
      <w:t>102</w:t>
    </w: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D7308">
    <w:pPr>
      <w:spacing w:line="169" w:lineRule="auto"/>
      <w:ind w:left="4902"/>
      <w:rPr>
        <w:rFonts w:ascii="Calibri" w:hAnsi="Calibri" w:eastAsia="Calibri" w:cs="Calibri"/>
        <w:sz w:val="18"/>
        <w:szCs w:val="18"/>
      </w:rPr>
    </w:pPr>
    <w:r>
      <w:rPr>
        <w:rFonts w:ascii="Calibri" w:hAnsi="Calibri" w:eastAsia="Calibri" w:cs="Calibri"/>
        <w:spacing w:val="-6"/>
        <w:sz w:val="18"/>
        <w:szCs w:val="18"/>
      </w:rPr>
      <w:t>103</w: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D4BEE">
    <w:pPr>
      <w:spacing w:line="169" w:lineRule="auto"/>
      <w:ind w:left="4930"/>
      <w:rPr>
        <w:rFonts w:ascii="Calibri" w:hAnsi="Calibri" w:eastAsia="Calibri" w:cs="Calibri"/>
        <w:sz w:val="18"/>
        <w:szCs w:val="18"/>
      </w:rPr>
    </w:pPr>
    <w:r>
      <w:rPr>
        <w:rFonts w:ascii="Calibri" w:hAnsi="Calibri" w:eastAsia="Calibri" w:cs="Calibri"/>
        <w:spacing w:val="-6"/>
        <w:sz w:val="18"/>
        <w:szCs w:val="18"/>
      </w:rPr>
      <w:t>104</w:t>
    </w: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ABD8A">
    <w:pPr>
      <w:spacing w:line="169" w:lineRule="auto"/>
      <w:ind w:left="4930"/>
      <w:rPr>
        <w:rFonts w:ascii="Calibri" w:hAnsi="Calibri" w:eastAsia="Calibri" w:cs="Calibri"/>
        <w:sz w:val="18"/>
        <w:szCs w:val="18"/>
      </w:rPr>
    </w:pPr>
    <w:r>
      <w:rPr>
        <w:rFonts w:ascii="Calibri" w:hAnsi="Calibri" w:eastAsia="Calibri" w:cs="Calibri"/>
        <w:spacing w:val="-6"/>
        <w:sz w:val="18"/>
        <w:szCs w:val="18"/>
      </w:rPr>
      <w:t>105</w:t>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56648">
    <w:pPr>
      <w:spacing w:line="169" w:lineRule="auto"/>
      <w:ind w:left="4930"/>
      <w:rPr>
        <w:rFonts w:ascii="Calibri" w:hAnsi="Calibri" w:eastAsia="Calibri" w:cs="Calibri"/>
        <w:sz w:val="18"/>
        <w:szCs w:val="18"/>
      </w:rPr>
    </w:pPr>
    <w:r>
      <w:rPr>
        <w:rFonts w:ascii="Calibri" w:hAnsi="Calibri" w:eastAsia="Calibri" w:cs="Calibri"/>
        <w:spacing w:val="-6"/>
        <w:sz w:val="18"/>
        <w:szCs w:val="18"/>
      </w:rPr>
      <w:t>106</w:t>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10FF78">
    <w:pPr>
      <w:spacing w:line="169" w:lineRule="auto"/>
      <w:ind w:left="4930"/>
      <w:rPr>
        <w:rFonts w:ascii="Calibri" w:hAnsi="Calibri" w:eastAsia="Calibri" w:cs="Calibri"/>
        <w:sz w:val="18"/>
        <w:szCs w:val="18"/>
      </w:rPr>
    </w:pPr>
    <w:r>
      <w:rPr>
        <w:rFonts w:ascii="Calibri" w:hAnsi="Calibri" w:eastAsia="Calibri" w:cs="Calibri"/>
        <w:spacing w:val="-6"/>
        <w:sz w:val="18"/>
        <w:szCs w:val="18"/>
      </w:rPr>
      <w:t>107</w:t>
    </w: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3449E">
    <w:pPr>
      <w:spacing w:line="168" w:lineRule="auto"/>
      <w:ind w:left="5004"/>
      <w:rPr>
        <w:rFonts w:ascii="Calibri" w:hAnsi="Calibri" w:eastAsia="Calibri" w:cs="Calibri"/>
        <w:sz w:val="18"/>
        <w:szCs w:val="18"/>
      </w:rPr>
    </w:pPr>
    <w:r>
      <w:rPr>
        <w:rFonts w:ascii="Calibri" w:hAnsi="Calibri" w:eastAsia="Calibri" w:cs="Calibri"/>
        <w:spacing w:val="-6"/>
        <w:sz w:val="18"/>
        <w:szCs w:val="18"/>
      </w:rPr>
      <w:t>145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88646CA"/>
    <w:rsid w:val="36665298"/>
    <w:rsid w:val="691E0154"/>
    <w:rsid w:val="78E63F3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4"/>
      <w:szCs w:val="24"/>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95.xml"/><Relationship Id="rId98" Type="http://schemas.openxmlformats.org/officeDocument/2006/relationships/footer" Target="footer94.xml"/><Relationship Id="rId97" Type="http://schemas.openxmlformats.org/officeDocument/2006/relationships/footer" Target="footer93.xml"/><Relationship Id="rId96" Type="http://schemas.openxmlformats.org/officeDocument/2006/relationships/footer" Target="footer92.xml"/><Relationship Id="rId95" Type="http://schemas.openxmlformats.org/officeDocument/2006/relationships/footer" Target="footer91.xml"/><Relationship Id="rId94" Type="http://schemas.openxmlformats.org/officeDocument/2006/relationships/footer" Target="footer90.xml"/><Relationship Id="rId93" Type="http://schemas.openxmlformats.org/officeDocument/2006/relationships/footer" Target="footer89.xml"/><Relationship Id="rId92" Type="http://schemas.openxmlformats.org/officeDocument/2006/relationships/footer" Target="footer88.xml"/><Relationship Id="rId91" Type="http://schemas.openxmlformats.org/officeDocument/2006/relationships/footer" Target="footer87.xml"/><Relationship Id="rId90" Type="http://schemas.openxmlformats.org/officeDocument/2006/relationships/footer" Target="footer86.xml"/><Relationship Id="rId9" Type="http://schemas.openxmlformats.org/officeDocument/2006/relationships/footer" Target="footer5.xml"/><Relationship Id="rId89" Type="http://schemas.openxmlformats.org/officeDocument/2006/relationships/footer" Target="footer85.xml"/><Relationship Id="rId88" Type="http://schemas.openxmlformats.org/officeDocument/2006/relationships/footer" Target="footer84.xml"/><Relationship Id="rId87" Type="http://schemas.openxmlformats.org/officeDocument/2006/relationships/footer" Target="footer83.xml"/><Relationship Id="rId86" Type="http://schemas.openxmlformats.org/officeDocument/2006/relationships/footer" Target="footer82.xml"/><Relationship Id="rId85" Type="http://schemas.openxmlformats.org/officeDocument/2006/relationships/footer" Target="footer81.xml"/><Relationship Id="rId84" Type="http://schemas.openxmlformats.org/officeDocument/2006/relationships/footer" Target="footer80.xml"/><Relationship Id="rId83" Type="http://schemas.openxmlformats.org/officeDocument/2006/relationships/footer" Target="footer79.xml"/><Relationship Id="rId82" Type="http://schemas.openxmlformats.org/officeDocument/2006/relationships/footer" Target="footer78.xml"/><Relationship Id="rId81" Type="http://schemas.openxmlformats.org/officeDocument/2006/relationships/footer" Target="footer77.xml"/><Relationship Id="rId80" Type="http://schemas.openxmlformats.org/officeDocument/2006/relationships/footer" Target="footer76.xml"/><Relationship Id="rId8" Type="http://schemas.openxmlformats.org/officeDocument/2006/relationships/footer" Target="footer4.xml"/><Relationship Id="rId79" Type="http://schemas.openxmlformats.org/officeDocument/2006/relationships/footer" Target="footer75.xml"/><Relationship Id="rId78" Type="http://schemas.openxmlformats.org/officeDocument/2006/relationships/footer" Target="footer74.xml"/><Relationship Id="rId77" Type="http://schemas.openxmlformats.org/officeDocument/2006/relationships/footer" Target="footer73.xml"/><Relationship Id="rId76" Type="http://schemas.openxmlformats.org/officeDocument/2006/relationships/footer" Target="footer72.xml"/><Relationship Id="rId75" Type="http://schemas.openxmlformats.org/officeDocument/2006/relationships/footer" Target="footer71.xml"/><Relationship Id="rId74" Type="http://schemas.openxmlformats.org/officeDocument/2006/relationships/footer" Target="footer70.xml"/><Relationship Id="rId73" Type="http://schemas.openxmlformats.org/officeDocument/2006/relationships/footer" Target="footer69.xml"/><Relationship Id="rId72" Type="http://schemas.openxmlformats.org/officeDocument/2006/relationships/footer" Target="footer68.xml"/><Relationship Id="rId71" Type="http://schemas.openxmlformats.org/officeDocument/2006/relationships/footer" Target="footer67.xml"/><Relationship Id="rId70" Type="http://schemas.openxmlformats.org/officeDocument/2006/relationships/footer" Target="footer66.xml"/><Relationship Id="rId7" Type="http://schemas.openxmlformats.org/officeDocument/2006/relationships/footer" Target="footer3.xml"/><Relationship Id="rId69" Type="http://schemas.openxmlformats.org/officeDocument/2006/relationships/footer" Target="footer65.xml"/><Relationship Id="rId68" Type="http://schemas.openxmlformats.org/officeDocument/2006/relationships/footer" Target="footer64.xml"/><Relationship Id="rId67" Type="http://schemas.openxmlformats.org/officeDocument/2006/relationships/footer" Target="footer63.xml"/><Relationship Id="rId66" Type="http://schemas.openxmlformats.org/officeDocument/2006/relationships/footer" Target="footer62.xml"/><Relationship Id="rId65" Type="http://schemas.openxmlformats.org/officeDocument/2006/relationships/footer" Target="footer61.xml"/><Relationship Id="rId64" Type="http://schemas.openxmlformats.org/officeDocument/2006/relationships/footer" Target="footer60.xml"/><Relationship Id="rId63" Type="http://schemas.openxmlformats.org/officeDocument/2006/relationships/footer" Target="footer59.xml"/><Relationship Id="rId62" Type="http://schemas.openxmlformats.org/officeDocument/2006/relationships/footer" Target="footer58.xml"/><Relationship Id="rId61" Type="http://schemas.openxmlformats.org/officeDocument/2006/relationships/footer" Target="footer57.xml"/><Relationship Id="rId60" Type="http://schemas.openxmlformats.org/officeDocument/2006/relationships/footer" Target="footer56.xml"/><Relationship Id="rId6" Type="http://schemas.openxmlformats.org/officeDocument/2006/relationships/footer" Target="footer2.xml"/><Relationship Id="rId59" Type="http://schemas.openxmlformats.org/officeDocument/2006/relationships/footer" Target="footer55.xml"/><Relationship Id="rId58" Type="http://schemas.openxmlformats.org/officeDocument/2006/relationships/footer" Target="footer54.xml"/><Relationship Id="rId57" Type="http://schemas.openxmlformats.org/officeDocument/2006/relationships/footer" Target="footer53.xml"/><Relationship Id="rId56" Type="http://schemas.openxmlformats.org/officeDocument/2006/relationships/footer" Target="footer52.xml"/><Relationship Id="rId55" Type="http://schemas.openxmlformats.org/officeDocument/2006/relationships/footer" Target="footer51.xml"/><Relationship Id="rId54" Type="http://schemas.openxmlformats.org/officeDocument/2006/relationships/footer" Target="footer50.xml"/><Relationship Id="rId53" Type="http://schemas.openxmlformats.org/officeDocument/2006/relationships/footer" Target="footer49.xml"/><Relationship Id="rId52" Type="http://schemas.openxmlformats.org/officeDocument/2006/relationships/footer" Target="footer48.xml"/><Relationship Id="rId51" Type="http://schemas.openxmlformats.org/officeDocument/2006/relationships/footer" Target="footer47.xml"/><Relationship Id="rId50" Type="http://schemas.openxmlformats.org/officeDocument/2006/relationships/footer" Target="footer46.xml"/><Relationship Id="rId5" Type="http://schemas.openxmlformats.org/officeDocument/2006/relationships/footer" Target="footer1.xml"/><Relationship Id="rId49" Type="http://schemas.openxmlformats.org/officeDocument/2006/relationships/footer" Target="footer45.xml"/><Relationship Id="rId48" Type="http://schemas.openxmlformats.org/officeDocument/2006/relationships/footer" Target="footer44.xml"/><Relationship Id="rId47" Type="http://schemas.openxmlformats.org/officeDocument/2006/relationships/footer" Target="footer43.xml"/><Relationship Id="rId46" Type="http://schemas.openxmlformats.org/officeDocument/2006/relationships/footer" Target="footer42.xml"/><Relationship Id="rId45" Type="http://schemas.openxmlformats.org/officeDocument/2006/relationships/footer" Target="footer41.xml"/><Relationship Id="rId44" Type="http://schemas.openxmlformats.org/officeDocument/2006/relationships/footer" Target="footer40.xml"/><Relationship Id="rId43" Type="http://schemas.openxmlformats.org/officeDocument/2006/relationships/footer" Target="footer39.xml"/><Relationship Id="rId42" Type="http://schemas.openxmlformats.org/officeDocument/2006/relationships/footer" Target="footer38.xml"/><Relationship Id="rId41" Type="http://schemas.openxmlformats.org/officeDocument/2006/relationships/footer" Target="footer37.xml"/><Relationship Id="rId40" Type="http://schemas.openxmlformats.org/officeDocument/2006/relationships/footer" Target="footer36.xml"/><Relationship Id="rId4" Type="http://schemas.openxmlformats.org/officeDocument/2006/relationships/endnotes" Target="endnotes.xml"/><Relationship Id="rId39" Type="http://schemas.openxmlformats.org/officeDocument/2006/relationships/footer" Target="footer35.xml"/><Relationship Id="rId38" Type="http://schemas.openxmlformats.org/officeDocument/2006/relationships/footer" Target="footer34.xml"/><Relationship Id="rId37" Type="http://schemas.openxmlformats.org/officeDocument/2006/relationships/footer" Target="footer33.xml"/><Relationship Id="rId36" Type="http://schemas.openxmlformats.org/officeDocument/2006/relationships/footer" Target="footer32.xml"/><Relationship Id="rId35" Type="http://schemas.openxmlformats.org/officeDocument/2006/relationships/footer" Target="footer31.xml"/><Relationship Id="rId34" Type="http://schemas.openxmlformats.org/officeDocument/2006/relationships/footer" Target="footer30.xml"/><Relationship Id="rId33" Type="http://schemas.openxmlformats.org/officeDocument/2006/relationships/footer" Target="footer29.xml"/><Relationship Id="rId32" Type="http://schemas.openxmlformats.org/officeDocument/2006/relationships/footer" Target="footer28.xml"/><Relationship Id="rId31" Type="http://schemas.openxmlformats.org/officeDocument/2006/relationships/footer" Target="footer27.xml"/><Relationship Id="rId30" Type="http://schemas.openxmlformats.org/officeDocument/2006/relationships/footer" Target="footer26.xml"/><Relationship Id="rId3" Type="http://schemas.openxmlformats.org/officeDocument/2006/relationships/footnotes" Target="footnotes.xml"/><Relationship Id="rId29" Type="http://schemas.openxmlformats.org/officeDocument/2006/relationships/footer" Target="footer25.xml"/><Relationship Id="rId28" Type="http://schemas.openxmlformats.org/officeDocument/2006/relationships/footer" Target="footer24.xml"/><Relationship Id="rId27" Type="http://schemas.openxmlformats.org/officeDocument/2006/relationships/footer" Target="footer23.xml"/><Relationship Id="rId26" Type="http://schemas.openxmlformats.org/officeDocument/2006/relationships/footer" Target="footer22.xml"/><Relationship Id="rId25" Type="http://schemas.openxmlformats.org/officeDocument/2006/relationships/footer" Target="footer21.xml"/><Relationship Id="rId24" Type="http://schemas.openxmlformats.org/officeDocument/2006/relationships/footer" Target="footer20.xml"/><Relationship Id="rId23" Type="http://schemas.openxmlformats.org/officeDocument/2006/relationships/footer" Target="footer19.xml"/><Relationship Id="rId22" Type="http://schemas.openxmlformats.org/officeDocument/2006/relationships/footer" Target="footer18.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2" Type="http://schemas.openxmlformats.org/officeDocument/2006/relationships/fontTable" Target="fontTable.xml"/><Relationship Id="rId141" Type="http://schemas.openxmlformats.org/officeDocument/2006/relationships/customXml" Target="../customXml/item1.xml"/><Relationship Id="rId140" Type="http://schemas.openxmlformats.org/officeDocument/2006/relationships/image" Target="media/image27.jpeg"/><Relationship Id="rId14" Type="http://schemas.openxmlformats.org/officeDocument/2006/relationships/footer" Target="footer10.xml"/><Relationship Id="rId139" Type="http://schemas.openxmlformats.org/officeDocument/2006/relationships/image" Target="media/image26.jpeg"/><Relationship Id="rId138" Type="http://schemas.openxmlformats.org/officeDocument/2006/relationships/image" Target="media/image25.jpeg"/><Relationship Id="rId137" Type="http://schemas.openxmlformats.org/officeDocument/2006/relationships/image" Target="media/image24.jpeg"/><Relationship Id="rId136" Type="http://schemas.openxmlformats.org/officeDocument/2006/relationships/image" Target="media/image23.jpeg"/><Relationship Id="rId135" Type="http://schemas.openxmlformats.org/officeDocument/2006/relationships/image" Target="media/image22.jpeg"/><Relationship Id="rId134" Type="http://schemas.openxmlformats.org/officeDocument/2006/relationships/image" Target="media/image21.jpeg"/><Relationship Id="rId133" Type="http://schemas.openxmlformats.org/officeDocument/2006/relationships/image" Target="media/image20.jpeg"/><Relationship Id="rId132" Type="http://schemas.openxmlformats.org/officeDocument/2006/relationships/image" Target="media/image19.jpeg"/><Relationship Id="rId131" Type="http://schemas.openxmlformats.org/officeDocument/2006/relationships/image" Target="media/image18.png"/><Relationship Id="rId130" Type="http://schemas.openxmlformats.org/officeDocument/2006/relationships/image" Target="media/image17.png"/><Relationship Id="rId13" Type="http://schemas.openxmlformats.org/officeDocument/2006/relationships/footer" Target="footer9.xml"/><Relationship Id="rId129" Type="http://schemas.openxmlformats.org/officeDocument/2006/relationships/image" Target="media/image16.png"/><Relationship Id="rId128" Type="http://schemas.openxmlformats.org/officeDocument/2006/relationships/image" Target="media/image15.png"/><Relationship Id="rId127" Type="http://schemas.openxmlformats.org/officeDocument/2006/relationships/image" Target="media/image14.jpeg"/><Relationship Id="rId126" Type="http://schemas.openxmlformats.org/officeDocument/2006/relationships/image" Target="media/image13.png"/><Relationship Id="rId125" Type="http://schemas.openxmlformats.org/officeDocument/2006/relationships/image" Target="media/image12.png"/><Relationship Id="rId124" Type="http://schemas.openxmlformats.org/officeDocument/2006/relationships/image" Target="media/image11.png"/><Relationship Id="rId123" Type="http://schemas.openxmlformats.org/officeDocument/2006/relationships/image" Target="media/image10.png"/><Relationship Id="rId122" Type="http://schemas.openxmlformats.org/officeDocument/2006/relationships/image" Target="media/image9.png"/><Relationship Id="rId121" Type="http://schemas.openxmlformats.org/officeDocument/2006/relationships/image" Target="media/image8.jpeg"/><Relationship Id="rId120" Type="http://schemas.openxmlformats.org/officeDocument/2006/relationships/image" Target="media/image7.jpeg"/><Relationship Id="rId12" Type="http://schemas.openxmlformats.org/officeDocument/2006/relationships/footer" Target="footer8.xml"/><Relationship Id="rId119" Type="http://schemas.openxmlformats.org/officeDocument/2006/relationships/image" Target="media/image6.jpeg"/><Relationship Id="rId118" Type="http://schemas.openxmlformats.org/officeDocument/2006/relationships/image" Target="media/image5.png"/><Relationship Id="rId117" Type="http://schemas.openxmlformats.org/officeDocument/2006/relationships/image" Target="media/image4.png"/><Relationship Id="rId116" Type="http://schemas.openxmlformats.org/officeDocument/2006/relationships/image" Target="media/image3.png"/><Relationship Id="rId115" Type="http://schemas.openxmlformats.org/officeDocument/2006/relationships/image" Target="media/image2.png"/><Relationship Id="rId114" Type="http://schemas.openxmlformats.org/officeDocument/2006/relationships/image" Target="media/image1.png"/><Relationship Id="rId113" Type="http://schemas.openxmlformats.org/officeDocument/2006/relationships/theme" Target="theme/theme1.xml"/><Relationship Id="rId112" Type="http://schemas.openxmlformats.org/officeDocument/2006/relationships/footer" Target="footer108.xml"/><Relationship Id="rId111" Type="http://schemas.openxmlformats.org/officeDocument/2006/relationships/footer" Target="footer107.xml"/><Relationship Id="rId110" Type="http://schemas.openxmlformats.org/officeDocument/2006/relationships/footer" Target="footer106.xml"/><Relationship Id="rId11" Type="http://schemas.openxmlformats.org/officeDocument/2006/relationships/footer" Target="footer7.xml"/><Relationship Id="rId109" Type="http://schemas.openxmlformats.org/officeDocument/2006/relationships/footer" Target="footer105.xml"/><Relationship Id="rId108" Type="http://schemas.openxmlformats.org/officeDocument/2006/relationships/footer" Target="footer104.xml"/><Relationship Id="rId107" Type="http://schemas.openxmlformats.org/officeDocument/2006/relationships/footer" Target="footer103.xml"/><Relationship Id="rId106" Type="http://schemas.openxmlformats.org/officeDocument/2006/relationships/footer" Target="footer102.xml"/><Relationship Id="rId105" Type="http://schemas.openxmlformats.org/officeDocument/2006/relationships/footer" Target="footer101.xml"/><Relationship Id="rId104" Type="http://schemas.openxmlformats.org/officeDocument/2006/relationships/footer" Target="footer100.xml"/><Relationship Id="rId103" Type="http://schemas.openxmlformats.org/officeDocument/2006/relationships/footer" Target="footer99.xml"/><Relationship Id="rId102" Type="http://schemas.openxmlformats.org/officeDocument/2006/relationships/footer" Target="footer98.xml"/><Relationship Id="rId101" Type="http://schemas.openxmlformats.org/officeDocument/2006/relationships/footer" Target="footer97.xml"/><Relationship Id="rId100" Type="http://schemas.openxmlformats.org/officeDocument/2006/relationships/footer" Target="footer96.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9"/>
    <customShpInfo spid="_x0000_s1040"/>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113</Pages>
  <Words>8897</Words>
  <Characters>9319</Characters>
  <TotalTime>5</TotalTime>
  <ScaleCrop>false</ScaleCrop>
  <LinksUpToDate>false</LinksUpToDate>
  <CharactersWithSpaces>10129</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2024-12-18T10:38:00Z</dcterms:created>
  <dc:creator>秋风落叶</dc:creator>
  <cp:lastModifiedBy>鑫卓迪广告</cp:lastModifiedBy>
  <dcterms:modified xsi:type="dcterms:W3CDTF">2025-02-11T06:08:22Z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2025-02-10T13:13:56Z</vt:filetime>
  </property>
  <property fmtid="{D5CDD505-2E9C-101B-9397-08002B2CF9AE}" pid="4" name="KSOTemplateDocerSaveRecord">
    <vt:lpwstr>eyJoZGlkIjoiY2RmZmMxZGNhY2M5MjNhM2JjYmE0ZTI3MzM4ODQyZmQiLCJ1c2VySWQiOiIxNTk5MTg5MTYzIn0=</vt:lpwstr>
  </property>
  <property fmtid="{D5CDD505-2E9C-101B-9397-08002B2CF9AE}" pid="5" name="KSOProductBuildVer">
    <vt:lpwstr>2052-12.1.0.19302</vt:lpwstr>
  </property>
  <property fmtid="{D5CDD505-2E9C-101B-9397-08002B2CF9AE}" pid="6" name="ICV">
    <vt:lpwstr>8090609C9B54444BA6D05DDD6ED33B38_13</vt:lpwstr>
  </property>
</Properties>
</file>